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60288" behindDoc="1" locked="0" layoutInCell="1" allowOverlap="1" wp14:anchorId="6C8EB33A" wp14:editId="397EA611">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0B4" w:rsidRPr="00DD6E53" w:rsidRDefault="008A60B4" w:rsidP="00E05D08">
                            <w:pPr>
                              <w:pStyle w:val="HTitle1"/>
                            </w:pPr>
                            <w:r>
                              <w:t xml:space="preserve">Ghid </w:t>
                            </w:r>
                          </w:p>
                          <w:p w:rsidR="008A60B4" w:rsidRPr="00DD6E53" w:rsidRDefault="008A60B4" w:rsidP="00C947BA">
                            <w:pPr>
                              <w:pStyle w:val="HTitle2"/>
                              <w:jc w:val="left"/>
                            </w:pPr>
                            <w:bookmarkStart w:id="1" w:name="_Hlk501355929"/>
                            <w:r>
                              <w:t xml:space="preserve">Evaluarea inovării în </w:t>
                            </w:r>
                            <w:r>
                              <w:br/>
                              <w:t>programele de dezvoltare rurală pentru perioada 2014-2020</w:t>
                            </w:r>
                            <w:bookmarkEnd w:id="1"/>
                            <w:r>
                              <w:t xml:space="preserve"> </w:t>
                            </w:r>
                          </w:p>
                          <w:p w:rsidR="008A60B4" w:rsidRPr="00DD6E53" w:rsidRDefault="008A60B4" w:rsidP="00E05D08">
                            <w:pPr>
                              <w:rPr>
                                <w:color w:val="6F6F6F"/>
                                <w:sz w:val="28"/>
                                <w:szCs w:val="28"/>
                              </w:rPr>
                            </w:pPr>
                          </w:p>
                          <w:p w:rsidR="008A60B4" w:rsidRDefault="008A60B4" w:rsidP="00E05D08">
                            <w:pPr>
                              <w:pStyle w:val="HTitle3"/>
                            </w:pPr>
                            <w:r>
                              <w:t xml:space="preserve">Decembrie 2017 </w:t>
                            </w:r>
                          </w:p>
                          <w:p w:rsidR="008A60B4" w:rsidRDefault="008A60B4" w:rsidP="00E05D08">
                            <w:pPr>
                              <w:pStyle w:val="HTitle3"/>
                            </w:pPr>
                          </w:p>
                          <w:p w:rsidR="008A60B4" w:rsidRDefault="008A60B4" w:rsidP="00E05D08">
                            <w:pPr>
                              <w:pStyle w:val="HTitle3"/>
                            </w:pPr>
                          </w:p>
                          <w:p w:rsidR="008A60B4" w:rsidRDefault="008A60B4" w:rsidP="00E05D08">
                            <w:pPr>
                              <w:pStyle w:val="HTitle3"/>
                            </w:pPr>
                          </w:p>
                          <w:p w:rsidR="008A60B4" w:rsidRPr="00912430" w:rsidRDefault="008A60B4" w:rsidP="00912430">
                            <w:pPr>
                              <w:rPr>
                                <w:color w:val="auto"/>
                                <w:sz w:val="18"/>
                                <w:szCs w:val="18"/>
                              </w:rPr>
                            </w:pPr>
                            <w:r>
                              <w:rPr>
                                <w:i/>
                                <w:sz w:val="18"/>
                                <w:szCs w:val="18"/>
                              </w:rPr>
                              <w:t xml:space="preserve">Acest document conține traducerea versiunii din decembrie 2017 a documentului „Ghid: Evaluarea inovării în programele de dezvoltare rurală pentru perioada 2014-2020”. Această traducere este furnizată pentru a face ghidul mai util și mai accesibil pentru toate părțile interesate. Trebuie menționat că versiunea în limba engleză ar trebui utilizată ca text de referință definitiv. Versiunea în limba engleză este disponibilă la </w:t>
                            </w:r>
                            <w:hyperlink r:id="rId8" w:tgtFrame="_blank" w:history="1">
                              <w:r>
                                <w:rPr>
                                  <w:rStyle w:val="Hyperlink"/>
                                  <w:i/>
                                  <w:sz w:val="18"/>
                                  <w:szCs w:val="18"/>
                                </w:rPr>
                                <w:t>următorul link</w:t>
                              </w:r>
                            </w:hyperlink>
                            <w:r>
                              <w:rPr>
                                <w:rStyle w:val="Hyperlink"/>
                                <w:i/>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B33A"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rsidR="008A60B4" w:rsidRPr="00DD6E53" w:rsidRDefault="008A60B4" w:rsidP="00E05D08">
                      <w:pPr>
                        <w:pStyle w:val="HTitle1"/>
                      </w:pPr>
                      <w:r>
                        <w:t xml:space="preserve">Ghid </w:t>
                      </w:r>
                    </w:p>
                    <w:p w:rsidR="008A60B4" w:rsidRPr="00DD6E53" w:rsidRDefault="008A60B4" w:rsidP="00C947BA">
                      <w:pPr>
                        <w:pStyle w:val="HTitle2"/>
                        <w:jc w:val="left"/>
                      </w:pPr>
                      <w:bookmarkStart w:id="2" w:name="_Hlk501355929"/>
                      <w:r>
                        <w:t xml:space="preserve">Evaluarea inovării în </w:t>
                      </w:r>
                      <w:r>
                        <w:br/>
                        <w:t>programele de dezvoltare rurală pentru perioada 2014-2020</w:t>
                      </w:r>
                      <w:bookmarkEnd w:id="2"/>
                      <w:r>
                        <w:t xml:space="preserve"> </w:t>
                      </w:r>
                    </w:p>
                    <w:p w:rsidR="008A60B4" w:rsidRPr="00DD6E53" w:rsidRDefault="008A60B4" w:rsidP="00E05D08">
                      <w:pPr>
                        <w:rPr>
                          <w:color w:val="6F6F6F"/>
                          <w:sz w:val="28"/>
                          <w:szCs w:val="28"/>
                        </w:rPr>
                      </w:pPr>
                    </w:p>
                    <w:p w:rsidR="008A60B4" w:rsidRDefault="008A60B4" w:rsidP="00E05D08">
                      <w:pPr>
                        <w:pStyle w:val="HTitle3"/>
                      </w:pPr>
                      <w:r>
                        <w:t xml:space="preserve">Decembrie 2017 </w:t>
                      </w:r>
                    </w:p>
                    <w:p w:rsidR="008A60B4" w:rsidRDefault="008A60B4" w:rsidP="00E05D08">
                      <w:pPr>
                        <w:pStyle w:val="HTitle3"/>
                      </w:pPr>
                    </w:p>
                    <w:p w:rsidR="008A60B4" w:rsidRDefault="008A60B4" w:rsidP="00E05D08">
                      <w:pPr>
                        <w:pStyle w:val="HTitle3"/>
                      </w:pPr>
                    </w:p>
                    <w:p w:rsidR="008A60B4" w:rsidRDefault="008A60B4" w:rsidP="00E05D08">
                      <w:pPr>
                        <w:pStyle w:val="HTitle3"/>
                      </w:pPr>
                    </w:p>
                    <w:p w:rsidR="008A60B4" w:rsidRPr="00912430" w:rsidRDefault="008A60B4" w:rsidP="00912430">
                      <w:pPr>
                        <w:rPr>
                          <w:color w:val="auto"/>
                          <w:sz w:val="18"/>
                          <w:szCs w:val="18"/>
                        </w:rPr>
                      </w:pPr>
                      <w:r>
                        <w:rPr>
                          <w:i/>
                          <w:sz w:val="18"/>
                          <w:szCs w:val="18"/>
                        </w:rPr>
                        <w:t xml:space="preserve">Acest document conține traducerea versiunii din decembrie 2017 a documentului „Ghid: Evaluarea inovării în programele de dezvoltare rurală pentru perioada 2014-2020”. Această traducere este furnizată pentru a face ghidul mai util și mai accesibil pentru toate părțile interesate. Trebuie menționat că versiunea în limba engleză ar trebui utilizată ca text de referință definitiv. Versiunea în limba engleză este disponibilă la </w:t>
                      </w:r>
                      <w:hyperlink r:id="rId9" w:tgtFrame="_blank" w:history="1">
                        <w:r>
                          <w:rPr>
                            <w:rStyle w:val="Hyperlink"/>
                            <w:i/>
                            <w:sz w:val="18"/>
                            <w:szCs w:val="18"/>
                          </w:rPr>
                          <w:t>următorul link</w:t>
                        </w:r>
                      </w:hyperlink>
                      <w:r>
                        <w:rPr>
                          <w:rStyle w:val="Hyperlink"/>
                          <w:i/>
                          <w:color w:val="auto"/>
                          <w:sz w:val="18"/>
                          <w:szCs w:val="18"/>
                          <w:u w:val="none"/>
                        </w:rPr>
                        <w:t>.</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61312"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8A60B4" w:rsidRPr="007F1B7F" w:rsidRDefault="008A60B4" w:rsidP="00E05D08">
                            <w:pPr>
                              <w:pStyle w:val="Normal12PTcouleurgris"/>
                              <w:rPr>
                                <w:sz w:val="18"/>
                              </w:rPr>
                            </w:pPr>
                            <w:r>
                              <w:rPr>
                                <w:sz w:val="18"/>
                              </w:rPr>
                              <w:t>Aviz privind drepturile de autor</w:t>
                            </w:r>
                          </w:p>
                          <w:p w:rsidR="008A60B4" w:rsidRPr="007F1B7F" w:rsidRDefault="008A60B4" w:rsidP="00E05D08">
                            <w:pPr>
                              <w:pStyle w:val="Normal12PTcouleurgris"/>
                              <w:rPr>
                                <w:sz w:val="18"/>
                              </w:rPr>
                            </w:pPr>
                            <w:r>
                              <w:rPr>
                                <w:sz w:val="18"/>
                              </w:rPr>
                              <w:t>© Uniunea Europeană, 2017</w:t>
                            </w:r>
                          </w:p>
                          <w:p w:rsidR="008A60B4" w:rsidRPr="007F1B7F" w:rsidRDefault="008A60B4" w:rsidP="00E05D08">
                            <w:pPr>
                              <w:pStyle w:val="Normal12PTcouleurgris"/>
                              <w:rPr>
                                <w:sz w:val="18"/>
                              </w:rPr>
                            </w:pPr>
                            <w:r>
                              <w:rPr>
                                <w:sz w:val="18"/>
                              </w:rPr>
                              <w:t>Reproducerea textului este autorizată cu condiția menționării sursei.</w:t>
                            </w:r>
                          </w:p>
                          <w:p w:rsidR="008A60B4" w:rsidRPr="0002668A" w:rsidRDefault="008A60B4" w:rsidP="00E05D08">
                            <w:pPr>
                              <w:pStyle w:val="Normal12PTcouleurgris"/>
                              <w:rPr>
                                <w:sz w:val="18"/>
                              </w:rPr>
                            </w:pPr>
                            <w:r>
                              <w:rPr>
                                <w:bCs/>
                                <w:sz w:val="18"/>
                                <w:u w:val="single"/>
                              </w:rPr>
                              <w:t>Referire recomandată</w:t>
                            </w:r>
                            <w:r>
                              <w:rPr>
                                <w:bCs/>
                                <w:sz w:val="18"/>
                              </w:rPr>
                              <w:t>:</w:t>
                            </w:r>
                            <w:r>
                              <w:rPr>
                                <w:sz w:val="18"/>
                              </w:rPr>
                              <w:t xml:space="preserve"> </w:t>
                            </w:r>
                          </w:p>
                          <w:p w:rsidR="008A60B4" w:rsidRPr="0002668A" w:rsidRDefault="008A60B4" w:rsidP="00E05D08">
                            <w:pPr>
                              <w:pStyle w:val="Normal12PTcouleurgris"/>
                              <w:rPr>
                                <w:sz w:val="18"/>
                              </w:rPr>
                            </w:pPr>
                            <w:r>
                              <w:rPr>
                                <w:sz w:val="18"/>
                              </w:rPr>
                              <w:t>COMISIA EUROPEANĂ – Direcția Generală Agricultură și Dezvoltare Rurală – Unitatea C.4 (2017): Ghid. Evaluarea inovării în programele de dezvoltare rurală pentru perioada 2014-2020.</w:t>
                            </w:r>
                          </w:p>
                          <w:p w:rsidR="008A60B4" w:rsidRPr="0002668A" w:rsidRDefault="008A60B4" w:rsidP="00E05D08">
                            <w:pPr>
                              <w:pStyle w:val="Normal12PTcouleurgris"/>
                              <w:rPr>
                                <w:bCs/>
                                <w:sz w:val="18"/>
                                <w:u w:val="single"/>
                              </w:rPr>
                            </w:pPr>
                            <w:r>
                              <w:rPr>
                                <w:bCs/>
                                <w:sz w:val="18"/>
                                <w:u w:val="single"/>
                              </w:rPr>
                              <w:t>Declinare a responsabilității:</w:t>
                            </w:r>
                          </w:p>
                          <w:p w:rsidR="008A60B4" w:rsidRPr="0002668A" w:rsidRDefault="008A60B4" w:rsidP="00E05D08">
                            <w:pPr>
                              <w:pStyle w:val="Normal12PTcouleurgris"/>
                              <w:rPr>
                                <w:sz w:val="18"/>
                              </w:rPr>
                            </w:pPr>
                            <w:r>
                              <w:rPr>
                                <w:sz w:val="18"/>
                              </w:rPr>
                              <w:t>Informațiile și opiniile prezentate în acest raport aparțin autorului (autorilor) și nu reflectă în mod necesar opinia oficială a Comisiei. Comisia nu garantează precizia datelor incluse în acest raport. Nici Comisia Europeană, nici persoanele care acționează în numele Comisiei nu sunt responsabile pentru modul în care ar putea fi utilizate informațiile cuprinse în prezenta publicație.</w:t>
                            </w:r>
                          </w:p>
                          <w:p w:rsidR="008A60B4" w:rsidRPr="000B1DDA" w:rsidRDefault="008A60B4" w:rsidP="00E05D08">
                            <w:pPr>
                              <w:pStyle w:val="Normal12PTcouleurgris"/>
                            </w:pPr>
                          </w:p>
                          <w:p w:rsidR="008A60B4" w:rsidRPr="004D4D87" w:rsidRDefault="008A60B4"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A60B4" w:rsidRPr="00E05D08" w:rsidRDefault="008A60B4" w:rsidP="00E05D08">
                            <w:pPr>
                              <w:pStyle w:val="Normal12PTcouleurgris"/>
                              <w:rPr>
                                <w:color w:val="BFBFBF"/>
                              </w:rPr>
                            </w:pPr>
                          </w:p>
                          <w:p w:rsidR="008A60B4" w:rsidRPr="007F1B7F" w:rsidRDefault="008A60B4" w:rsidP="00E05D08">
                            <w:pPr>
                              <w:pStyle w:val="Normal12PTcouleurgris"/>
                              <w:rPr>
                                <w:sz w:val="18"/>
                              </w:rPr>
                            </w:pPr>
                            <w:r>
                              <w:rPr>
                                <w:sz w:val="18"/>
                              </w:rPr>
                              <w:t>Serviciul de asistență pentru evaluare (Evaluation Helpdesk) este responsabil cu funcția de evaluare în cadrul Rețelei Europene pentru Dezvoltare Rurală (REDR), oferind îndrumări cu privire la evaluarea programelor de dezvoltare rurală și a politicilor care intră în domeniul de competență și de îndrumare al Unității C.4 „Monitorizare și evaluare” din cadrul DG AGRI a Comisiei Europene (CE). Pentru a se îmbunătăți evaluarea politicii de dezvoltare rurală a UE, Serviciul de asistență pentru evaluare sprijină toate părțile interesate implicate în evaluare, în special DG AGRI, autoritățile naționale, autoritățile de management pentru programele de dezvoltare rurală și evaluatorii, prin dezvoltarea și diseminarea de metodologii și instrumente adecvate; colectarea și schimbul de bune practici; consolidarea capacităților, precum și comunicarea cu membrii rețelei pe teme legate de evaluare.</w:t>
                            </w:r>
                          </w:p>
                          <w:p w:rsidR="008A60B4" w:rsidRPr="007F1B7F" w:rsidRDefault="008A60B4" w:rsidP="00E05D08">
                            <w:pPr>
                              <w:pStyle w:val="Normal12PTcouleurgris"/>
                              <w:rPr>
                                <w:sz w:val="18"/>
                              </w:rPr>
                            </w:pPr>
                            <w:r>
                              <w:rPr>
                                <w:sz w:val="18"/>
                              </w:rPr>
                              <w:t>Informații suplimentare cu privire la activitățile Serviciului european de asistență pentru evaluare în domeniul dezvoltării rurale sunt disponibile pe internet, pe serverul Europa (http://enrd.ec.europa.eu).</w:t>
                            </w:r>
                          </w:p>
                          <w:p w:rsidR="008A60B4" w:rsidRPr="00811EF1" w:rsidRDefault="008A60B4"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8A60B4" w:rsidRPr="007F1B7F" w:rsidRDefault="008A60B4" w:rsidP="00E05D08">
                      <w:pPr>
                        <w:pStyle w:val="Normal12PTcouleurgris"/>
                        <w:rPr>
                          <w:sz w:val="18"/>
                        </w:rPr>
                      </w:pPr>
                      <w:r>
                        <w:rPr>
                          <w:sz w:val="18"/>
                        </w:rPr>
                        <w:t>Aviz privind drepturile de autor</w:t>
                      </w:r>
                    </w:p>
                    <w:p w:rsidR="008A60B4" w:rsidRPr="007F1B7F" w:rsidRDefault="008A60B4" w:rsidP="00E05D08">
                      <w:pPr>
                        <w:pStyle w:val="Normal12PTcouleurgris"/>
                        <w:rPr>
                          <w:sz w:val="18"/>
                        </w:rPr>
                      </w:pPr>
                      <w:r>
                        <w:rPr>
                          <w:sz w:val="18"/>
                        </w:rPr>
                        <w:t>© Uniunea Europeană, 2017</w:t>
                      </w:r>
                    </w:p>
                    <w:p w:rsidR="008A60B4" w:rsidRPr="007F1B7F" w:rsidRDefault="008A60B4" w:rsidP="00E05D08">
                      <w:pPr>
                        <w:pStyle w:val="Normal12PTcouleurgris"/>
                        <w:rPr>
                          <w:sz w:val="18"/>
                        </w:rPr>
                      </w:pPr>
                      <w:r>
                        <w:rPr>
                          <w:sz w:val="18"/>
                        </w:rPr>
                        <w:t>Reproducerea textului este autorizată cu condiția menționării sursei.</w:t>
                      </w:r>
                    </w:p>
                    <w:p w:rsidR="008A60B4" w:rsidRPr="0002668A" w:rsidRDefault="008A60B4" w:rsidP="00E05D08">
                      <w:pPr>
                        <w:pStyle w:val="Normal12PTcouleurgris"/>
                        <w:rPr>
                          <w:sz w:val="18"/>
                        </w:rPr>
                      </w:pPr>
                      <w:r>
                        <w:rPr>
                          <w:bCs/>
                          <w:sz w:val="18"/>
                          <w:u w:val="single"/>
                        </w:rPr>
                        <w:t>Referire recomandată</w:t>
                      </w:r>
                      <w:r>
                        <w:rPr>
                          <w:bCs/>
                          <w:sz w:val="18"/>
                        </w:rPr>
                        <w:t>:</w:t>
                      </w:r>
                      <w:r>
                        <w:rPr>
                          <w:sz w:val="18"/>
                        </w:rPr>
                        <w:t xml:space="preserve"> </w:t>
                      </w:r>
                    </w:p>
                    <w:p w:rsidR="008A60B4" w:rsidRPr="0002668A" w:rsidRDefault="008A60B4" w:rsidP="00E05D08">
                      <w:pPr>
                        <w:pStyle w:val="Normal12PTcouleurgris"/>
                        <w:rPr>
                          <w:sz w:val="18"/>
                        </w:rPr>
                      </w:pPr>
                      <w:r>
                        <w:rPr>
                          <w:sz w:val="18"/>
                        </w:rPr>
                        <w:t>COMISIA EUROPEANĂ – Direcția Generală Agricultură și Dezvoltare Rurală – Unitatea C.4 (2017): Ghid. Evaluarea inovării în programele de dezvoltare rurală pentru perioada 2014-2020.</w:t>
                      </w:r>
                    </w:p>
                    <w:p w:rsidR="008A60B4" w:rsidRPr="0002668A" w:rsidRDefault="008A60B4" w:rsidP="00E05D08">
                      <w:pPr>
                        <w:pStyle w:val="Normal12PTcouleurgris"/>
                        <w:rPr>
                          <w:bCs/>
                          <w:sz w:val="18"/>
                          <w:u w:val="single"/>
                        </w:rPr>
                      </w:pPr>
                      <w:r>
                        <w:rPr>
                          <w:bCs/>
                          <w:sz w:val="18"/>
                          <w:u w:val="single"/>
                        </w:rPr>
                        <w:t>Declinare a responsabilității:</w:t>
                      </w:r>
                    </w:p>
                    <w:p w:rsidR="008A60B4" w:rsidRPr="0002668A" w:rsidRDefault="008A60B4" w:rsidP="00E05D08">
                      <w:pPr>
                        <w:pStyle w:val="Normal12PTcouleurgris"/>
                        <w:rPr>
                          <w:sz w:val="18"/>
                        </w:rPr>
                      </w:pPr>
                      <w:r>
                        <w:rPr>
                          <w:sz w:val="18"/>
                        </w:rPr>
                        <w:t>Informațiile și opiniile prezentate în acest raport aparțin autorului (autorilor) și nu reflectă în mod necesar opinia oficială a Comisiei. Comisia nu garantează precizia datelor incluse în acest raport. Nici Comisia Europeană, nici persoanele care acționează în numele Comisiei nu sunt responsabile pentru modul în care ar putea fi utilizate informațiile cuprinse în prezenta publicație.</w:t>
                      </w:r>
                    </w:p>
                    <w:p w:rsidR="008A60B4" w:rsidRPr="000B1DDA" w:rsidRDefault="008A60B4" w:rsidP="00E05D08">
                      <w:pPr>
                        <w:pStyle w:val="Normal12PTcouleurgris"/>
                      </w:pPr>
                    </w:p>
                    <w:p w:rsidR="008A60B4" w:rsidRPr="004D4D87" w:rsidRDefault="008A60B4"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A60B4" w:rsidRPr="00E05D08" w:rsidRDefault="008A60B4" w:rsidP="00E05D08">
                      <w:pPr>
                        <w:pStyle w:val="Normal12PTcouleurgris"/>
                        <w:rPr>
                          <w:color w:val="BFBFBF"/>
                        </w:rPr>
                      </w:pPr>
                    </w:p>
                    <w:p w:rsidR="008A60B4" w:rsidRPr="007F1B7F" w:rsidRDefault="008A60B4" w:rsidP="00E05D08">
                      <w:pPr>
                        <w:pStyle w:val="Normal12PTcouleurgris"/>
                        <w:rPr>
                          <w:sz w:val="18"/>
                        </w:rPr>
                      </w:pPr>
                      <w:r>
                        <w:rPr>
                          <w:sz w:val="18"/>
                        </w:rPr>
                        <w:t>Serviciul de asistență pentru evaluare (Evaluation Helpdesk) este responsabil cu funcția de evaluare în cadrul Rețelei Europene pentru Dezvoltare Rurală (REDR), oferind îndrumări cu privire la evaluarea programelor de dezvoltare rurală și a politicilor care intră în domeniul de competență și de îndrumare al Unității C.4 „Monitorizare și evaluare” din cadrul DG AGRI a Comisiei Europene (CE). Pentru a se îmbunătăți evaluarea politicii de dezvoltare rurală a UE, Serviciul de asistență pentru evaluare sprijină toate părțile interesate implicate în evaluare, în special DG AGRI, autoritățile naționale, autoritățile de management pentru programele de dezvoltare rurală și evaluatorii, prin dezvoltarea și diseminarea de metodologii și instrumente adecvate; colectarea și schimbul de bune practici; consolidarea capacităților, precum și comunicarea cu membrii rețelei pe teme legate de evaluare.</w:t>
                      </w:r>
                    </w:p>
                    <w:p w:rsidR="008A60B4" w:rsidRPr="007F1B7F" w:rsidRDefault="008A60B4" w:rsidP="00E05D08">
                      <w:pPr>
                        <w:pStyle w:val="Normal12PTcouleurgris"/>
                        <w:rPr>
                          <w:sz w:val="18"/>
                        </w:rPr>
                      </w:pPr>
                      <w:r>
                        <w:rPr>
                          <w:sz w:val="18"/>
                        </w:rPr>
                        <w:t>Informații suplimentare cu privire la activitățile Serviciului european de asistență pentru evaluare în domeniul dezvoltării rurale sunt disponibile pe internet, pe serverul Europa (http://enrd.ec.europa.eu).</w:t>
                      </w:r>
                    </w:p>
                    <w:p w:rsidR="008A60B4" w:rsidRPr="00811EF1" w:rsidRDefault="008A60B4"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62336"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0B4" w:rsidRPr="002D3552" w:rsidRDefault="008A60B4" w:rsidP="00E05D08">
                            <w:pPr>
                              <w:pStyle w:val="HTitle1"/>
                            </w:pPr>
                            <w:r>
                              <w:t xml:space="preserve">Ghid </w:t>
                            </w:r>
                          </w:p>
                          <w:p w:rsidR="008A60B4" w:rsidRPr="00DD6E53" w:rsidRDefault="008A60B4" w:rsidP="00C947BA">
                            <w:pPr>
                              <w:pStyle w:val="HTitle2"/>
                              <w:jc w:val="left"/>
                            </w:pPr>
                            <w:r>
                              <w:t xml:space="preserve">Evaluarea inovării în </w:t>
                            </w:r>
                            <w:r>
                              <w:br/>
                              <w:t xml:space="preserve">programele de dezvoltare rurală pentru perioada 2014-2020 </w:t>
                            </w:r>
                          </w:p>
                          <w:p w:rsidR="008A60B4" w:rsidRPr="00DD6E53" w:rsidRDefault="008A60B4" w:rsidP="00E05D08">
                            <w:pPr>
                              <w:rPr>
                                <w:color w:val="6F6F6F"/>
                                <w:sz w:val="28"/>
                                <w:szCs w:val="28"/>
                              </w:rPr>
                            </w:pPr>
                          </w:p>
                          <w:p w:rsidR="008A60B4" w:rsidRDefault="008A60B4" w:rsidP="00E05D08">
                            <w:pPr>
                              <w:pStyle w:val="HTitle3"/>
                            </w:pPr>
                            <w:r>
                              <w:t xml:space="preserve">Decembrie 2017 </w:t>
                            </w:r>
                          </w:p>
                          <w:p w:rsidR="008A60B4" w:rsidRPr="00BE49CF" w:rsidRDefault="008A60B4"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8A60B4" w:rsidRPr="002D3552" w:rsidRDefault="008A60B4" w:rsidP="00E05D08">
                      <w:pPr>
                        <w:pStyle w:val="HTitle1"/>
                      </w:pPr>
                      <w:r>
                        <w:t xml:space="preserve">Ghid </w:t>
                      </w:r>
                    </w:p>
                    <w:p w:rsidR="008A60B4" w:rsidRPr="00DD6E53" w:rsidRDefault="008A60B4" w:rsidP="00C947BA">
                      <w:pPr>
                        <w:pStyle w:val="HTitle2"/>
                        <w:jc w:val="left"/>
                      </w:pPr>
                      <w:r>
                        <w:t xml:space="preserve">Evaluarea inovării în </w:t>
                      </w:r>
                      <w:r>
                        <w:br/>
                        <w:t xml:space="preserve">programele de dezvoltare rurală pentru perioada 2014-2020 </w:t>
                      </w:r>
                    </w:p>
                    <w:p w:rsidR="008A60B4" w:rsidRPr="00DD6E53" w:rsidRDefault="008A60B4" w:rsidP="00E05D08">
                      <w:pPr>
                        <w:rPr>
                          <w:color w:val="6F6F6F"/>
                          <w:sz w:val="28"/>
                          <w:szCs w:val="28"/>
                        </w:rPr>
                      </w:pPr>
                    </w:p>
                    <w:p w:rsidR="008A60B4" w:rsidRDefault="008A60B4" w:rsidP="00E05D08">
                      <w:pPr>
                        <w:pStyle w:val="HTitle3"/>
                      </w:pPr>
                      <w:r>
                        <w:t xml:space="preserve">Decembrie 2017 </w:t>
                      </w:r>
                    </w:p>
                    <w:p w:rsidR="008A60B4" w:rsidRPr="00BE49CF" w:rsidRDefault="008A60B4"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Cuprins</w:t>
      </w:r>
    </w:p>
    <w:p w:rsidR="00864E8E" w:rsidRDefault="009837FF">
      <w:pPr>
        <w:pStyle w:val="TOC1"/>
        <w:tabs>
          <w:tab w:val="right" w:leader="dot" w:pos="9040"/>
        </w:tabs>
        <w:rPr>
          <w:rFonts w:asciiTheme="minorHAnsi" w:eastAsiaTheme="minorEastAsia" w:hAnsiTheme="minorHAnsi"/>
          <w:b w:val="0"/>
          <w:caps w:val="0"/>
          <w:noProof/>
          <w:color w:val="auto"/>
          <w:sz w:val="22"/>
          <w:lang w:val="en-GB" w:eastAsia="en-GB"/>
        </w:rPr>
      </w:pPr>
      <w:r>
        <w:rPr>
          <w:rFonts w:ascii="Helvetica LT Pro" w:eastAsia="Times New Roman" w:hAnsi="Helvetica LT Pro" w:cs="Times New Roman"/>
          <w:caps w:val="0"/>
          <w:color w:val="000000" w:themeColor="text1"/>
          <w:szCs w:val="20"/>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8889170" w:history="1">
        <w:r w:rsidR="00864E8E" w:rsidRPr="00FA63BD">
          <w:rPr>
            <w:rStyle w:val="Hyperlink"/>
            <w:noProof/>
          </w:rPr>
          <w:t>1</w:t>
        </w:r>
        <w:r w:rsidR="00864E8E" w:rsidRPr="00CE1178">
          <w:rPr>
            <w:rStyle w:val="Hyperlink"/>
            <w:noProof/>
          </w:rPr>
          <w:t>.</w:t>
        </w:r>
        <w:r w:rsidR="00864E8E">
          <w:rPr>
            <w:rFonts w:asciiTheme="minorHAnsi" w:eastAsiaTheme="minorEastAsia" w:hAnsiTheme="minorHAnsi"/>
            <w:b w:val="0"/>
            <w:caps w:val="0"/>
            <w:noProof/>
            <w:color w:val="auto"/>
            <w:sz w:val="22"/>
            <w:lang w:val="en-GB" w:eastAsia="en-GB"/>
          </w:rPr>
          <w:tab/>
        </w:r>
        <w:r w:rsidR="00864E8E" w:rsidRPr="00CE1178">
          <w:rPr>
            <w:rStyle w:val="Hyperlink"/>
            <w:noProof/>
          </w:rPr>
          <w:t>CADRU CONCEPTUAL</w:t>
        </w:r>
        <w:r w:rsidR="00864E8E">
          <w:rPr>
            <w:noProof/>
            <w:webHidden/>
          </w:rPr>
          <w:tab/>
        </w:r>
        <w:r w:rsidR="00864E8E">
          <w:rPr>
            <w:noProof/>
            <w:webHidden/>
          </w:rPr>
          <w:fldChar w:fldCharType="begin"/>
        </w:r>
        <w:r w:rsidR="00864E8E">
          <w:rPr>
            <w:noProof/>
            <w:webHidden/>
          </w:rPr>
          <w:instrText xml:space="preserve"> PAGEREF _Toc508889170 \h </w:instrText>
        </w:r>
        <w:r w:rsidR="00864E8E">
          <w:rPr>
            <w:noProof/>
            <w:webHidden/>
          </w:rPr>
        </w:r>
        <w:r w:rsidR="00864E8E">
          <w:rPr>
            <w:noProof/>
            <w:webHidden/>
          </w:rPr>
          <w:fldChar w:fldCharType="separate"/>
        </w:r>
        <w:r w:rsidR="000E1142">
          <w:rPr>
            <w:noProof/>
            <w:webHidden/>
          </w:rPr>
          <w:t>3</w:t>
        </w:r>
        <w:r w:rsidR="00864E8E">
          <w:rPr>
            <w:noProof/>
            <w:webHidden/>
          </w:rPr>
          <w:fldChar w:fldCharType="end"/>
        </w:r>
      </w:hyperlink>
    </w:p>
    <w:p w:rsidR="00864E8E" w:rsidRDefault="008A60B4">
      <w:pPr>
        <w:pStyle w:val="TOC2"/>
        <w:tabs>
          <w:tab w:val="right" w:leader="dot" w:pos="9040"/>
        </w:tabs>
        <w:rPr>
          <w:rFonts w:asciiTheme="minorHAnsi" w:eastAsiaTheme="minorEastAsia" w:hAnsiTheme="minorHAnsi"/>
          <w:noProof/>
          <w:color w:val="auto"/>
          <w:sz w:val="22"/>
          <w:lang w:val="en-GB" w:eastAsia="en-GB"/>
        </w:rPr>
      </w:pPr>
      <w:hyperlink w:anchor="_Toc508889171" w:history="1">
        <w:r w:rsidR="00864E8E" w:rsidRPr="00FA63BD">
          <w:rPr>
            <w:rStyle w:val="Hyperlink"/>
            <w:noProof/>
          </w:rPr>
          <w:t>1</w:t>
        </w:r>
        <w:r w:rsidR="00864E8E" w:rsidRPr="00CE1178">
          <w:rPr>
            <w:rStyle w:val="Hyperlink"/>
            <w:noProof/>
          </w:rPr>
          <w:t>.</w:t>
        </w:r>
        <w:r w:rsidR="00864E8E" w:rsidRPr="00FA63BD">
          <w:rPr>
            <w:rStyle w:val="Hyperlink"/>
            <w:noProof/>
          </w:rPr>
          <w:t>1</w:t>
        </w:r>
        <w:r w:rsidR="00864E8E">
          <w:rPr>
            <w:rFonts w:asciiTheme="minorHAnsi" w:eastAsiaTheme="minorEastAsia" w:hAnsiTheme="minorHAnsi"/>
            <w:noProof/>
            <w:color w:val="auto"/>
            <w:sz w:val="22"/>
            <w:lang w:val="en-GB" w:eastAsia="en-GB"/>
          </w:rPr>
          <w:tab/>
        </w:r>
        <w:r w:rsidR="00864E8E" w:rsidRPr="00CE1178">
          <w:rPr>
            <w:rStyle w:val="Hyperlink"/>
            <w:noProof/>
          </w:rPr>
          <w:t>Inovare și dezvoltare rurală</w:t>
        </w:r>
        <w:r w:rsidR="00864E8E">
          <w:rPr>
            <w:noProof/>
            <w:webHidden/>
          </w:rPr>
          <w:tab/>
        </w:r>
        <w:r w:rsidR="00864E8E">
          <w:rPr>
            <w:noProof/>
            <w:webHidden/>
          </w:rPr>
          <w:fldChar w:fldCharType="begin"/>
        </w:r>
        <w:r w:rsidR="00864E8E">
          <w:rPr>
            <w:noProof/>
            <w:webHidden/>
          </w:rPr>
          <w:instrText xml:space="preserve"> PAGEREF _Toc508889171 \h </w:instrText>
        </w:r>
        <w:r w:rsidR="00864E8E">
          <w:rPr>
            <w:noProof/>
            <w:webHidden/>
          </w:rPr>
        </w:r>
        <w:r w:rsidR="00864E8E">
          <w:rPr>
            <w:noProof/>
            <w:webHidden/>
          </w:rPr>
          <w:fldChar w:fldCharType="separate"/>
        </w:r>
        <w:r w:rsidR="000E1142">
          <w:rPr>
            <w:noProof/>
            <w:webHidden/>
          </w:rPr>
          <w:t>3</w:t>
        </w:r>
        <w:r w:rsidR="00864E8E">
          <w:rPr>
            <w:noProof/>
            <w:webHidden/>
          </w:rPr>
          <w:fldChar w:fldCharType="end"/>
        </w:r>
      </w:hyperlink>
    </w:p>
    <w:p w:rsidR="00864E8E" w:rsidRDefault="008A60B4">
      <w:pPr>
        <w:pStyle w:val="TOC2"/>
        <w:tabs>
          <w:tab w:val="right" w:leader="dot" w:pos="9040"/>
        </w:tabs>
        <w:rPr>
          <w:rFonts w:asciiTheme="minorHAnsi" w:eastAsiaTheme="minorEastAsia" w:hAnsiTheme="minorHAnsi"/>
          <w:noProof/>
          <w:color w:val="auto"/>
          <w:sz w:val="22"/>
          <w:lang w:val="en-GB" w:eastAsia="en-GB"/>
        </w:rPr>
      </w:pPr>
      <w:hyperlink w:anchor="_Toc508889172" w:history="1">
        <w:r w:rsidR="00864E8E" w:rsidRPr="00FA63BD">
          <w:rPr>
            <w:rStyle w:val="Hyperlink"/>
            <w:noProof/>
          </w:rPr>
          <w:t>1</w:t>
        </w:r>
        <w:r w:rsidR="00864E8E" w:rsidRPr="00CE1178">
          <w:rPr>
            <w:rStyle w:val="Hyperlink"/>
            <w:noProof/>
          </w:rPr>
          <w:t>.</w:t>
        </w:r>
        <w:r w:rsidR="00864E8E" w:rsidRPr="00FA63BD">
          <w:rPr>
            <w:rStyle w:val="Hyperlink"/>
            <w:noProof/>
          </w:rPr>
          <w:t>2</w:t>
        </w:r>
        <w:r w:rsidR="00864E8E">
          <w:rPr>
            <w:rFonts w:asciiTheme="minorHAnsi" w:eastAsiaTheme="minorEastAsia" w:hAnsiTheme="minorHAnsi"/>
            <w:noProof/>
            <w:color w:val="auto"/>
            <w:sz w:val="22"/>
            <w:lang w:val="en-GB" w:eastAsia="en-GB"/>
          </w:rPr>
          <w:tab/>
        </w:r>
        <w:r w:rsidR="00864E8E" w:rsidRPr="00CE1178">
          <w:rPr>
            <w:rStyle w:val="Hyperlink"/>
            <w:noProof/>
          </w:rPr>
          <w:t>Cadrul de politică al UE</w:t>
        </w:r>
        <w:r w:rsidR="00864E8E">
          <w:rPr>
            <w:noProof/>
            <w:webHidden/>
          </w:rPr>
          <w:tab/>
        </w:r>
        <w:r w:rsidR="00864E8E">
          <w:rPr>
            <w:noProof/>
            <w:webHidden/>
          </w:rPr>
          <w:fldChar w:fldCharType="begin"/>
        </w:r>
        <w:r w:rsidR="00864E8E">
          <w:rPr>
            <w:noProof/>
            <w:webHidden/>
          </w:rPr>
          <w:instrText xml:space="preserve"> PAGEREF _Toc508889172 \h </w:instrText>
        </w:r>
        <w:r w:rsidR="00864E8E">
          <w:rPr>
            <w:noProof/>
            <w:webHidden/>
          </w:rPr>
        </w:r>
        <w:r w:rsidR="00864E8E">
          <w:rPr>
            <w:noProof/>
            <w:webHidden/>
          </w:rPr>
          <w:fldChar w:fldCharType="separate"/>
        </w:r>
        <w:r w:rsidR="000E1142">
          <w:rPr>
            <w:noProof/>
            <w:webHidden/>
          </w:rPr>
          <w:t>10</w:t>
        </w:r>
        <w:r w:rsidR="00864E8E">
          <w:rPr>
            <w:noProof/>
            <w:webHidden/>
          </w:rPr>
          <w:fldChar w:fldCharType="end"/>
        </w:r>
      </w:hyperlink>
    </w:p>
    <w:p w:rsidR="00864E8E" w:rsidRDefault="008A60B4">
      <w:pPr>
        <w:pStyle w:val="TOC3"/>
        <w:tabs>
          <w:tab w:val="right" w:leader="dot" w:pos="9040"/>
        </w:tabs>
        <w:rPr>
          <w:rFonts w:asciiTheme="minorHAnsi" w:eastAsiaTheme="minorEastAsia" w:hAnsiTheme="minorHAnsi"/>
          <w:noProof/>
          <w:color w:val="auto"/>
          <w:sz w:val="22"/>
          <w:lang w:val="en-GB" w:eastAsia="en-GB"/>
        </w:rPr>
      </w:pPr>
      <w:hyperlink w:anchor="_Toc508889173" w:history="1">
        <w:r w:rsidR="00864E8E" w:rsidRPr="00FA63BD">
          <w:rPr>
            <w:rStyle w:val="Hyperlink"/>
            <w:noProof/>
          </w:rPr>
          <w:t>1</w:t>
        </w:r>
        <w:r w:rsidR="00864E8E" w:rsidRPr="00CE1178">
          <w:rPr>
            <w:rStyle w:val="Hyperlink"/>
            <w:noProof/>
          </w:rPr>
          <w:t>.</w:t>
        </w:r>
        <w:r w:rsidR="00864E8E" w:rsidRPr="00FA63BD">
          <w:rPr>
            <w:rStyle w:val="Hyperlink"/>
            <w:noProof/>
          </w:rPr>
          <w:t>2</w:t>
        </w:r>
        <w:r w:rsidR="00864E8E" w:rsidRPr="00CE1178">
          <w:rPr>
            <w:rStyle w:val="Hyperlink"/>
            <w:noProof/>
          </w:rPr>
          <w:t>.</w:t>
        </w:r>
        <w:r w:rsidR="00864E8E" w:rsidRPr="00FA63BD">
          <w:rPr>
            <w:rStyle w:val="Hyperlink"/>
            <w:noProof/>
          </w:rPr>
          <w:t>1</w:t>
        </w:r>
        <w:r w:rsidR="00864E8E">
          <w:rPr>
            <w:rFonts w:asciiTheme="minorHAnsi" w:eastAsiaTheme="minorEastAsia" w:hAnsiTheme="minorHAnsi"/>
            <w:noProof/>
            <w:color w:val="auto"/>
            <w:sz w:val="22"/>
            <w:lang w:val="en-GB" w:eastAsia="en-GB"/>
          </w:rPr>
          <w:tab/>
        </w:r>
        <w:r w:rsidR="00864E8E" w:rsidRPr="00CE1178">
          <w:rPr>
            <w:rStyle w:val="Hyperlink"/>
            <w:noProof/>
          </w:rPr>
          <w:t>Cadrul de politică pentru inovare în UE și politica de dezvoltare rurală</w:t>
        </w:r>
        <w:r w:rsidR="00864E8E">
          <w:rPr>
            <w:noProof/>
            <w:webHidden/>
          </w:rPr>
          <w:tab/>
        </w:r>
        <w:r w:rsidR="00864E8E">
          <w:rPr>
            <w:noProof/>
            <w:webHidden/>
          </w:rPr>
          <w:fldChar w:fldCharType="begin"/>
        </w:r>
        <w:r w:rsidR="00864E8E">
          <w:rPr>
            <w:noProof/>
            <w:webHidden/>
          </w:rPr>
          <w:instrText xml:space="preserve"> PAGEREF _Toc508889173 \h </w:instrText>
        </w:r>
        <w:r w:rsidR="00864E8E">
          <w:rPr>
            <w:noProof/>
            <w:webHidden/>
          </w:rPr>
        </w:r>
        <w:r w:rsidR="00864E8E">
          <w:rPr>
            <w:noProof/>
            <w:webHidden/>
          </w:rPr>
          <w:fldChar w:fldCharType="separate"/>
        </w:r>
        <w:r w:rsidR="000E1142">
          <w:rPr>
            <w:noProof/>
            <w:webHidden/>
          </w:rPr>
          <w:t>10</w:t>
        </w:r>
        <w:r w:rsidR="00864E8E">
          <w:rPr>
            <w:noProof/>
            <w:webHidden/>
          </w:rPr>
          <w:fldChar w:fldCharType="end"/>
        </w:r>
      </w:hyperlink>
    </w:p>
    <w:p w:rsidR="00864E8E" w:rsidRDefault="008A60B4">
      <w:pPr>
        <w:pStyle w:val="TOC3"/>
        <w:tabs>
          <w:tab w:val="right" w:leader="dot" w:pos="9040"/>
        </w:tabs>
        <w:rPr>
          <w:rFonts w:asciiTheme="minorHAnsi" w:eastAsiaTheme="minorEastAsia" w:hAnsiTheme="minorHAnsi"/>
          <w:noProof/>
          <w:color w:val="auto"/>
          <w:sz w:val="22"/>
          <w:lang w:val="en-GB" w:eastAsia="en-GB"/>
        </w:rPr>
      </w:pPr>
      <w:hyperlink w:anchor="_Toc508889174" w:history="1">
        <w:r w:rsidR="00864E8E" w:rsidRPr="00FA63BD">
          <w:rPr>
            <w:rStyle w:val="Hyperlink"/>
            <w:noProof/>
          </w:rPr>
          <w:t>1</w:t>
        </w:r>
        <w:r w:rsidR="00864E8E" w:rsidRPr="00CE1178">
          <w:rPr>
            <w:rStyle w:val="Hyperlink"/>
            <w:noProof/>
          </w:rPr>
          <w:t>.</w:t>
        </w:r>
        <w:r w:rsidR="00864E8E" w:rsidRPr="00FA63BD">
          <w:rPr>
            <w:rStyle w:val="Hyperlink"/>
            <w:noProof/>
          </w:rPr>
          <w:t>2</w:t>
        </w:r>
        <w:r w:rsidR="00864E8E" w:rsidRPr="00CE1178">
          <w:rPr>
            <w:rStyle w:val="Hyperlink"/>
            <w:noProof/>
          </w:rPr>
          <w:t>.</w:t>
        </w:r>
        <w:r w:rsidR="00864E8E" w:rsidRPr="00FA63BD">
          <w:rPr>
            <w:rStyle w:val="Hyperlink"/>
            <w:noProof/>
          </w:rPr>
          <w:t>2</w:t>
        </w:r>
        <w:r w:rsidR="00864E8E">
          <w:rPr>
            <w:rFonts w:asciiTheme="minorHAnsi" w:eastAsiaTheme="minorEastAsia" w:hAnsiTheme="minorHAnsi"/>
            <w:noProof/>
            <w:color w:val="auto"/>
            <w:sz w:val="22"/>
            <w:lang w:val="en-GB" w:eastAsia="en-GB"/>
          </w:rPr>
          <w:tab/>
        </w:r>
        <w:r w:rsidR="00864E8E" w:rsidRPr="00CE1178">
          <w:rPr>
            <w:rStyle w:val="Hyperlink"/>
            <w:noProof/>
          </w:rPr>
          <w:t>Elemente de evaluare comune pentru inovare</w:t>
        </w:r>
        <w:r w:rsidR="00864E8E">
          <w:rPr>
            <w:noProof/>
            <w:webHidden/>
          </w:rPr>
          <w:tab/>
        </w:r>
        <w:r w:rsidR="00864E8E">
          <w:rPr>
            <w:noProof/>
            <w:webHidden/>
          </w:rPr>
          <w:fldChar w:fldCharType="begin"/>
        </w:r>
        <w:r w:rsidR="00864E8E">
          <w:rPr>
            <w:noProof/>
            <w:webHidden/>
          </w:rPr>
          <w:instrText xml:space="preserve"> PAGEREF _Toc508889174 \h </w:instrText>
        </w:r>
        <w:r w:rsidR="00864E8E">
          <w:rPr>
            <w:noProof/>
            <w:webHidden/>
          </w:rPr>
        </w:r>
        <w:r w:rsidR="00864E8E">
          <w:rPr>
            <w:noProof/>
            <w:webHidden/>
          </w:rPr>
          <w:fldChar w:fldCharType="separate"/>
        </w:r>
        <w:r w:rsidR="000E1142">
          <w:rPr>
            <w:noProof/>
            <w:webHidden/>
          </w:rPr>
          <w:t>13</w:t>
        </w:r>
        <w:r w:rsidR="00864E8E">
          <w:rPr>
            <w:noProof/>
            <w:webHidden/>
          </w:rPr>
          <w:fldChar w:fldCharType="end"/>
        </w:r>
      </w:hyperlink>
    </w:p>
    <w:p w:rsidR="00864E8E" w:rsidRDefault="008A60B4">
      <w:pPr>
        <w:pStyle w:val="TOC2"/>
        <w:tabs>
          <w:tab w:val="right" w:leader="dot" w:pos="9040"/>
        </w:tabs>
        <w:rPr>
          <w:rFonts w:asciiTheme="minorHAnsi" w:eastAsiaTheme="minorEastAsia" w:hAnsiTheme="minorHAnsi"/>
          <w:noProof/>
          <w:color w:val="auto"/>
          <w:sz w:val="22"/>
          <w:lang w:val="en-GB" w:eastAsia="en-GB"/>
        </w:rPr>
      </w:pPr>
      <w:hyperlink w:anchor="_Toc508889175" w:history="1">
        <w:r w:rsidR="00864E8E" w:rsidRPr="00FA63BD">
          <w:rPr>
            <w:rStyle w:val="Hyperlink"/>
            <w:noProof/>
          </w:rPr>
          <w:t>1</w:t>
        </w:r>
        <w:r w:rsidR="00864E8E" w:rsidRPr="00CE1178">
          <w:rPr>
            <w:rStyle w:val="Hyperlink"/>
            <w:noProof/>
          </w:rPr>
          <w:t>.</w:t>
        </w:r>
        <w:r w:rsidR="00864E8E" w:rsidRPr="00FA63BD">
          <w:rPr>
            <w:rStyle w:val="Hyperlink"/>
            <w:noProof/>
          </w:rPr>
          <w:t>3</w:t>
        </w:r>
        <w:r w:rsidR="00864E8E">
          <w:rPr>
            <w:rFonts w:asciiTheme="minorHAnsi" w:eastAsiaTheme="minorEastAsia" w:hAnsiTheme="minorHAnsi"/>
            <w:noProof/>
            <w:color w:val="auto"/>
            <w:sz w:val="22"/>
            <w:lang w:val="en-GB" w:eastAsia="en-GB"/>
          </w:rPr>
          <w:tab/>
        </w:r>
        <w:r w:rsidR="00864E8E" w:rsidRPr="00CE1178">
          <w:rPr>
            <w:rStyle w:val="Hyperlink"/>
            <w:noProof/>
          </w:rPr>
          <w:t>Provocări în ceea ce privește evaluarea inovării</w:t>
        </w:r>
        <w:r w:rsidR="00864E8E">
          <w:rPr>
            <w:noProof/>
            <w:webHidden/>
          </w:rPr>
          <w:tab/>
        </w:r>
        <w:r w:rsidR="00864E8E">
          <w:rPr>
            <w:noProof/>
            <w:webHidden/>
          </w:rPr>
          <w:fldChar w:fldCharType="begin"/>
        </w:r>
        <w:r w:rsidR="00864E8E">
          <w:rPr>
            <w:noProof/>
            <w:webHidden/>
          </w:rPr>
          <w:instrText xml:space="preserve"> PAGEREF _Toc508889175 \h </w:instrText>
        </w:r>
        <w:r w:rsidR="00864E8E">
          <w:rPr>
            <w:noProof/>
            <w:webHidden/>
          </w:rPr>
        </w:r>
        <w:r w:rsidR="00864E8E">
          <w:rPr>
            <w:noProof/>
            <w:webHidden/>
          </w:rPr>
          <w:fldChar w:fldCharType="separate"/>
        </w:r>
        <w:r w:rsidR="000E1142">
          <w:rPr>
            <w:noProof/>
            <w:webHidden/>
          </w:rPr>
          <w:t>15</w:t>
        </w:r>
        <w:r w:rsidR="00864E8E">
          <w:rPr>
            <w:noProof/>
            <w:webHidden/>
          </w:rPr>
          <w:fldChar w:fldCharType="end"/>
        </w:r>
      </w:hyperlink>
    </w:p>
    <w:p w:rsidR="00864E8E" w:rsidRDefault="008A60B4">
      <w:pPr>
        <w:pStyle w:val="TOC1"/>
        <w:tabs>
          <w:tab w:val="right" w:leader="dot" w:pos="9040"/>
        </w:tabs>
        <w:rPr>
          <w:rFonts w:asciiTheme="minorHAnsi" w:eastAsiaTheme="minorEastAsia" w:hAnsiTheme="minorHAnsi"/>
          <w:b w:val="0"/>
          <w:caps w:val="0"/>
          <w:noProof/>
          <w:color w:val="auto"/>
          <w:sz w:val="22"/>
          <w:lang w:val="en-GB" w:eastAsia="en-GB"/>
        </w:rPr>
      </w:pPr>
      <w:hyperlink w:anchor="_Toc508889176" w:history="1">
        <w:r w:rsidR="00864E8E" w:rsidRPr="00FA63BD">
          <w:rPr>
            <w:rStyle w:val="Hyperlink"/>
            <w:noProof/>
          </w:rPr>
          <w:t>2</w:t>
        </w:r>
        <w:r w:rsidR="00864E8E" w:rsidRPr="00CE1178">
          <w:rPr>
            <w:rStyle w:val="Hyperlink"/>
            <w:noProof/>
          </w:rPr>
          <w:t>.</w:t>
        </w:r>
        <w:r w:rsidR="00864E8E">
          <w:rPr>
            <w:rFonts w:asciiTheme="minorHAnsi" w:eastAsiaTheme="minorEastAsia" w:hAnsiTheme="minorHAnsi"/>
            <w:b w:val="0"/>
            <w:caps w:val="0"/>
            <w:noProof/>
            <w:color w:val="auto"/>
            <w:sz w:val="22"/>
            <w:lang w:val="en-GB" w:eastAsia="en-GB"/>
          </w:rPr>
          <w:tab/>
        </w:r>
        <w:r w:rsidR="00864E8E" w:rsidRPr="00CE1178">
          <w:rPr>
            <w:rStyle w:val="Hyperlink"/>
            <w:noProof/>
          </w:rPr>
          <w:t>Cum se evaluează inovarea în PDR-uri</w:t>
        </w:r>
        <w:r w:rsidR="00864E8E">
          <w:rPr>
            <w:noProof/>
            <w:webHidden/>
          </w:rPr>
          <w:tab/>
        </w:r>
        <w:r w:rsidR="00864E8E">
          <w:rPr>
            <w:noProof/>
            <w:webHidden/>
          </w:rPr>
          <w:fldChar w:fldCharType="begin"/>
        </w:r>
        <w:r w:rsidR="00864E8E">
          <w:rPr>
            <w:noProof/>
            <w:webHidden/>
          </w:rPr>
          <w:instrText xml:space="preserve"> PAGEREF _Toc508889176 \h </w:instrText>
        </w:r>
        <w:r w:rsidR="00864E8E">
          <w:rPr>
            <w:noProof/>
            <w:webHidden/>
          </w:rPr>
        </w:r>
        <w:r w:rsidR="00864E8E">
          <w:rPr>
            <w:noProof/>
            <w:webHidden/>
          </w:rPr>
          <w:fldChar w:fldCharType="separate"/>
        </w:r>
        <w:r w:rsidR="000E1142">
          <w:rPr>
            <w:noProof/>
            <w:webHidden/>
          </w:rPr>
          <w:t>17</w:t>
        </w:r>
        <w:r w:rsidR="00864E8E">
          <w:rPr>
            <w:noProof/>
            <w:webHidden/>
          </w:rPr>
          <w:fldChar w:fldCharType="end"/>
        </w:r>
      </w:hyperlink>
    </w:p>
    <w:p w:rsidR="00864E8E" w:rsidRDefault="008A60B4">
      <w:pPr>
        <w:pStyle w:val="TOC2"/>
        <w:tabs>
          <w:tab w:val="right" w:leader="dot" w:pos="9040"/>
        </w:tabs>
        <w:rPr>
          <w:rFonts w:asciiTheme="minorHAnsi" w:eastAsiaTheme="minorEastAsia" w:hAnsiTheme="minorHAnsi"/>
          <w:noProof/>
          <w:color w:val="auto"/>
          <w:sz w:val="22"/>
          <w:lang w:val="en-GB" w:eastAsia="en-GB"/>
        </w:rPr>
      </w:pPr>
      <w:hyperlink w:anchor="_Toc508889177" w:history="1">
        <w:r w:rsidR="00864E8E" w:rsidRPr="00FA63BD">
          <w:rPr>
            <w:rStyle w:val="Hyperlink"/>
            <w:noProof/>
          </w:rPr>
          <w:t>2</w:t>
        </w:r>
        <w:r w:rsidR="00864E8E" w:rsidRPr="00CE1178">
          <w:rPr>
            <w:rStyle w:val="Hyperlink"/>
            <w:noProof/>
          </w:rPr>
          <w:t>.</w:t>
        </w:r>
        <w:r w:rsidR="00864E8E" w:rsidRPr="00FA63BD">
          <w:rPr>
            <w:rStyle w:val="Hyperlink"/>
            <w:noProof/>
          </w:rPr>
          <w:t>1</w:t>
        </w:r>
        <w:r w:rsidR="00864E8E">
          <w:rPr>
            <w:rFonts w:asciiTheme="minorHAnsi" w:eastAsiaTheme="minorEastAsia" w:hAnsiTheme="minorHAnsi"/>
            <w:noProof/>
            <w:color w:val="auto"/>
            <w:sz w:val="22"/>
            <w:lang w:val="en-GB" w:eastAsia="en-GB"/>
          </w:rPr>
          <w:tab/>
        </w:r>
        <w:r w:rsidR="00864E8E" w:rsidRPr="00CE1178">
          <w:rPr>
            <w:rStyle w:val="Hyperlink"/>
            <w:noProof/>
          </w:rPr>
          <w:t xml:space="preserve">Abordare sugerată de evaluare a inovării în PDR-urile </w:t>
        </w:r>
        <w:r w:rsidR="00864E8E" w:rsidRPr="00FA63BD">
          <w:rPr>
            <w:rStyle w:val="Hyperlink"/>
            <w:noProof/>
          </w:rPr>
          <w:t>2014</w:t>
        </w:r>
        <w:r w:rsidR="00864E8E" w:rsidRPr="00CE1178">
          <w:rPr>
            <w:rStyle w:val="Hyperlink"/>
            <w:noProof/>
          </w:rPr>
          <w:t>-</w:t>
        </w:r>
        <w:r w:rsidR="00864E8E" w:rsidRPr="00FA63BD">
          <w:rPr>
            <w:rStyle w:val="Hyperlink"/>
            <w:noProof/>
          </w:rPr>
          <w:t>2020</w:t>
        </w:r>
        <w:r w:rsidR="00864E8E" w:rsidRPr="00CE1178">
          <w:rPr>
            <w:rStyle w:val="Hyperlink"/>
            <w:noProof/>
          </w:rPr>
          <w:t xml:space="preserve"> (prezentare generală)</w:t>
        </w:r>
        <w:r w:rsidR="00864E8E">
          <w:rPr>
            <w:noProof/>
            <w:webHidden/>
          </w:rPr>
          <w:tab/>
        </w:r>
        <w:r w:rsidR="00864E8E">
          <w:rPr>
            <w:noProof/>
            <w:webHidden/>
          </w:rPr>
          <w:fldChar w:fldCharType="begin"/>
        </w:r>
        <w:r w:rsidR="00864E8E">
          <w:rPr>
            <w:noProof/>
            <w:webHidden/>
          </w:rPr>
          <w:instrText xml:space="preserve"> PAGEREF _Toc508889177 \h </w:instrText>
        </w:r>
        <w:r w:rsidR="00864E8E">
          <w:rPr>
            <w:noProof/>
            <w:webHidden/>
          </w:rPr>
        </w:r>
        <w:r w:rsidR="00864E8E">
          <w:rPr>
            <w:noProof/>
            <w:webHidden/>
          </w:rPr>
          <w:fldChar w:fldCharType="separate"/>
        </w:r>
        <w:r w:rsidR="000E1142">
          <w:rPr>
            <w:noProof/>
            <w:webHidden/>
          </w:rPr>
          <w:t>17</w:t>
        </w:r>
        <w:r w:rsidR="00864E8E">
          <w:rPr>
            <w:noProof/>
            <w:webHidden/>
          </w:rPr>
          <w:fldChar w:fldCharType="end"/>
        </w:r>
      </w:hyperlink>
    </w:p>
    <w:p w:rsidR="00864E8E" w:rsidRDefault="008A60B4">
      <w:pPr>
        <w:pStyle w:val="TOC2"/>
        <w:tabs>
          <w:tab w:val="right" w:leader="dot" w:pos="9040"/>
        </w:tabs>
        <w:rPr>
          <w:rFonts w:asciiTheme="minorHAnsi" w:eastAsiaTheme="minorEastAsia" w:hAnsiTheme="minorHAnsi"/>
          <w:noProof/>
          <w:color w:val="auto"/>
          <w:sz w:val="22"/>
          <w:lang w:val="en-GB" w:eastAsia="en-GB"/>
        </w:rPr>
      </w:pPr>
      <w:hyperlink w:anchor="_Toc508889178" w:history="1">
        <w:r w:rsidR="00864E8E" w:rsidRPr="00FA63BD">
          <w:rPr>
            <w:rStyle w:val="Hyperlink"/>
            <w:noProof/>
          </w:rPr>
          <w:t>2</w:t>
        </w:r>
        <w:r w:rsidR="00864E8E" w:rsidRPr="00CE1178">
          <w:rPr>
            <w:rStyle w:val="Hyperlink"/>
            <w:noProof/>
          </w:rPr>
          <w:t>.</w:t>
        </w:r>
        <w:r w:rsidR="00864E8E" w:rsidRPr="00FA63BD">
          <w:rPr>
            <w:rStyle w:val="Hyperlink"/>
            <w:noProof/>
          </w:rPr>
          <w:t>2</w:t>
        </w:r>
        <w:r w:rsidR="00864E8E">
          <w:rPr>
            <w:rFonts w:asciiTheme="minorHAnsi" w:eastAsiaTheme="minorEastAsia" w:hAnsiTheme="minorHAnsi"/>
            <w:noProof/>
            <w:color w:val="auto"/>
            <w:sz w:val="22"/>
            <w:lang w:val="en-GB" w:eastAsia="en-GB"/>
          </w:rPr>
          <w:tab/>
        </w:r>
        <w:r w:rsidR="00864E8E" w:rsidRPr="00CE1178">
          <w:rPr>
            <w:rStyle w:val="Hyperlink"/>
            <w:noProof/>
          </w:rPr>
          <w:t>Examinarea potențialului de inovare al măsurilor/submăsurilor din cadrul PDR (recomandată)</w:t>
        </w:r>
        <w:r w:rsidR="00864E8E">
          <w:rPr>
            <w:noProof/>
            <w:webHidden/>
          </w:rPr>
          <w:tab/>
        </w:r>
        <w:r w:rsidR="00864E8E">
          <w:rPr>
            <w:noProof/>
            <w:webHidden/>
          </w:rPr>
          <w:fldChar w:fldCharType="begin"/>
        </w:r>
        <w:r w:rsidR="00864E8E">
          <w:rPr>
            <w:noProof/>
            <w:webHidden/>
          </w:rPr>
          <w:instrText xml:space="preserve"> PAGEREF _Toc508889178 \h </w:instrText>
        </w:r>
        <w:r w:rsidR="00864E8E">
          <w:rPr>
            <w:noProof/>
            <w:webHidden/>
          </w:rPr>
        </w:r>
        <w:r w:rsidR="00864E8E">
          <w:rPr>
            <w:noProof/>
            <w:webHidden/>
          </w:rPr>
          <w:fldChar w:fldCharType="separate"/>
        </w:r>
        <w:r w:rsidR="000E1142">
          <w:rPr>
            <w:noProof/>
            <w:webHidden/>
          </w:rPr>
          <w:t>20</w:t>
        </w:r>
        <w:r w:rsidR="00864E8E">
          <w:rPr>
            <w:noProof/>
            <w:webHidden/>
          </w:rPr>
          <w:fldChar w:fldCharType="end"/>
        </w:r>
      </w:hyperlink>
    </w:p>
    <w:p w:rsidR="00864E8E" w:rsidRDefault="008A60B4">
      <w:pPr>
        <w:pStyle w:val="TOC2"/>
        <w:tabs>
          <w:tab w:val="right" w:leader="dot" w:pos="9040"/>
        </w:tabs>
        <w:rPr>
          <w:rFonts w:asciiTheme="minorHAnsi" w:eastAsiaTheme="minorEastAsia" w:hAnsiTheme="minorHAnsi"/>
          <w:noProof/>
          <w:color w:val="auto"/>
          <w:sz w:val="22"/>
          <w:lang w:val="en-GB" w:eastAsia="en-GB"/>
        </w:rPr>
      </w:pPr>
      <w:hyperlink w:anchor="_Toc508889179" w:history="1">
        <w:r w:rsidR="00864E8E" w:rsidRPr="00FA63BD">
          <w:rPr>
            <w:rStyle w:val="Hyperlink"/>
            <w:noProof/>
          </w:rPr>
          <w:t>2</w:t>
        </w:r>
        <w:r w:rsidR="00864E8E" w:rsidRPr="00CE1178">
          <w:rPr>
            <w:rStyle w:val="Hyperlink"/>
            <w:noProof/>
          </w:rPr>
          <w:t>.</w:t>
        </w:r>
        <w:r w:rsidR="00864E8E" w:rsidRPr="00FA63BD">
          <w:rPr>
            <w:rStyle w:val="Hyperlink"/>
            <w:noProof/>
          </w:rPr>
          <w:t>3</w:t>
        </w:r>
        <w:r w:rsidR="00864E8E">
          <w:rPr>
            <w:rFonts w:asciiTheme="minorHAnsi" w:eastAsiaTheme="minorEastAsia" w:hAnsiTheme="minorHAnsi"/>
            <w:noProof/>
            <w:color w:val="auto"/>
            <w:sz w:val="22"/>
            <w:lang w:val="en-GB" w:eastAsia="en-GB"/>
          </w:rPr>
          <w:tab/>
        </w:r>
        <w:r w:rsidR="00864E8E" w:rsidRPr="00CE1178">
          <w:rPr>
            <w:rStyle w:val="Hyperlink"/>
            <w:noProof/>
          </w:rPr>
          <w:t>Completarea elementelor de evaluare comune pentru inovare (recomandată)</w:t>
        </w:r>
        <w:r w:rsidR="00864E8E">
          <w:rPr>
            <w:noProof/>
            <w:webHidden/>
          </w:rPr>
          <w:tab/>
        </w:r>
        <w:r w:rsidR="00864E8E">
          <w:rPr>
            <w:noProof/>
            <w:webHidden/>
          </w:rPr>
          <w:fldChar w:fldCharType="begin"/>
        </w:r>
        <w:r w:rsidR="00864E8E">
          <w:rPr>
            <w:noProof/>
            <w:webHidden/>
          </w:rPr>
          <w:instrText xml:space="preserve"> PAGEREF _Toc508889179 \h </w:instrText>
        </w:r>
        <w:r w:rsidR="00864E8E">
          <w:rPr>
            <w:noProof/>
            <w:webHidden/>
          </w:rPr>
        </w:r>
        <w:r w:rsidR="00864E8E">
          <w:rPr>
            <w:noProof/>
            <w:webHidden/>
          </w:rPr>
          <w:fldChar w:fldCharType="separate"/>
        </w:r>
        <w:r w:rsidR="000E1142">
          <w:rPr>
            <w:noProof/>
            <w:webHidden/>
          </w:rPr>
          <w:t>24</w:t>
        </w:r>
        <w:r w:rsidR="00864E8E">
          <w:rPr>
            <w:noProof/>
            <w:webHidden/>
          </w:rPr>
          <w:fldChar w:fldCharType="end"/>
        </w:r>
      </w:hyperlink>
    </w:p>
    <w:p w:rsidR="00864E8E" w:rsidRDefault="008A60B4">
      <w:pPr>
        <w:pStyle w:val="TOC2"/>
        <w:tabs>
          <w:tab w:val="right" w:leader="dot" w:pos="9040"/>
        </w:tabs>
        <w:rPr>
          <w:rFonts w:asciiTheme="minorHAnsi" w:eastAsiaTheme="minorEastAsia" w:hAnsiTheme="minorHAnsi"/>
          <w:noProof/>
          <w:color w:val="auto"/>
          <w:sz w:val="22"/>
          <w:lang w:val="en-GB" w:eastAsia="en-GB"/>
        </w:rPr>
      </w:pPr>
      <w:hyperlink w:anchor="_Toc508889180" w:history="1">
        <w:r w:rsidR="00864E8E" w:rsidRPr="00FA63BD">
          <w:rPr>
            <w:rStyle w:val="Hyperlink"/>
            <w:noProof/>
            <w:snapToGrid w:val="0"/>
          </w:rPr>
          <w:t>2</w:t>
        </w:r>
        <w:r w:rsidR="00864E8E" w:rsidRPr="00CE1178">
          <w:rPr>
            <w:rStyle w:val="Hyperlink"/>
            <w:noProof/>
            <w:snapToGrid w:val="0"/>
          </w:rPr>
          <w:t>.</w:t>
        </w:r>
        <w:r w:rsidR="00864E8E" w:rsidRPr="00FA63BD">
          <w:rPr>
            <w:rStyle w:val="Hyperlink"/>
            <w:noProof/>
            <w:snapToGrid w:val="0"/>
          </w:rPr>
          <w:t>4</w:t>
        </w:r>
        <w:r w:rsidR="00864E8E">
          <w:rPr>
            <w:rFonts w:asciiTheme="minorHAnsi" w:eastAsiaTheme="minorEastAsia" w:hAnsiTheme="minorHAnsi"/>
            <w:noProof/>
            <w:color w:val="auto"/>
            <w:sz w:val="22"/>
            <w:lang w:val="en-GB" w:eastAsia="en-GB"/>
          </w:rPr>
          <w:tab/>
        </w:r>
        <w:r w:rsidR="00864E8E" w:rsidRPr="00CE1178">
          <w:rPr>
            <w:rStyle w:val="Hyperlink"/>
            <w:noProof/>
          </w:rPr>
          <w:t>Furnizarea de răspunsuri la întrebările de evaluare comune relevante (obligatorie)</w:t>
        </w:r>
        <w:r w:rsidR="00864E8E">
          <w:rPr>
            <w:noProof/>
            <w:webHidden/>
          </w:rPr>
          <w:tab/>
        </w:r>
        <w:r w:rsidR="00864E8E">
          <w:rPr>
            <w:noProof/>
            <w:webHidden/>
          </w:rPr>
          <w:fldChar w:fldCharType="begin"/>
        </w:r>
        <w:r w:rsidR="00864E8E">
          <w:rPr>
            <w:noProof/>
            <w:webHidden/>
          </w:rPr>
          <w:instrText xml:space="preserve"> PAGEREF _Toc508889180 \h </w:instrText>
        </w:r>
        <w:r w:rsidR="00864E8E">
          <w:rPr>
            <w:noProof/>
            <w:webHidden/>
          </w:rPr>
        </w:r>
        <w:r w:rsidR="00864E8E">
          <w:rPr>
            <w:noProof/>
            <w:webHidden/>
          </w:rPr>
          <w:fldChar w:fldCharType="separate"/>
        </w:r>
        <w:r w:rsidR="000E1142">
          <w:rPr>
            <w:noProof/>
            <w:webHidden/>
          </w:rPr>
          <w:t>25</w:t>
        </w:r>
        <w:r w:rsidR="00864E8E">
          <w:rPr>
            <w:noProof/>
            <w:webHidden/>
          </w:rPr>
          <w:fldChar w:fldCharType="end"/>
        </w:r>
      </w:hyperlink>
    </w:p>
    <w:p w:rsidR="00864E8E" w:rsidRDefault="008A60B4">
      <w:pPr>
        <w:pStyle w:val="TOC3"/>
        <w:tabs>
          <w:tab w:val="right" w:leader="dot" w:pos="9040"/>
        </w:tabs>
        <w:rPr>
          <w:rFonts w:asciiTheme="minorHAnsi" w:eastAsiaTheme="minorEastAsia" w:hAnsiTheme="minorHAnsi"/>
          <w:noProof/>
          <w:color w:val="auto"/>
          <w:sz w:val="22"/>
          <w:lang w:val="en-GB" w:eastAsia="en-GB"/>
        </w:rPr>
      </w:pPr>
      <w:hyperlink w:anchor="_Toc508889181" w:history="1">
        <w:r w:rsidR="00864E8E" w:rsidRPr="00FA63BD">
          <w:rPr>
            <w:rStyle w:val="Hyperlink"/>
            <w:noProof/>
          </w:rPr>
          <w:t>2</w:t>
        </w:r>
        <w:r w:rsidR="00864E8E" w:rsidRPr="00CE1178">
          <w:rPr>
            <w:rStyle w:val="Hyperlink"/>
            <w:noProof/>
          </w:rPr>
          <w:t>.</w:t>
        </w:r>
        <w:r w:rsidR="00864E8E" w:rsidRPr="00FA63BD">
          <w:rPr>
            <w:rStyle w:val="Hyperlink"/>
            <w:noProof/>
          </w:rPr>
          <w:t>4</w:t>
        </w:r>
        <w:r w:rsidR="00864E8E" w:rsidRPr="00CE1178">
          <w:rPr>
            <w:rStyle w:val="Hyperlink"/>
            <w:noProof/>
          </w:rPr>
          <w:t>.</w:t>
        </w:r>
        <w:r w:rsidR="00864E8E" w:rsidRPr="00FA63BD">
          <w:rPr>
            <w:rStyle w:val="Hyperlink"/>
            <w:noProof/>
          </w:rPr>
          <w:t>1</w:t>
        </w:r>
        <w:r w:rsidR="00864E8E">
          <w:rPr>
            <w:rFonts w:asciiTheme="minorHAnsi" w:eastAsiaTheme="minorEastAsia" w:hAnsiTheme="minorHAnsi"/>
            <w:noProof/>
            <w:color w:val="auto"/>
            <w:sz w:val="22"/>
            <w:lang w:val="en-GB" w:eastAsia="en-GB"/>
          </w:rPr>
          <w:tab/>
        </w:r>
        <w:r w:rsidR="00864E8E" w:rsidRPr="00CE1178">
          <w:rPr>
            <w:rStyle w:val="Hyperlink"/>
            <w:noProof/>
          </w:rPr>
          <w:t xml:space="preserve">IEC nr. </w:t>
        </w:r>
        <w:r w:rsidR="00864E8E" w:rsidRPr="00FA63BD">
          <w:rPr>
            <w:rStyle w:val="Hyperlink"/>
            <w:noProof/>
          </w:rPr>
          <w:t>1</w:t>
        </w:r>
        <w:r w:rsidR="00864E8E" w:rsidRPr="00CE1178">
          <w:rPr>
            <w:rStyle w:val="Hyperlink"/>
            <w:noProof/>
          </w:rPr>
          <w:t>: „În ce măsură au sprijinit intervențiile PDR inovarea, cooperarea și dezvoltarea bazei de cunoștințe în zonele rurale?”</w:t>
        </w:r>
        <w:r w:rsidR="00864E8E">
          <w:rPr>
            <w:noProof/>
            <w:webHidden/>
          </w:rPr>
          <w:tab/>
        </w:r>
        <w:r w:rsidR="00864E8E">
          <w:rPr>
            <w:noProof/>
            <w:webHidden/>
          </w:rPr>
          <w:fldChar w:fldCharType="begin"/>
        </w:r>
        <w:r w:rsidR="00864E8E">
          <w:rPr>
            <w:noProof/>
            <w:webHidden/>
          </w:rPr>
          <w:instrText xml:space="preserve"> PAGEREF _Toc508889181 \h </w:instrText>
        </w:r>
        <w:r w:rsidR="00864E8E">
          <w:rPr>
            <w:noProof/>
            <w:webHidden/>
          </w:rPr>
        </w:r>
        <w:r w:rsidR="00864E8E">
          <w:rPr>
            <w:noProof/>
            <w:webHidden/>
          </w:rPr>
          <w:fldChar w:fldCharType="separate"/>
        </w:r>
        <w:r w:rsidR="000E1142">
          <w:rPr>
            <w:noProof/>
            <w:webHidden/>
          </w:rPr>
          <w:t>26</w:t>
        </w:r>
        <w:r w:rsidR="00864E8E">
          <w:rPr>
            <w:noProof/>
            <w:webHidden/>
          </w:rPr>
          <w:fldChar w:fldCharType="end"/>
        </w:r>
      </w:hyperlink>
    </w:p>
    <w:p w:rsidR="00864E8E" w:rsidRDefault="008A60B4">
      <w:pPr>
        <w:pStyle w:val="TOC3"/>
        <w:tabs>
          <w:tab w:val="right" w:leader="dot" w:pos="9040"/>
        </w:tabs>
        <w:rPr>
          <w:rFonts w:asciiTheme="minorHAnsi" w:eastAsiaTheme="minorEastAsia" w:hAnsiTheme="minorHAnsi"/>
          <w:noProof/>
          <w:color w:val="auto"/>
          <w:sz w:val="22"/>
          <w:lang w:val="en-GB" w:eastAsia="en-GB"/>
        </w:rPr>
      </w:pPr>
      <w:hyperlink w:anchor="_Toc508889182" w:history="1">
        <w:r w:rsidR="00864E8E" w:rsidRPr="00FA63BD">
          <w:rPr>
            <w:rStyle w:val="Hyperlink"/>
            <w:noProof/>
          </w:rPr>
          <w:t>2</w:t>
        </w:r>
        <w:r w:rsidR="00864E8E" w:rsidRPr="00CE1178">
          <w:rPr>
            <w:rStyle w:val="Hyperlink"/>
            <w:noProof/>
          </w:rPr>
          <w:t>.</w:t>
        </w:r>
        <w:r w:rsidR="00864E8E" w:rsidRPr="00FA63BD">
          <w:rPr>
            <w:rStyle w:val="Hyperlink"/>
            <w:noProof/>
          </w:rPr>
          <w:t>4</w:t>
        </w:r>
        <w:r w:rsidR="00864E8E" w:rsidRPr="00CE1178">
          <w:rPr>
            <w:rStyle w:val="Hyperlink"/>
            <w:noProof/>
          </w:rPr>
          <w:t>.</w:t>
        </w:r>
        <w:r w:rsidR="00864E8E" w:rsidRPr="00FA63BD">
          <w:rPr>
            <w:rStyle w:val="Hyperlink"/>
            <w:noProof/>
          </w:rPr>
          <w:t>2</w:t>
        </w:r>
        <w:r w:rsidR="00864E8E">
          <w:rPr>
            <w:rFonts w:asciiTheme="minorHAnsi" w:eastAsiaTheme="minorEastAsia" w:hAnsiTheme="minorHAnsi"/>
            <w:noProof/>
            <w:color w:val="auto"/>
            <w:sz w:val="22"/>
            <w:lang w:val="en-GB" w:eastAsia="en-GB"/>
          </w:rPr>
          <w:tab/>
        </w:r>
        <w:r w:rsidR="00864E8E" w:rsidRPr="00CE1178">
          <w:rPr>
            <w:rStyle w:val="Hyperlink"/>
            <w:noProof/>
          </w:rPr>
          <w:t xml:space="preserve">IEC nr. </w:t>
        </w:r>
        <w:r w:rsidR="00864E8E" w:rsidRPr="00FA63BD">
          <w:rPr>
            <w:rStyle w:val="Hyperlink"/>
            <w:noProof/>
          </w:rPr>
          <w:t>2</w:t>
        </w:r>
        <w:r w:rsidR="00864E8E" w:rsidRPr="00CE1178">
          <w:rPr>
            <w:rStyle w:val="Hyperlink"/>
            <w:noProof/>
          </w:rPr>
          <w:t>: „În ce măsură au sprijinit intervențiile PDR consolidarea legăturilor dintre agricultură, producția alimentară și silvicultură, pe de o parte, și cercetare și inovare, pe de altă parte, inclusiv în scopul unei gestionări mai bune a mediului și al unei performanțe de mediu îmbunătățite?”</w:t>
        </w:r>
        <w:r w:rsidR="00864E8E">
          <w:rPr>
            <w:noProof/>
            <w:webHidden/>
          </w:rPr>
          <w:tab/>
        </w:r>
        <w:r w:rsidR="00864E8E">
          <w:rPr>
            <w:noProof/>
            <w:webHidden/>
          </w:rPr>
          <w:fldChar w:fldCharType="begin"/>
        </w:r>
        <w:r w:rsidR="00864E8E">
          <w:rPr>
            <w:noProof/>
            <w:webHidden/>
          </w:rPr>
          <w:instrText xml:space="preserve"> PAGEREF _Toc508889182 \h </w:instrText>
        </w:r>
        <w:r w:rsidR="00864E8E">
          <w:rPr>
            <w:noProof/>
            <w:webHidden/>
          </w:rPr>
        </w:r>
        <w:r w:rsidR="00864E8E">
          <w:rPr>
            <w:noProof/>
            <w:webHidden/>
          </w:rPr>
          <w:fldChar w:fldCharType="separate"/>
        </w:r>
        <w:r w:rsidR="000E1142">
          <w:rPr>
            <w:noProof/>
            <w:webHidden/>
          </w:rPr>
          <w:t>37</w:t>
        </w:r>
        <w:r w:rsidR="00864E8E">
          <w:rPr>
            <w:noProof/>
            <w:webHidden/>
          </w:rPr>
          <w:fldChar w:fldCharType="end"/>
        </w:r>
      </w:hyperlink>
    </w:p>
    <w:p w:rsidR="00864E8E" w:rsidRDefault="008A60B4">
      <w:pPr>
        <w:pStyle w:val="TOC3"/>
        <w:tabs>
          <w:tab w:val="right" w:leader="dot" w:pos="9040"/>
        </w:tabs>
        <w:rPr>
          <w:rFonts w:asciiTheme="minorHAnsi" w:eastAsiaTheme="minorEastAsia" w:hAnsiTheme="minorHAnsi"/>
          <w:noProof/>
          <w:color w:val="auto"/>
          <w:sz w:val="22"/>
          <w:lang w:val="en-GB" w:eastAsia="en-GB"/>
        </w:rPr>
      </w:pPr>
      <w:hyperlink w:anchor="_Toc508889183" w:history="1">
        <w:r w:rsidR="00864E8E" w:rsidRPr="00FA63BD">
          <w:rPr>
            <w:rStyle w:val="Hyperlink"/>
            <w:noProof/>
          </w:rPr>
          <w:t>2</w:t>
        </w:r>
        <w:r w:rsidR="00864E8E" w:rsidRPr="00CE1178">
          <w:rPr>
            <w:rStyle w:val="Hyperlink"/>
            <w:noProof/>
          </w:rPr>
          <w:t>.</w:t>
        </w:r>
        <w:r w:rsidR="00864E8E" w:rsidRPr="00FA63BD">
          <w:rPr>
            <w:rStyle w:val="Hyperlink"/>
            <w:noProof/>
          </w:rPr>
          <w:t>4</w:t>
        </w:r>
        <w:r w:rsidR="00864E8E" w:rsidRPr="00CE1178">
          <w:rPr>
            <w:rStyle w:val="Hyperlink"/>
            <w:noProof/>
          </w:rPr>
          <w:t>.</w:t>
        </w:r>
        <w:r w:rsidR="00864E8E" w:rsidRPr="00FA63BD">
          <w:rPr>
            <w:rStyle w:val="Hyperlink"/>
            <w:noProof/>
          </w:rPr>
          <w:t>3</w:t>
        </w:r>
        <w:r w:rsidR="00864E8E">
          <w:rPr>
            <w:rFonts w:asciiTheme="minorHAnsi" w:eastAsiaTheme="minorEastAsia" w:hAnsiTheme="minorHAnsi"/>
            <w:noProof/>
            <w:color w:val="auto"/>
            <w:sz w:val="22"/>
            <w:lang w:val="en-GB" w:eastAsia="en-GB"/>
          </w:rPr>
          <w:tab/>
        </w:r>
        <w:r w:rsidR="00864E8E" w:rsidRPr="00CE1178">
          <w:rPr>
            <w:rStyle w:val="Hyperlink"/>
            <w:noProof/>
          </w:rPr>
          <w:t xml:space="preserve">IEC nr. </w:t>
        </w:r>
        <w:r w:rsidR="00864E8E" w:rsidRPr="00FA63BD">
          <w:rPr>
            <w:rStyle w:val="Hyperlink"/>
            <w:noProof/>
          </w:rPr>
          <w:t>21</w:t>
        </w:r>
        <w:r w:rsidR="00864E8E" w:rsidRPr="00CE1178">
          <w:rPr>
            <w:rStyle w:val="Hyperlink"/>
            <w:noProof/>
          </w:rPr>
          <w:t xml:space="preserve">: „În ce măsură a contribuit rețeaua națională de dezvoltare rurală la îndeplinirea obiectivelor prevăzute la articolul </w:t>
        </w:r>
        <w:r w:rsidR="00864E8E" w:rsidRPr="00FA63BD">
          <w:rPr>
            <w:rStyle w:val="Hyperlink"/>
            <w:noProof/>
          </w:rPr>
          <w:t>54</w:t>
        </w:r>
        <w:r w:rsidR="00864E8E" w:rsidRPr="00CE1178">
          <w:rPr>
            <w:rStyle w:val="Hyperlink"/>
            <w:noProof/>
          </w:rPr>
          <w:t xml:space="preserve"> alineatul (</w:t>
        </w:r>
        <w:r w:rsidR="00864E8E" w:rsidRPr="00FA63BD">
          <w:rPr>
            <w:rStyle w:val="Hyperlink"/>
            <w:noProof/>
          </w:rPr>
          <w:t>2</w:t>
        </w:r>
        <w:r w:rsidR="00864E8E" w:rsidRPr="00CE1178">
          <w:rPr>
            <w:rStyle w:val="Hyperlink"/>
            <w:noProof/>
          </w:rPr>
          <w:t xml:space="preserve">) din Regulamentul (UE) nr. </w:t>
        </w:r>
        <w:r w:rsidR="00864E8E" w:rsidRPr="00FA63BD">
          <w:rPr>
            <w:rStyle w:val="Hyperlink"/>
            <w:noProof/>
          </w:rPr>
          <w:t>1305</w:t>
        </w:r>
        <w:r w:rsidR="00864E8E" w:rsidRPr="00CE1178">
          <w:rPr>
            <w:rStyle w:val="Hyperlink"/>
            <w:noProof/>
          </w:rPr>
          <w:t>/</w:t>
        </w:r>
        <w:r w:rsidR="00864E8E" w:rsidRPr="00FA63BD">
          <w:rPr>
            <w:rStyle w:val="Hyperlink"/>
            <w:noProof/>
          </w:rPr>
          <w:t>2013</w:t>
        </w:r>
        <w:r w:rsidR="00864E8E" w:rsidRPr="00CE1178">
          <w:rPr>
            <w:rStyle w:val="Hyperlink"/>
            <w:noProof/>
          </w:rPr>
          <w:t>?”</w:t>
        </w:r>
        <w:r w:rsidR="00864E8E">
          <w:rPr>
            <w:noProof/>
            <w:webHidden/>
          </w:rPr>
          <w:tab/>
        </w:r>
        <w:r w:rsidR="00864E8E">
          <w:rPr>
            <w:noProof/>
            <w:webHidden/>
          </w:rPr>
          <w:fldChar w:fldCharType="begin"/>
        </w:r>
        <w:r w:rsidR="00864E8E">
          <w:rPr>
            <w:noProof/>
            <w:webHidden/>
          </w:rPr>
          <w:instrText xml:space="preserve"> PAGEREF _Toc508889183 \h </w:instrText>
        </w:r>
        <w:r w:rsidR="00864E8E">
          <w:rPr>
            <w:noProof/>
            <w:webHidden/>
          </w:rPr>
        </w:r>
        <w:r w:rsidR="00864E8E">
          <w:rPr>
            <w:noProof/>
            <w:webHidden/>
          </w:rPr>
          <w:fldChar w:fldCharType="separate"/>
        </w:r>
        <w:r w:rsidR="000E1142">
          <w:rPr>
            <w:noProof/>
            <w:webHidden/>
          </w:rPr>
          <w:t>45</w:t>
        </w:r>
        <w:r w:rsidR="00864E8E">
          <w:rPr>
            <w:noProof/>
            <w:webHidden/>
          </w:rPr>
          <w:fldChar w:fldCharType="end"/>
        </w:r>
      </w:hyperlink>
    </w:p>
    <w:p w:rsidR="00864E8E" w:rsidRDefault="008A60B4">
      <w:pPr>
        <w:pStyle w:val="TOC3"/>
        <w:tabs>
          <w:tab w:val="right" w:leader="dot" w:pos="9040"/>
        </w:tabs>
        <w:rPr>
          <w:rFonts w:asciiTheme="minorHAnsi" w:eastAsiaTheme="minorEastAsia" w:hAnsiTheme="minorHAnsi"/>
          <w:noProof/>
          <w:color w:val="auto"/>
          <w:sz w:val="22"/>
          <w:lang w:val="en-GB" w:eastAsia="en-GB"/>
        </w:rPr>
      </w:pPr>
      <w:hyperlink w:anchor="_Toc508889184" w:history="1">
        <w:r w:rsidR="00864E8E" w:rsidRPr="00FA63BD">
          <w:rPr>
            <w:rStyle w:val="Hyperlink"/>
            <w:noProof/>
          </w:rPr>
          <w:t>2</w:t>
        </w:r>
        <w:r w:rsidR="00864E8E" w:rsidRPr="00CE1178">
          <w:rPr>
            <w:rStyle w:val="Hyperlink"/>
            <w:noProof/>
          </w:rPr>
          <w:t>.</w:t>
        </w:r>
        <w:r w:rsidR="00864E8E" w:rsidRPr="00FA63BD">
          <w:rPr>
            <w:rStyle w:val="Hyperlink"/>
            <w:noProof/>
          </w:rPr>
          <w:t>4</w:t>
        </w:r>
        <w:r w:rsidR="00864E8E" w:rsidRPr="00CE1178">
          <w:rPr>
            <w:rStyle w:val="Hyperlink"/>
            <w:noProof/>
          </w:rPr>
          <w:t>.</w:t>
        </w:r>
        <w:r w:rsidR="00864E8E" w:rsidRPr="00FA63BD">
          <w:rPr>
            <w:rStyle w:val="Hyperlink"/>
            <w:noProof/>
          </w:rPr>
          <w:t>4</w:t>
        </w:r>
        <w:r w:rsidR="00864E8E">
          <w:rPr>
            <w:rFonts w:asciiTheme="minorHAnsi" w:eastAsiaTheme="minorEastAsia" w:hAnsiTheme="minorHAnsi"/>
            <w:noProof/>
            <w:color w:val="auto"/>
            <w:sz w:val="22"/>
            <w:lang w:val="en-GB" w:eastAsia="en-GB"/>
          </w:rPr>
          <w:tab/>
        </w:r>
        <w:r w:rsidR="00864E8E" w:rsidRPr="00CE1178">
          <w:rPr>
            <w:rStyle w:val="Hyperlink"/>
            <w:noProof/>
          </w:rPr>
          <w:t xml:space="preserve">IEC nr. </w:t>
        </w:r>
        <w:r w:rsidR="00864E8E" w:rsidRPr="00FA63BD">
          <w:rPr>
            <w:rStyle w:val="Hyperlink"/>
            <w:noProof/>
          </w:rPr>
          <w:t>23</w:t>
        </w:r>
        <w:r w:rsidR="00864E8E" w:rsidRPr="00CE1178">
          <w:rPr>
            <w:rStyle w:val="Hyperlink"/>
            <w:noProof/>
          </w:rPr>
          <w:t xml:space="preserve">: „În ce măsură a contribuit PDR la îndeplinirea obiectivului principal al Strategiei </w:t>
        </w:r>
        <w:r w:rsidR="00864E8E" w:rsidRPr="00FA63BD">
          <w:rPr>
            <w:rStyle w:val="Hyperlink"/>
            <w:noProof/>
          </w:rPr>
          <w:t>2020</w:t>
        </w:r>
        <w:r w:rsidR="00864E8E" w:rsidRPr="00CE1178">
          <w:rPr>
            <w:rStyle w:val="Hyperlink"/>
            <w:noProof/>
          </w:rPr>
          <w:t xml:space="preserve"> a UE de a investi </w:t>
        </w:r>
        <w:r w:rsidR="00864E8E" w:rsidRPr="00FA63BD">
          <w:rPr>
            <w:rStyle w:val="Hyperlink"/>
            <w:noProof/>
          </w:rPr>
          <w:t>3</w:t>
        </w:r>
        <w:r w:rsidR="00864E8E" w:rsidRPr="00CE1178">
          <w:rPr>
            <w:rStyle w:val="Hyperlink"/>
            <w:noProof/>
          </w:rPr>
          <w:t> % din PIB-ul UE în cercetare și dezvoltare și în inovare?”</w:t>
        </w:r>
        <w:r w:rsidR="00864E8E">
          <w:rPr>
            <w:noProof/>
            <w:webHidden/>
          </w:rPr>
          <w:tab/>
        </w:r>
        <w:r w:rsidR="00864E8E">
          <w:rPr>
            <w:noProof/>
            <w:webHidden/>
          </w:rPr>
          <w:fldChar w:fldCharType="begin"/>
        </w:r>
        <w:r w:rsidR="00864E8E">
          <w:rPr>
            <w:noProof/>
            <w:webHidden/>
          </w:rPr>
          <w:instrText xml:space="preserve"> PAGEREF _Toc508889184 \h </w:instrText>
        </w:r>
        <w:r w:rsidR="00864E8E">
          <w:rPr>
            <w:noProof/>
            <w:webHidden/>
          </w:rPr>
        </w:r>
        <w:r w:rsidR="00864E8E">
          <w:rPr>
            <w:noProof/>
            <w:webHidden/>
          </w:rPr>
          <w:fldChar w:fldCharType="separate"/>
        </w:r>
        <w:r w:rsidR="000E1142">
          <w:rPr>
            <w:noProof/>
            <w:webHidden/>
          </w:rPr>
          <w:t>56</w:t>
        </w:r>
        <w:r w:rsidR="00864E8E">
          <w:rPr>
            <w:noProof/>
            <w:webHidden/>
          </w:rPr>
          <w:fldChar w:fldCharType="end"/>
        </w:r>
      </w:hyperlink>
    </w:p>
    <w:p w:rsidR="00864E8E" w:rsidRDefault="008A60B4">
      <w:pPr>
        <w:pStyle w:val="TOC3"/>
        <w:tabs>
          <w:tab w:val="right" w:leader="dot" w:pos="9040"/>
        </w:tabs>
        <w:rPr>
          <w:rFonts w:asciiTheme="minorHAnsi" w:eastAsiaTheme="minorEastAsia" w:hAnsiTheme="minorHAnsi"/>
          <w:noProof/>
          <w:color w:val="auto"/>
          <w:sz w:val="22"/>
          <w:lang w:val="en-GB" w:eastAsia="en-GB"/>
        </w:rPr>
      </w:pPr>
      <w:hyperlink w:anchor="_Toc508889185" w:history="1">
        <w:r w:rsidR="00864E8E" w:rsidRPr="00FA63BD">
          <w:rPr>
            <w:rStyle w:val="Hyperlink"/>
            <w:noProof/>
          </w:rPr>
          <w:t>2</w:t>
        </w:r>
        <w:r w:rsidR="00864E8E" w:rsidRPr="00CE1178">
          <w:rPr>
            <w:rStyle w:val="Hyperlink"/>
            <w:noProof/>
          </w:rPr>
          <w:t>.</w:t>
        </w:r>
        <w:r w:rsidR="00864E8E" w:rsidRPr="00FA63BD">
          <w:rPr>
            <w:rStyle w:val="Hyperlink"/>
            <w:noProof/>
          </w:rPr>
          <w:t>4</w:t>
        </w:r>
        <w:r w:rsidR="00864E8E" w:rsidRPr="00CE1178">
          <w:rPr>
            <w:rStyle w:val="Hyperlink"/>
            <w:noProof/>
          </w:rPr>
          <w:t>.</w:t>
        </w:r>
        <w:r w:rsidR="00864E8E" w:rsidRPr="00FA63BD">
          <w:rPr>
            <w:rStyle w:val="Hyperlink"/>
            <w:noProof/>
          </w:rPr>
          <w:t>5</w:t>
        </w:r>
        <w:r w:rsidR="00864E8E">
          <w:rPr>
            <w:rFonts w:asciiTheme="minorHAnsi" w:eastAsiaTheme="minorEastAsia" w:hAnsiTheme="minorHAnsi"/>
            <w:noProof/>
            <w:color w:val="auto"/>
            <w:sz w:val="22"/>
            <w:lang w:val="en-GB" w:eastAsia="en-GB"/>
          </w:rPr>
          <w:tab/>
        </w:r>
        <w:r w:rsidR="00864E8E" w:rsidRPr="00CE1178">
          <w:rPr>
            <w:rStyle w:val="Hyperlink"/>
            <w:noProof/>
          </w:rPr>
          <w:t xml:space="preserve">IEC nr. </w:t>
        </w:r>
        <w:r w:rsidR="00864E8E" w:rsidRPr="00FA63BD">
          <w:rPr>
            <w:rStyle w:val="Hyperlink"/>
            <w:noProof/>
          </w:rPr>
          <w:t>30</w:t>
        </w:r>
        <w:r w:rsidR="00864E8E" w:rsidRPr="00CE1178">
          <w:rPr>
            <w:rStyle w:val="Hyperlink"/>
            <w:noProof/>
          </w:rPr>
          <w:t>: „În ce măsură au contribuit intervențiile PDR la încurajarea inovării?”</w:t>
        </w:r>
        <w:r w:rsidR="00864E8E">
          <w:rPr>
            <w:noProof/>
            <w:webHidden/>
          </w:rPr>
          <w:tab/>
        </w:r>
        <w:r w:rsidR="00864E8E">
          <w:rPr>
            <w:noProof/>
            <w:webHidden/>
          </w:rPr>
          <w:fldChar w:fldCharType="begin"/>
        </w:r>
        <w:r w:rsidR="00864E8E">
          <w:rPr>
            <w:noProof/>
            <w:webHidden/>
          </w:rPr>
          <w:instrText xml:space="preserve"> PAGEREF _Toc508889185 \h </w:instrText>
        </w:r>
        <w:r w:rsidR="00864E8E">
          <w:rPr>
            <w:noProof/>
            <w:webHidden/>
          </w:rPr>
        </w:r>
        <w:r w:rsidR="00864E8E">
          <w:rPr>
            <w:noProof/>
            <w:webHidden/>
          </w:rPr>
          <w:fldChar w:fldCharType="separate"/>
        </w:r>
        <w:r w:rsidR="000E1142">
          <w:rPr>
            <w:noProof/>
            <w:webHidden/>
          </w:rPr>
          <w:t>64</w:t>
        </w:r>
        <w:r w:rsidR="00864E8E">
          <w:rPr>
            <w:noProof/>
            <w:webHidden/>
          </w:rPr>
          <w:fldChar w:fldCharType="end"/>
        </w:r>
      </w:hyperlink>
    </w:p>
    <w:p w:rsidR="00864E8E" w:rsidRDefault="008A60B4">
      <w:pPr>
        <w:pStyle w:val="TOC1"/>
        <w:tabs>
          <w:tab w:val="right" w:leader="dot" w:pos="9040"/>
        </w:tabs>
        <w:rPr>
          <w:rFonts w:asciiTheme="minorHAnsi" w:eastAsiaTheme="minorEastAsia" w:hAnsiTheme="minorHAnsi"/>
          <w:b w:val="0"/>
          <w:caps w:val="0"/>
          <w:noProof/>
          <w:color w:val="auto"/>
          <w:sz w:val="22"/>
          <w:lang w:val="en-GB" w:eastAsia="en-GB"/>
        </w:rPr>
      </w:pPr>
      <w:hyperlink w:anchor="_Toc508889186" w:history="1">
        <w:r w:rsidR="00864E8E" w:rsidRPr="00FA63BD">
          <w:rPr>
            <w:rStyle w:val="Hyperlink"/>
            <w:noProof/>
          </w:rPr>
          <w:t>3</w:t>
        </w:r>
        <w:r w:rsidR="00864E8E" w:rsidRPr="00CE1178">
          <w:rPr>
            <w:rStyle w:val="Hyperlink"/>
            <w:noProof/>
          </w:rPr>
          <w:t>.</w:t>
        </w:r>
        <w:r w:rsidR="00864E8E">
          <w:rPr>
            <w:rFonts w:asciiTheme="minorHAnsi" w:eastAsiaTheme="minorEastAsia" w:hAnsiTheme="minorHAnsi"/>
            <w:b w:val="0"/>
            <w:caps w:val="0"/>
            <w:noProof/>
            <w:color w:val="auto"/>
            <w:sz w:val="22"/>
            <w:lang w:val="en-GB" w:eastAsia="en-GB"/>
          </w:rPr>
          <w:tab/>
        </w:r>
        <w:r w:rsidR="00864E8E" w:rsidRPr="00CE1178">
          <w:rPr>
            <w:rStyle w:val="Hyperlink"/>
            <w:noProof/>
          </w:rPr>
          <w:t>ANEXE</w:t>
        </w:r>
        <w:r w:rsidR="00864E8E">
          <w:rPr>
            <w:noProof/>
            <w:webHidden/>
          </w:rPr>
          <w:tab/>
        </w:r>
        <w:r w:rsidR="00864E8E">
          <w:rPr>
            <w:noProof/>
            <w:webHidden/>
          </w:rPr>
          <w:fldChar w:fldCharType="begin"/>
        </w:r>
        <w:r w:rsidR="00864E8E">
          <w:rPr>
            <w:noProof/>
            <w:webHidden/>
          </w:rPr>
          <w:instrText xml:space="preserve"> PAGEREF _Toc508889186 \h </w:instrText>
        </w:r>
        <w:r w:rsidR="00864E8E">
          <w:rPr>
            <w:noProof/>
            <w:webHidden/>
          </w:rPr>
        </w:r>
        <w:r w:rsidR="00864E8E">
          <w:rPr>
            <w:noProof/>
            <w:webHidden/>
          </w:rPr>
          <w:fldChar w:fldCharType="separate"/>
        </w:r>
        <w:r w:rsidR="000E1142">
          <w:rPr>
            <w:noProof/>
            <w:webHidden/>
          </w:rPr>
          <w:t>77</w:t>
        </w:r>
        <w:r w:rsidR="00864E8E">
          <w:rPr>
            <w:noProof/>
            <w:webHidden/>
          </w:rPr>
          <w:fldChar w:fldCharType="end"/>
        </w:r>
      </w:hyperlink>
    </w:p>
    <w:p w:rsidR="00864E8E" w:rsidRDefault="008A60B4">
      <w:pPr>
        <w:pStyle w:val="TOC2"/>
        <w:tabs>
          <w:tab w:val="right" w:leader="dot" w:pos="9040"/>
        </w:tabs>
        <w:rPr>
          <w:rFonts w:asciiTheme="minorHAnsi" w:eastAsiaTheme="minorEastAsia" w:hAnsiTheme="minorHAnsi"/>
          <w:noProof/>
          <w:color w:val="auto"/>
          <w:sz w:val="22"/>
          <w:lang w:val="en-GB" w:eastAsia="en-GB"/>
        </w:rPr>
      </w:pPr>
      <w:hyperlink w:anchor="_Toc508889187" w:history="1">
        <w:r w:rsidR="00864E8E" w:rsidRPr="00FA63BD">
          <w:rPr>
            <w:rStyle w:val="Hyperlink"/>
            <w:noProof/>
          </w:rPr>
          <w:t>3</w:t>
        </w:r>
        <w:r w:rsidR="00864E8E" w:rsidRPr="00CE1178">
          <w:rPr>
            <w:rStyle w:val="Hyperlink"/>
            <w:noProof/>
          </w:rPr>
          <w:t>.</w:t>
        </w:r>
        <w:r w:rsidR="00864E8E" w:rsidRPr="00FA63BD">
          <w:rPr>
            <w:rStyle w:val="Hyperlink"/>
            <w:noProof/>
          </w:rPr>
          <w:t>1</w:t>
        </w:r>
        <w:r w:rsidR="00864E8E">
          <w:rPr>
            <w:rFonts w:asciiTheme="minorHAnsi" w:eastAsiaTheme="minorEastAsia" w:hAnsiTheme="minorHAnsi"/>
            <w:noProof/>
            <w:color w:val="auto"/>
            <w:sz w:val="22"/>
            <w:lang w:val="en-GB" w:eastAsia="en-GB"/>
          </w:rPr>
          <w:tab/>
        </w:r>
        <w:r w:rsidR="00864E8E" w:rsidRPr="00CE1178">
          <w:rPr>
            <w:rStyle w:val="Hyperlink"/>
            <w:noProof/>
          </w:rPr>
          <w:t>Glosar</w:t>
        </w:r>
        <w:r w:rsidR="00864E8E">
          <w:rPr>
            <w:noProof/>
            <w:webHidden/>
          </w:rPr>
          <w:tab/>
        </w:r>
        <w:r w:rsidR="00864E8E">
          <w:rPr>
            <w:noProof/>
            <w:webHidden/>
          </w:rPr>
          <w:fldChar w:fldCharType="begin"/>
        </w:r>
        <w:r w:rsidR="00864E8E">
          <w:rPr>
            <w:noProof/>
            <w:webHidden/>
          </w:rPr>
          <w:instrText xml:space="preserve"> PAGEREF _Toc508889187 \h </w:instrText>
        </w:r>
        <w:r w:rsidR="00864E8E">
          <w:rPr>
            <w:noProof/>
            <w:webHidden/>
          </w:rPr>
        </w:r>
        <w:r w:rsidR="00864E8E">
          <w:rPr>
            <w:noProof/>
            <w:webHidden/>
          </w:rPr>
          <w:fldChar w:fldCharType="separate"/>
        </w:r>
        <w:r w:rsidR="000E1142">
          <w:rPr>
            <w:noProof/>
            <w:webHidden/>
          </w:rPr>
          <w:t>77</w:t>
        </w:r>
        <w:r w:rsidR="00864E8E">
          <w:rPr>
            <w:noProof/>
            <w:webHidden/>
          </w:rPr>
          <w:fldChar w:fldCharType="end"/>
        </w:r>
      </w:hyperlink>
    </w:p>
    <w:p w:rsidR="00864E8E" w:rsidRDefault="008A60B4">
      <w:pPr>
        <w:pStyle w:val="TOC2"/>
        <w:tabs>
          <w:tab w:val="right" w:leader="dot" w:pos="9040"/>
        </w:tabs>
        <w:rPr>
          <w:rFonts w:asciiTheme="minorHAnsi" w:eastAsiaTheme="minorEastAsia" w:hAnsiTheme="minorHAnsi"/>
          <w:noProof/>
          <w:color w:val="auto"/>
          <w:sz w:val="22"/>
          <w:lang w:val="en-GB" w:eastAsia="en-GB"/>
        </w:rPr>
      </w:pPr>
      <w:hyperlink w:anchor="_Toc508889188" w:history="1">
        <w:r w:rsidR="00864E8E" w:rsidRPr="00FA63BD">
          <w:rPr>
            <w:rStyle w:val="Hyperlink"/>
            <w:noProof/>
          </w:rPr>
          <w:t>3</w:t>
        </w:r>
        <w:r w:rsidR="00864E8E" w:rsidRPr="00CE1178">
          <w:rPr>
            <w:rStyle w:val="Hyperlink"/>
            <w:noProof/>
          </w:rPr>
          <w:t>.</w:t>
        </w:r>
        <w:r w:rsidR="00864E8E" w:rsidRPr="00FA63BD">
          <w:rPr>
            <w:rStyle w:val="Hyperlink"/>
            <w:noProof/>
          </w:rPr>
          <w:t>2</w:t>
        </w:r>
        <w:r w:rsidR="00864E8E">
          <w:rPr>
            <w:rFonts w:asciiTheme="minorHAnsi" w:eastAsiaTheme="minorEastAsia" w:hAnsiTheme="minorHAnsi"/>
            <w:noProof/>
            <w:color w:val="auto"/>
            <w:sz w:val="22"/>
            <w:lang w:val="en-GB" w:eastAsia="en-GB"/>
          </w:rPr>
          <w:tab/>
        </w:r>
        <w:r w:rsidR="00864E8E" w:rsidRPr="00CE1178">
          <w:rPr>
            <w:rStyle w:val="Hyperlink"/>
            <w:noProof/>
          </w:rPr>
          <w:t>Identificarea potențialului de inovare al PDR: etapă cu etapă</w:t>
        </w:r>
        <w:r w:rsidR="00864E8E">
          <w:rPr>
            <w:noProof/>
            <w:webHidden/>
          </w:rPr>
          <w:tab/>
        </w:r>
        <w:r w:rsidR="00864E8E">
          <w:rPr>
            <w:noProof/>
            <w:webHidden/>
          </w:rPr>
          <w:fldChar w:fldCharType="begin"/>
        </w:r>
        <w:r w:rsidR="00864E8E">
          <w:rPr>
            <w:noProof/>
            <w:webHidden/>
          </w:rPr>
          <w:instrText xml:space="preserve"> PAGEREF _Toc508889188 \h </w:instrText>
        </w:r>
        <w:r w:rsidR="00864E8E">
          <w:rPr>
            <w:noProof/>
            <w:webHidden/>
          </w:rPr>
        </w:r>
        <w:r w:rsidR="00864E8E">
          <w:rPr>
            <w:noProof/>
            <w:webHidden/>
          </w:rPr>
          <w:fldChar w:fldCharType="separate"/>
        </w:r>
        <w:r w:rsidR="000E1142">
          <w:rPr>
            <w:noProof/>
            <w:webHidden/>
          </w:rPr>
          <w:t>79</w:t>
        </w:r>
        <w:r w:rsidR="00864E8E">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Tabele și figuri</w:t>
      </w:r>
    </w:p>
    <w:p w:rsidR="00864E8E" w:rsidRDefault="00E05D08">
      <w:pPr>
        <w:pStyle w:val="TOC2"/>
        <w:tabs>
          <w:tab w:val="left" w:pos="1100"/>
          <w:tab w:val="right" w:leader="dot" w:pos="9040"/>
        </w:tabs>
        <w:rPr>
          <w:rFonts w:asciiTheme="minorHAnsi" w:eastAsiaTheme="minorEastAsia" w:hAnsiTheme="minorHAnsi"/>
          <w:noProof/>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08889189" w:history="1">
        <w:r w:rsidR="00864E8E" w:rsidRPr="0009161B">
          <w:rPr>
            <w:rStyle w:val="Hyperlink"/>
            <w:noProof/>
            <w14:scene3d>
              <w14:camera w14:prst="orthographicFront"/>
              <w14:lightRig w14:rig="threePt" w14:dir="t">
                <w14:rot w14:lat="0" w14:lon="0" w14:rev="0"/>
              </w14:lightRig>
            </w14:scene3d>
          </w:rPr>
          <w:t xml:space="preserve">Table </w:t>
        </w:r>
        <w:r w:rsidR="00864E8E" w:rsidRPr="00FA63BD">
          <w:rPr>
            <w:rStyle w:val="Hyperlink"/>
            <w:noProof/>
            <w14:scene3d>
              <w14:camera w14:prst="orthographicFront"/>
              <w14:lightRig w14:rig="threePt" w14:dir="t">
                <w14:rot w14:lat="0" w14:lon="0" w14:rev="0"/>
              </w14:lightRig>
            </w14:scene3d>
          </w:rPr>
          <w:t>1</w:t>
        </w:r>
        <w:r w:rsidR="00864E8E" w:rsidRPr="0009161B">
          <w:rPr>
            <w:rStyle w:val="Hyperlink"/>
            <w:noProof/>
            <w14:scene3d>
              <w14:camera w14:prst="orthographicFront"/>
              <w14:lightRig w14:rig="threePt" w14:dir="t">
                <w14:rot w14:lat="0" w14:lon="0" w14:rev="0"/>
              </w14:lightRig>
            </w14:scene3d>
          </w:rPr>
          <w:t>.</w:t>
        </w:r>
        <w:r w:rsidR="00864E8E">
          <w:rPr>
            <w:rFonts w:asciiTheme="minorHAnsi" w:eastAsiaTheme="minorEastAsia" w:hAnsiTheme="minorHAnsi"/>
            <w:noProof/>
            <w:color w:val="auto"/>
            <w:sz w:val="22"/>
            <w:lang w:val="en-GB" w:eastAsia="en-GB"/>
          </w:rPr>
          <w:tab/>
        </w:r>
        <w:r w:rsidR="00864E8E" w:rsidRPr="0009161B">
          <w:rPr>
            <w:rStyle w:val="Hyperlink"/>
            <w:noProof/>
          </w:rPr>
          <w:t xml:space="preserve">Elementele de evaluare și sursele de informare în legătură cu IEC nr. </w:t>
        </w:r>
        <w:r w:rsidR="00864E8E" w:rsidRPr="00FA63BD">
          <w:rPr>
            <w:rStyle w:val="Hyperlink"/>
            <w:noProof/>
          </w:rPr>
          <w:t>1</w:t>
        </w:r>
        <w:r w:rsidR="00864E8E">
          <w:rPr>
            <w:noProof/>
            <w:webHidden/>
          </w:rPr>
          <w:tab/>
        </w:r>
        <w:r w:rsidR="00864E8E">
          <w:rPr>
            <w:noProof/>
            <w:webHidden/>
          </w:rPr>
          <w:fldChar w:fldCharType="begin"/>
        </w:r>
        <w:r w:rsidR="00864E8E">
          <w:rPr>
            <w:noProof/>
            <w:webHidden/>
          </w:rPr>
          <w:instrText xml:space="preserve"> PAGEREF _Toc508889189 \h </w:instrText>
        </w:r>
        <w:r w:rsidR="00864E8E">
          <w:rPr>
            <w:noProof/>
            <w:webHidden/>
          </w:rPr>
        </w:r>
        <w:r w:rsidR="00864E8E">
          <w:rPr>
            <w:noProof/>
            <w:webHidden/>
          </w:rPr>
          <w:fldChar w:fldCharType="separate"/>
        </w:r>
        <w:r w:rsidR="000E1142">
          <w:rPr>
            <w:noProof/>
            <w:webHidden/>
          </w:rPr>
          <w:t>30</w:t>
        </w:r>
        <w:r w:rsidR="00864E8E">
          <w:rPr>
            <w:noProof/>
            <w:webHidden/>
          </w:rPr>
          <w:fldChar w:fldCharType="end"/>
        </w:r>
      </w:hyperlink>
    </w:p>
    <w:p w:rsidR="00864E8E" w:rsidRDefault="008A60B4">
      <w:pPr>
        <w:pStyle w:val="TOC2"/>
        <w:tabs>
          <w:tab w:val="left" w:pos="1100"/>
          <w:tab w:val="right" w:leader="dot" w:pos="9040"/>
        </w:tabs>
        <w:rPr>
          <w:rFonts w:asciiTheme="minorHAnsi" w:eastAsiaTheme="minorEastAsia" w:hAnsiTheme="minorHAnsi"/>
          <w:noProof/>
          <w:color w:val="auto"/>
          <w:sz w:val="22"/>
          <w:lang w:val="en-GB" w:eastAsia="en-GB"/>
        </w:rPr>
      </w:pPr>
      <w:hyperlink w:anchor="_Toc508889190" w:history="1">
        <w:r w:rsidR="00864E8E" w:rsidRPr="0009161B">
          <w:rPr>
            <w:rStyle w:val="Hyperlink"/>
            <w:noProof/>
            <w14:scene3d>
              <w14:camera w14:prst="orthographicFront"/>
              <w14:lightRig w14:rig="threePt" w14:dir="t">
                <w14:rot w14:lat="0" w14:lon="0" w14:rev="0"/>
              </w14:lightRig>
            </w14:scene3d>
          </w:rPr>
          <w:t xml:space="preserve">Table </w:t>
        </w:r>
        <w:r w:rsidR="00864E8E" w:rsidRPr="00FA63BD">
          <w:rPr>
            <w:rStyle w:val="Hyperlink"/>
            <w:noProof/>
            <w14:scene3d>
              <w14:camera w14:prst="orthographicFront"/>
              <w14:lightRig w14:rig="threePt" w14:dir="t">
                <w14:rot w14:lat="0" w14:lon="0" w14:rev="0"/>
              </w14:lightRig>
            </w14:scene3d>
          </w:rPr>
          <w:t>2</w:t>
        </w:r>
        <w:r w:rsidR="00864E8E" w:rsidRPr="0009161B">
          <w:rPr>
            <w:rStyle w:val="Hyperlink"/>
            <w:noProof/>
            <w14:scene3d>
              <w14:camera w14:prst="orthographicFront"/>
              <w14:lightRig w14:rig="threePt" w14:dir="t">
                <w14:rot w14:lat="0" w14:lon="0" w14:rev="0"/>
              </w14:lightRig>
            </w14:scene3d>
          </w:rPr>
          <w:t>.</w:t>
        </w:r>
        <w:r w:rsidR="00864E8E">
          <w:rPr>
            <w:rFonts w:asciiTheme="minorHAnsi" w:eastAsiaTheme="minorEastAsia" w:hAnsiTheme="minorHAnsi"/>
            <w:noProof/>
            <w:color w:val="auto"/>
            <w:sz w:val="22"/>
            <w:lang w:val="en-GB" w:eastAsia="en-GB"/>
          </w:rPr>
          <w:tab/>
        </w:r>
        <w:r w:rsidR="00864E8E" w:rsidRPr="0009161B">
          <w:rPr>
            <w:rStyle w:val="Hyperlink"/>
            <w:noProof/>
          </w:rPr>
          <w:t xml:space="preserve">Metode recomandate pentru IEC nr. </w:t>
        </w:r>
        <w:r w:rsidR="00864E8E" w:rsidRPr="00FA63BD">
          <w:rPr>
            <w:rStyle w:val="Hyperlink"/>
            <w:noProof/>
          </w:rPr>
          <w:t>1</w:t>
        </w:r>
        <w:r w:rsidR="00864E8E">
          <w:rPr>
            <w:noProof/>
            <w:webHidden/>
          </w:rPr>
          <w:tab/>
        </w:r>
        <w:r w:rsidR="00864E8E">
          <w:rPr>
            <w:noProof/>
            <w:webHidden/>
          </w:rPr>
          <w:fldChar w:fldCharType="begin"/>
        </w:r>
        <w:r w:rsidR="00864E8E">
          <w:rPr>
            <w:noProof/>
            <w:webHidden/>
          </w:rPr>
          <w:instrText xml:space="preserve"> PAGEREF _Toc508889190 \h </w:instrText>
        </w:r>
        <w:r w:rsidR="00864E8E">
          <w:rPr>
            <w:noProof/>
            <w:webHidden/>
          </w:rPr>
        </w:r>
        <w:r w:rsidR="00864E8E">
          <w:rPr>
            <w:noProof/>
            <w:webHidden/>
          </w:rPr>
          <w:fldChar w:fldCharType="separate"/>
        </w:r>
        <w:r w:rsidR="000E1142">
          <w:rPr>
            <w:noProof/>
            <w:webHidden/>
          </w:rPr>
          <w:t>33</w:t>
        </w:r>
        <w:r w:rsidR="00864E8E">
          <w:rPr>
            <w:noProof/>
            <w:webHidden/>
          </w:rPr>
          <w:fldChar w:fldCharType="end"/>
        </w:r>
      </w:hyperlink>
    </w:p>
    <w:p w:rsidR="00864E8E" w:rsidRDefault="008A60B4">
      <w:pPr>
        <w:pStyle w:val="TOC2"/>
        <w:tabs>
          <w:tab w:val="left" w:pos="1100"/>
          <w:tab w:val="right" w:leader="dot" w:pos="9040"/>
        </w:tabs>
        <w:rPr>
          <w:rFonts w:asciiTheme="minorHAnsi" w:eastAsiaTheme="minorEastAsia" w:hAnsiTheme="minorHAnsi"/>
          <w:noProof/>
          <w:color w:val="auto"/>
          <w:sz w:val="22"/>
          <w:lang w:val="en-GB" w:eastAsia="en-GB"/>
        </w:rPr>
      </w:pPr>
      <w:hyperlink w:anchor="_Toc508889191" w:history="1">
        <w:r w:rsidR="00864E8E" w:rsidRPr="0009161B">
          <w:rPr>
            <w:rStyle w:val="Hyperlink"/>
            <w:noProof/>
            <w14:scene3d>
              <w14:camera w14:prst="orthographicFront"/>
              <w14:lightRig w14:rig="threePt" w14:dir="t">
                <w14:rot w14:lat="0" w14:lon="0" w14:rev="0"/>
              </w14:lightRig>
            </w14:scene3d>
          </w:rPr>
          <w:t xml:space="preserve">Table </w:t>
        </w:r>
        <w:r w:rsidR="00864E8E" w:rsidRPr="00FA63BD">
          <w:rPr>
            <w:rStyle w:val="Hyperlink"/>
            <w:noProof/>
            <w14:scene3d>
              <w14:camera w14:prst="orthographicFront"/>
              <w14:lightRig w14:rig="threePt" w14:dir="t">
                <w14:rot w14:lat="0" w14:lon="0" w14:rev="0"/>
              </w14:lightRig>
            </w14:scene3d>
          </w:rPr>
          <w:t>3</w:t>
        </w:r>
        <w:r w:rsidR="00864E8E" w:rsidRPr="0009161B">
          <w:rPr>
            <w:rStyle w:val="Hyperlink"/>
            <w:noProof/>
            <w14:scene3d>
              <w14:camera w14:prst="orthographicFront"/>
              <w14:lightRig w14:rig="threePt" w14:dir="t">
                <w14:rot w14:lat="0" w14:lon="0" w14:rev="0"/>
              </w14:lightRig>
            </w14:scene3d>
          </w:rPr>
          <w:t>.</w:t>
        </w:r>
        <w:r w:rsidR="00864E8E">
          <w:rPr>
            <w:rFonts w:asciiTheme="minorHAnsi" w:eastAsiaTheme="minorEastAsia" w:hAnsiTheme="minorHAnsi"/>
            <w:noProof/>
            <w:color w:val="auto"/>
            <w:sz w:val="22"/>
            <w:lang w:val="en-GB" w:eastAsia="en-GB"/>
          </w:rPr>
          <w:tab/>
        </w:r>
        <w:r w:rsidR="00864E8E" w:rsidRPr="0009161B">
          <w:rPr>
            <w:rStyle w:val="Hyperlink"/>
            <w:noProof/>
          </w:rPr>
          <w:t>Criteriile de apreciere, indicatorii, nevoile în materie de date și sursele de date</w:t>
        </w:r>
        <w:r w:rsidR="00864E8E">
          <w:rPr>
            <w:noProof/>
            <w:webHidden/>
          </w:rPr>
          <w:tab/>
        </w:r>
        <w:r w:rsidR="00864E8E">
          <w:rPr>
            <w:noProof/>
            <w:webHidden/>
          </w:rPr>
          <w:fldChar w:fldCharType="begin"/>
        </w:r>
        <w:r w:rsidR="00864E8E">
          <w:rPr>
            <w:noProof/>
            <w:webHidden/>
          </w:rPr>
          <w:instrText xml:space="preserve"> PAGEREF _Toc508889191 \h </w:instrText>
        </w:r>
        <w:r w:rsidR="00864E8E">
          <w:rPr>
            <w:noProof/>
            <w:webHidden/>
          </w:rPr>
        </w:r>
        <w:r w:rsidR="00864E8E">
          <w:rPr>
            <w:noProof/>
            <w:webHidden/>
          </w:rPr>
          <w:fldChar w:fldCharType="separate"/>
        </w:r>
        <w:r w:rsidR="000E1142">
          <w:rPr>
            <w:noProof/>
            <w:webHidden/>
          </w:rPr>
          <w:t>41</w:t>
        </w:r>
        <w:r w:rsidR="00864E8E">
          <w:rPr>
            <w:noProof/>
            <w:webHidden/>
          </w:rPr>
          <w:fldChar w:fldCharType="end"/>
        </w:r>
      </w:hyperlink>
    </w:p>
    <w:p w:rsidR="00864E8E" w:rsidRDefault="008A60B4">
      <w:pPr>
        <w:pStyle w:val="TOC2"/>
        <w:tabs>
          <w:tab w:val="left" w:pos="1100"/>
          <w:tab w:val="right" w:leader="dot" w:pos="9040"/>
        </w:tabs>
        <w:rPr>
          <w:rFonts w:asciiTheme="minorHAnsi" w:eastAsiaTheme="minorEastAsia" w:hAnsiTheme="minorHAnsi"/>
          <w:noProof/>
          <w:color w:val="auto"/>
          <w:sz w:val="22"/>
          <w:lang w:val="en-GB" w:eastAsia="en-GB"/>
        </w:rPr>
      </w:pPr>
      <w:hyperlink w:anchor="_Toc508889192" w:history="1">
        <w:r w:rsidR="00864E8E" w:rsidRPr="0009161B">
          <w:rPr>
            <w:rStyle w:val="Hyperlink"/>
            <w:noProof/>
            <w14:scene3d>
              <w14:camera w14:prst="orthographicFront"/>
              <w14:lightRig w14:rig="threePt" w14:dir="t">
                <w14:rot w14:lat="0" w14:lon="0" w14:rev="0"/>
              </w14:lightRig>
            </w14:scene3d>
          </w:rPr>
          <w:t xml:space="preserve">Table </w:t>
        </w:r>
        <w:r w:rsidR="00864E8E" w:rsidRPr="00FA63BD">
          <w:rPr>
            <w:rStyle w:val="Hyperlink"/>
            <w:noProof/>
            <w14:scene3d>
              <w14:camera w14:prst="orthographicFront"/>
              <w14:lightRig w14:rig="threePt" w14:dir="t">
                <w14:rot w14:lat="0" w14:lon="0" w14:rev="0"/>
              </w14:lightRig>
            </w14:scene3d>
          </w:rPr>
          <w:t>4</w:t>
        </w:r>
        <w:r w:rsidR="00864E8E" w:rsidRPr="0009161B">
          <w:rPr>
            <w:rStyle w:val="Hyperlink"/>
            <w:noProof/>
            <w14:scene3d>
              <w14:camera w14:prst="orthographicFront"/>
              <w14:lightRig w14:rig="threePt" w14:dir="t">
                <w14:rot w14:lat="0" w14:lon="0" w14:rev="0"/>
              </w14:lightRig>
            </w14:scene3d>
          </w:rPr>
          <w:t>.</w:t>
        </w:r>
        <w:r w:rsidR="00864E8E">
          <w:rPr>
            <w:rFonts w:asciiTheme="minorHAnsi" w:eastAsiaTheme="minorEastAsia" w:hAnsiTheme="minorHAnsi"/>
            <w:noProof/>
            <w:color w:val="auto"/>
            <w:sz w:val="22"/>
            <w:lang w:val="en-GB" w:eastAsia="en-GB"/>
          </w:rPr>
          <w:tab/>
        </w:r>
        <w:r w:rsidR="00864E8E" w:rsidRPr="0009161B">
          <w:rPr>
            <w:rStyle w:val="Hyperlink"/>
            <w:noProof/>
          </w:rPr>
          <w:t xml:space="preserve">Metode recomandate pentru IEC nr. </w:t>
        </w:r>
        <w:r w:rsidR="00864E8E" w:rsidRPr="00FA63BD">
          <w:rPr>
            <w:rStyle w:val="Hyperlink"/>
            <w:noProof/>
          </w:rPr>
          <w:t>2</w:t>
        </w:r>
        <w:r w:rsidR="00864E8E">
          <w:rPr>
            <w:noProof/>
            <w:webHidden/>
          </w:rPr>
          <w:tab/>
        </w:r>
        <w:r w:rsidR="00864E8E">
          <w:rPr>
            <w:noProof/>
            <w:webHidden/>
          </w:rPr>
          <w:fldChar w:fldCharType="begin"/>
        </w:r>
        <w:r w:rsidR="00864E8E">
          <w:rPr>
            <w:noProof/>
            <w:webHidden/>
          </w:rPr>
          <w:instrText xml:space="preserve"> PAGEREF _Toc508889192 \h </w:instrText>
        </w:r>
        <w:r w:rsidR="00864E8E">
          <w:rPr>
            <w:noProof/>
            <w:webHidden/>
          </w:rPr>
        </w:r>
        <w:r w:rsidR="00864E8E">
          <w:rPr>
            <w:noProof/>
            <w:webHidden/>
          </w:rPr>
          <w:fldChar w:fldCharType="separate"/>
        </w:r>
        <w:r w:rsidR="000E1142">
          <w:rPr>
            <w:noProof/>
            <w:webHidden/>
          </w:rPr>
          <w:t>43</w:t>
        </w:r>
        <w:r w:rsidR="00864E8E">
          <w:rPr>
            <w:noProof/>
            <w:webHidden/>
          </w:rPr>
          <w:fldChar w:fldCharType="end"/>
        </w:r>
      </w:hyperlink>
    </w:p>
    <w:p w:rsidR="00864E8E" w:rsidRDefault="008A60B4">
      <w:pPr>
        <w:pStyle w:val="TOC2"/>
        <w:tabs>
          <w:tab w:val="left" w:pos="1100"/>
          <w:tab w:val="right" w:leader="dot" w:pos="9040"/>
        </w:tabs>
        <w:rPr>
          <w:rFonts w:asciiTheme="minorHAnsi" w:eastAsiaTheme="minorEastAsia" w:hAnsiTheme="minorHAnsi"/>
          <w:noProof/>
          <w:color w:val="auto"/>
          <w:sz w:val="22"/>
          <w:lang w:val="en-GB" w:eastAsia="en-GB"/>
        </w:rPr>
      </w:pPr>
      <w:hyperlink w:anchor="_Toc508889193" w:history="1">
        <w:r w:rsidR="00864E8E" w:rsidRPr="0009161B">
          <w:rPr>
            <w:rStyle w:val="Hyperlink"/>
            <w:noProof/>
            <w14:scene3d>
              <w14:camera w14:prst="orthographicFront"/>
              <w14:lightRig w14:rig="threePt" w14:dir="t">
                <w14:rot w14:lat="0" w14:lon="0" w14:rev="0"/>
              </w14:lightRig>
            </w14:scene3d>
          </w:rPr>
          <w:t xml:space="preserve">Table </w:t>
        </w:r>
        <w:r w:rsidR="00864E8E" w:rsidRPr="00FA63BD">
          <w:rPr>
            <w:rStyle w:val="Hyperlink"/>
            <w:noProof/>
            <w14:scene3d>
              <w14:camera w14:prst="orthographicFront"/>
              <w14:lightRig w14:rig="threePt" w14:dir="t">
                <w14:rot w14:lat="0" w14:lon="0" w14:rev="0"/>
              </w14:lightRig>
            </w14:scene3d>
          </w:rPr>
          <w:t>5</w:t>
        </w:r>
        <w:r w:rsidR="00864E8E" w:rsidRPr="0009161B">
          <w:rPr>
            <w:rStyle w:val="Hyperlink"/>
            <w:noProof/>
            <w14:scene3d>
              <w14:camera w14:prst="orthographicFront"/>
              <w14:lightRig w14:rig="threePt" w14:dir="t">
                <w14:rot w14:lat="0" w14:lon="0" w14:rev="0"/>
              </w14:lightRig>
            </w14:scene3d>
          </w:rPr>
          <w:t>.</w:t>
        </w:r>
        <w:r w:rsidR="00864E8E">
          <w:rPr>
            <w:rFonts w:asciiTheme="minorHAnsi" w:eastAsiaTheme="minorEastAsia" w:hAnsiTheme="minorHAnsi"/>
            <w:noProof/>
            <w:color w:val="auto"/>
            <w:sz w:val="22"/>
            <w:lang w:val="en-GB" w:eastAsia="en-GB"/>
          </w:rPr>
          <w:tab/>
        </w:r>
        <w:r w:rsidR="00864E8E" w:rsidRPr="0009161B">
          <w:rPr>
            <w:rStyle w:val="Hyperlink"/>
            <w:noProof/>
          </w:rPr>
          <w:t xml:space="preserve">Criteriile de apreciere, indicatorii și sursele de date suplimentare propuse pentru a răspunde la IEC nr. </w:t>
        </w:r>
        <w:r w:rsidR="00864E8E" w:rsidRPr="00FA63BD">
          <w:rPr>
            <w:rStyle w:val="Hyperlink"/>
            <w:noProof/>
          </w:rPr>
          <w:t>21</w:t>
        </w:r>
        <w:r w:rsidR="00864E8E">
          <w:rPr>
            <w:noProof/>
            <w:webHidden/>
          </w:rPr>
          <w:tab/>
        </w:r>
        <w:r w:rsidR="00864E8E">
          <w:rPr>
            <w:noProof/>
            <w:webHidden/>
          </w:rPr>
          <w:fldChar w:fldCharType="begin"/>
        </w:r>
        <w:r w:rsidR="00864E8E">
          <w:rPr>
            <w:noProof/>
            <w:webHidden/>
          </w:rPr>
          <w:instrText xml:space="preserve"> PAGEREF _Toc508889193 \h </w:instrText>
        </w:r>
        <w:r w:rsidR="00864E8E">
          <w:rPr>
            <w:noProof/>
            <w:webHidden/>
          </w:rPr>
        </w:r>
        <w:r w:rsidR="00864E8E">
          <w:rPr>
            <w:noProof/>
            <w:webHidden/>
          </w:rPr>
          <w:fldChar w:fldCharType="separate"/>
        </w:r>
        <w:r w:rsidR="000E1142">
          <w:rPr>
            <w:noProof/>
            <w:webHidden/>
          </w:rPr>
          <w:t>50</w:t>
        </w:r>
        <w:r w:rsidR="00864E8E">
          <w:rPr>
            <w:noProof/>
            <w:webHidden/>
          </w:rPr>
          <w:fldChar w:fldCharType="end"/>
        </w:r>
      </w:hyperlink>
    </w:p>
    <w:p w:rsidR="00864E8E" w:rsidRDefault="008A60B4">
      <w:pPr>
        <w:pStyle w:val="TOC2"/>
        <w:tabs>
          <w:tab w:val="left" w:pos="1100"/>
          <w:tab w:val="right" w:leader="dot" w:pos="9040"/>
        </w:tabs>
        <w:rPr>
          <w:rFonts w:asciiTheme="minorHAnsi" w:eastAsiaTheme="minorEastAsia" w:hAnsiTheme="minorHAnsi"/>
          <w:noProof/>
          <w:color w:val="auto"/>
          <w:sz w:val="22"/>
          <w:lang w:val="en-GB" w:eastAsia="en-GB"/>
        </w:rPr>
      </w:pPr>
      <w:hyperlink w:anchor="_Toc508889194" w:history="1">
        <w:r w:rsidR="00864E8E" w:rsidRPr="0009161B">
          <w:rPr>
            <w:rStyle w:val="Hyperlink"/>
            <w:noProof/>
            <w14:scene3d>
              <w14:camera w14:prst="orthographicFront"/>
              <w14:lightRig w14:rig="threePt" w14:dir="t">
                <w14:rot w14:lat="0" w14:lon="0" w14:rev="0"/>
              </w14:lightRig>
            </w14:scene3d>
          </w:rPr>
          <w:t xml:space="preserve">Table </w:t>
        </w:r>
        <w:r w:rsidR="00864E8E" w:rsidRPr="00FA63BD">
          <w:rPr>
            <w:rStyle w:val="Hyperlink"/>
            <w:noProof/>
            <w14:scene3d>
              <w14:camera w14:prst="orthographicFront"/>
              <w14:lightRig w14:rig="threePt" w14:dir="t">
                <w14:rot w14:lat="0" w14:lon="0" w14:rev="0"/>
              </w14:lightRig>
            </w14:scene3d>
          </w:rPr>
          <w:t>6</w:t>
        </w:r>
        <w:r w:rsidR="00864E8E" w:rsidRPr="0009161B">
          <w:rPr>
            <w:rStyle w:val="Hyperlink"/>
            <w:noProof/>
            <w14:scene3d>
              <w14:camera w14:prst="orthographicFront"/>
              <w14:lightRig w14:rig="threePt" w14:dir="t">
                <w14:rot w14:lat="0" w14:lon="0" w14:rev="0"/>
              </w14:lightRig>
            </w14:scene3d>
          </w:rPr>
          <w:t>.</w:t>
        </w:r>
        <w:r w:rsidR="00864E8E">
          <w:rPr>
            <w:rFonts w:asciiTheme="minorHAnsi" w:eastAsiaTheme="minorEastAsia" w:hAnsiTheme="minorHAnsi"/>
            <w:noProof/>
            <w:color w:val="auto"/>
            <w:sz w:val="22"/>
            <w:lang w:val="en-GB" w:eastAsia="en-GB"/>
          </w:rPr>
          <w:tab/>
        </w:r>
        <w:r w:rsidR="00864E8E" w:rsidRPr="0009161B">
          <w:rPr>
            <w:rStyle w:val="Hyperlink"/>
            <w:noProof/>
          </w:rPr>
          <w:t xml:space="preserve">Metode recomandate pentru IEC nr. </w:t>
        </w:r>
        <w:r w:rsidR="00864E8E" w:rsidRPr="00FA63BD">
          <w:rPr>
            <w:rStyle w:val="Hyperlink"/>
            <w:noProof/>
          </w:rPr>
          <w:t>21</w:t>
        </w:r>
        <w:r w:rsidR="00864E8E">
          <w:rPr>
            <w:noProof/>
            <w:webHidden/>
          </w:rPr>
          <w:tab/>
        </w:r>
        <w:r w:rsidR="00864E8E">
          <w:rPr>
            <w:noProof/>
            <w:webHidden/>
          </w:rPr>
          <w:fldChar w:fldCharType="begin"/>
        </w:r>
        <w:r w:rsidR="00864E8E">
          <w:rPr>
            <w:noProof/>
            <w:webHidden/>
          </w:rPr>
          <w:instrText xml:space="preserve"> PAGEREF _Toc508889194 \h </w:instrText>
        </w:r>
        <w:r w:rsidR="00864E8E">
          <w:rPr>
            <w:noProof/>
            <w:webHidden/>
          </w:rPr>
        </w:r>
        <w:r w:rsidR="00864E8E">
          <w:rPr>
            <w:noProof/>
            <w:webHidden/>
          </w:rPr>
          <w:fldChar w:fldCharType="separate"/>
        </w:r>
        <w:r w:rsidR="000E1142">
          <w:rPr>
            <w:noProof/>
            <w:webHidden/>
          </w:rPr>
          <w:t>54</w:t>
        </w:r>
        <w:r w:rsidR="00864E8E">
          <w:rPr>
            <w:noProof/>
            <w:webHidden/>
          </w:rPr>
          <w:fldChar w:fldCharType="end"/>
        </w:r>
      </w:hyperlink>
    </w:p>
    <w:p w:rsidR="00864E8E" w:rsidRDefault="008A60B4">
      <w:pPr>
        <w:pStyle w:val="TOC2"/>
        <w:tabs>
          <w:tab w:val="left" w:pos="1100"/>
          <w:tab w:val="right" w:leader="dot" w:pos="9040"/>
        </w:tabs>
        <w:rPr>
          <w:rFonts w:asciiTheme="minorHAnsi" w:eastAsiaTheme="minorEastAsia" w:hAnsiTheme="minorHAnsi"/>
          <w:noProof/>
          <w:color w:val="auto"/>
          <w:sz w:val="22"/>
          <w:lang w:val="en-GB" w:eastAsia="en-GB"/>
        </w:rPr>
      </w:pPr>
      <w:hyperlink w:anchor="_Toc508889195" w:history="1">
        <w:r w:rsidR="00864E8E" w:rsidRPr="0009161B">
          <w:rPr>
            <w:rStyle w:val="Hyperlink"/>
            <w:noProof/>
            <w14:scene3d>
              <w14:camera w14:prst="orthographicFront"/>
              <w14:lightRig w14:rig="threePt" w14:dir="t">
                <w14:rot w14:lat="0" w14:lon="0" w14:rev="0"/>
              </w14:lightRig>
            </w14:scene3d>
          </w:rPr>
          <w:t xml:space="preserve">Table </w:t>
        </w:r>
        <w:r w:rsidR="00864E8E" w:rsidRPr="00FA63BD">
          <w:rPr>
            <w:rStyle w:val="Hyperlink"/>
            <w:noProof/>
            <w14:scene3d>
              <w14:camera w14:prst="orthographicFront"/>
              <w14:lightRig w14:rig="threePt" w14:dir="t">
                <w14:rot w14:lat="0" w14:lon="0" w14:rev="0"/>
              </w14:lightRig>
            </w14:scene3d>
          </w:rPr>
          <w:t>7</w:t>
        </w:r>
        <w:r w:rsidR="00864E8E" w:rsidRPr="0009161B">
          <w:rPr>
            <w:rStyle w:val="Hyperlink"/>
            <w:noProof/>
            <w14:scene3d>
              <w14:camera w14:prst="orthographicFront"/>
              <w14:lightRig w14:rig="threePt" w14:dir="t">
                <w14:rot w14:lat="0" w14:lon="0" w14:rev="0"/>
              </w14:lightRig>
            </w14:scene3d>
          </w:rPr>
          <w:t>.</w:t>
        </w:r>
        <w:r w:rsidR="00864E8E">
          <w:rPr>
            <w:rFonts w:asciiTheme="minorHAnsi" w:eastAsiaTheme="minorEastAsia" w:hAnsiTheme="minorHAnsi"/>
            <w:noProof/>
            <w:color w:val="auto"/>
            <w:sz w:val="22"/>
            <w:lang w:val="en-GB" w:eastAsia="en-GB"/>
          </w:rPr>
          <w:tab/>
        </w:r>
        <w:r w:rsidR="00864E8E" w:rsidRPr="0009161B">
          <w:rPr>
            <w:rStyle w:val="Hyperlink"/>
            <w:noProof/>
          </w:rPr>
          <w:t xml:space="preserve">Criteriile de apreciere, indicatorii și datele necesare pentru a răspunde la IEC nr. </w:t>
        </w:r>
        <w:r w:rsidR="00864E8E" w:rsidRPr="00FA63BD">
          <w:rPr>
            <w:rStyle w:val="Hyperlink"/>
            <w:noProof/>
          </w:rPr>
          <w:t>23</w:t>
        </w:r>
        <w:r w:rsidR="00864E8E">
          <w:rPr>
            <w:noProof/>
            <w:webHidden/>
          </w:rPr>
          <w:tab/>
        </w:r>
        <w:r w:rsidR="00864E8E">
          <w:rPr>
            <w:noProof/>
            <w:webHidden/>
          </w:rPr>
          <w:fldChar w:fldCharType="begin"/>
        </w:r>
        <w:r w:rsidR="00864E8E">
          <w:rPr>
            <w:noProof/>
            <w:webHidden/>
          </w:rPr>
          <w:instrText xml:space="preserve"> PAGEREF _Toc508889195 \h </w:instrText>
        </w:r>
        <w:r w:rsidR="00864E8E">
          <w:rPr>
            <w:noProof/>
            <w:webHidden/>
          </w:rPr>
        </w:r>
        <w:r w:rsidR="00864E8E">
          <w:rPr>
            <w:noProof/>
            <w:webHidden/>
          </w:rPr>
          <w:fldChar w:fldCharType="separate"/>
        </w:r>
        <w:r w:rsidR="000E1142">
          <w:rPr>
            <w:noProof/>
            <w:webHidden/>
          </w:rPr>
          <w:t>60</w:t>
        </w:r>
        <w:r w:rsidR="00864E8E">
          <w:rPr>
            <w:noProof/>
            <w:webHidden/>
          </w:rPr>
          <w:fldChar w:fldCharType="end"/>
        </w:r>
      </w:hyperlink>
    </w:p>
    <w:p w:rsidR="00864E8E" w:rsidRDefault="008A60B4">
      <w:pPr>
        <w:pStyle w:val="TOC2"/>
        <w:tabs>
          <w:tab w:val="left" w:pos="1100"/>
          <w:tab w:val="right" w:leader="dot" w:pos="9040"/>
        </w:tabs>
        <w:rPr>
          <w:rFonts w:asciiTheme="minorHAnsi" w:eastAsiaTheme="minorEastAsia" w:hAnsiTheme="minorHAnsi"/>
          <w:noProof/>
          <w:color w:val="auto"/>
          <w:sz w:val="22"/>
          <w:lang w:val="en-GB" w:eastAsia="en-GB"/>
        </w:rPr>
      </w:pPr>
      <w:hyperlink w:anchor="_Toc508889196" w:history="1">
        <w:r w:rsidR="00864E8E" w:rsidRPr="0009161B">
          <w:rPr>
            <w:rStyle w:val="Hyperlink"/>
            <w:noProof/>
            <w14:scene3d>
              <w14:camera w14:prst="orthographicFront"/>
              <w14:lightRig w14:rig="threePt" w14:dir="t">
                <w14:rot w14:lat="0" w14:lon="0" w14:rev="0"/>
              </w14:lightRig>
            </w14:scene3d>
          </w:rPr>
          <w:t xml:space="preserve">Table </w:t>
        </w:r>
        <w:r w:rsidR="00864E8E" w:rsidRPr="00FA63BD">
          <w:rPr>
            <w:rStyle w:val="Hyperlink"/>
            <w:noProof/>
            <w14:scene3d>
              <w14:camera w14:prst="orthographicFront"/>
              <w14:lightRig w14:rig="threePt" w14:dir="t">
                <w14:rot w14:lat="0" w14:lon="0" w14:rev="0"/>
              </w14:lightRig>
            </w14:scene3d>
          </w:rPr>
          <w:t>8</w:t>
        </w:r>
        <w:r w:rsidR="00864E8E" w:rsidRPr="0009161B">
          <w:rPr>
            <w:rStyle w:val="Hyperlink"/>
            <w:noProof/>
            <w14:scene3d>
              <w14:camera w14:prst="orthographicFront"/>
              <w14:lightRig w14:rig="threePt" w14:dir="t">
                <w14:rot w14:lat="0" w14:lon="0" w14:rev="0"/>
              </w14:lightRig>
            </w14:scene3d>
          </w:rPr>
          <w:t>.</w:t>
        </w:r>
        <w:r w:rsidR="00864E8E">
          <w:rPr>
            <w:rFonts w:asciiTheme="minorHAnsi" w:eastAsiaTheme="minorEastAsia" w:hAnsiTheme="minorHAnsi"/>
            <w:noProof/>
            <w:color w:val="auto"/>
            <w:sz w:val="22"/>
            <w:lang w:val="en-GB" w:eastAsia="en-GB"/>
          </w:rPr>
          <w:tab/>
        </w:r>
        <w:r w:rsidR="00864E8E" w:rsidRPr="0009161B">
          <w:rPr>
            <w:rStyle w:val="Hyperlink"/>
            <w:noProof/>
          </w:rPr>
          <w:t>Exemplu de valori planificate și efective ale indicatorilor comuni și suplimentari</w:t>
        </w:r>
        <w:r w:rsidR="00864E8E">
          <w:rPr>
            <w:noProof/>
            <w:webHidden/>
          </w:rPr>
          <w:tab/>
        </w:r>
        <w:r w:rsidR="00864E8E">
          <w:rPr>
            <w:noProof/>
            <w:webHidden/>
          </w:rPr>
          <w:fldChar w:fldCharType="begin"/>
        </w:r>
        <w:r w:rsidR="00864E8E">
          <w:rPr>
            <w:noProof/>
            <w:webHidden/>
          </w:rPr>
          <w:instrText xml:space="preserve"> PAGEREF _Toc508889196 \h </w:instrText>
        </w:r>
        <w:r w:rsidR="00864E8E">
          <w:rPr>
            <w:noProof/>
            <w:webHidden/>
          </w:rPr>
        </w:r>
        <w:r w:rsidR="00864E8E">
          <w:rPr>
            <w:noProof/>
            <w:webHidden/>
          </w:rPr>
          <w:fldChar w:fldCharType="separate"/>
        </w:r>
        <w:r w:rsidR="000E1142">
          <w:rPr>
            <w:noProof/>
            <w:webHidden/>
          </w:rPr>
          <w:t>63</w:t>
        </w:r>
        <w:r w:rsidR="00864E8E">
          <w:rPr>
            <w:noProof/>
            <w:webHidden/>
          </w:rPr>
          <w:fldChar w:fldCharType="end"/>
        </w:r>
      </w:hyperlink>
    </w:p>
    <w:p w:rsidR="00864E8E" w:rsidRDefault="008A60B4">
      <w:pPr>
        <w:pStyle w:val="TOC2"/>
        <w:tabs>
          <w:tab w:val="left" w:pos="1100"/>
          <w:tab w:val="right" w:leader="dot" w:pos="9040"/>
        </w:tabs>
        <w:rPr>
          <w:rFonts w:asciiTheme="minorHAnsi" w:eastAsiaTheme="minorEastAsia" w:hAnsiTheme="minorHAnsi"/>
          <w:noProof/>
          <w:color w:val="auto"/>
          <w:sz w:val="22"/>
          <w:lang w:val="en-GB" w:eastAsia="en-GB"/>
        </w:rPr>
      </w:pPr>
      <w:hyperlink w:anchor="_Toc508889197" w:history="1">
        <w:r w:rsidR="00864E8E" w:rsidRPr="0009161B">
          <w:rPr>
            <w:rStyle w:val="Hyperlink"/>
            <w:noProof/>
            <w14:scene3d>
              <w14:camera w14:prst="orthographicFront"/>
              <w14:lightRig w14:rig="threePt" w14:dir="t">
                <w14:rot w14:lat="0" w14:lon="0" w14:rev="0"/>
              </w14:lightRig>
            </w14:scene3d>
          </w:rPr>
          <w:t xml:space="preserve">Table </w:t>
        </w:r>
        <w:r w:rsidR="00864E8E" w:rsidRPr="00FA63BD">
          <w:rPr>
            <w:rStyle w:val="Hyperlink"/>
            <w:noProof/>
            <w14:scene3d>
              <w14:camera w14:prst="orthographicFront"/>
              <w14:lightRig w14:rig="threePt" w14:dir="t">
                <w14:rot w14:lat="0" w14:lon="0" w14:rev="0"/>
              </w14:lightRig>
            </w14:scene3d>
          </w:rPr>
          <w:t>9</w:t>
        </w:r>
        <w:r w:rsidR="00864E8E" w:rsidRPr="0009161B">
          <w:rPr>
            <w:rStyle w:val="Hyperlink"/>
            <w:noProof/>
            <w14:scene3d>
              <w14:camera w14:prst="orthographicFront"/>
              <w14:lightRig w14:rig="threePt" w14:dir="t">
                <w14:rot w14:lat="0" w14:lon="0" w14:rev="0"/>
              </w14:lightRig>
            </w14:scene3d>
          </w:rPr>
          <w:t>.</w:t>
        </w:r>
        <w:r w:rsidR="00864E8E">
          <w:rPr>
            <w:rFonts w:asciiTheme="minorHAnsi" w:eastAsiaTheme="minorEastAsia" w:hAnsiTheme="minorHAnsi"/>
            <w:noProof/>
            <w:color w:val="auto"/>
            <w:sz w:val="22"/>
            <w:lang w:val="en-GB" w:eastAsia="en-GB"/>
          </w:rPr>
          <w:tab/>
        </w:r>
        <w:r w:rsidR="00864E8E" w:rsidRPr="0009161B">
          <w:rPr>
            <w:rStyle w:val="Hyperlink"/>
            <w:noProof/>
          </w:rPr>
          <w:t xml:space="preserve">Elemente de evaluare legate de IEC nr. </w:t>
        </w:r>
        <w:r w:rsidR="00864E8E" w:rsidRPr="00FA63BD">
          <w:rPr>
            <w:rStyle w:val="Hyperlink"/>
            <w:noProof/>
          </w:rPr>
          <w:t>30</w:t>
        </w:r>
        <w:r w:rsidR="00864E8E">
          <w:rPr>
            <w:noProof/>
            <w:webHidden/>
          </w:rPr>
          <w:tab/>
        </w:r>
        <w:r w:rsidR="00864E8E">
          <w:rPr>
            <w:noProof/>
            <w:webHidden/>
          </w:rPr>
          <w:fldChar w:fldCharType="begin"/>
        </w:r>
        <w:r w:rsidR="00864E8E">
          <w:rPr>
            <w:noProof/>
            <w:webHidden/>
          </w:rPr>
          <w:instrText xml:space="preserve"> PAGEREF _Toc508889197 \h </w:instrText>
        </w:r>
        <w:r w:rsidR="00864E8E">
          <w:rPr>
            <w:noProof/>
            <w:webHidden/>
          </w:rPr>
        </w:r>
        <w:r w:rsidR="00864E8E">
          <w:rPr>
            <w:noProof/>
            <w:webHidden/>
          </w:rPr>
          <w:fldChar w:fldCharType="separate"/>
        </w:r>
        <w:r w:rsidR="000E1142">
          <w:rPr>
            <w:noProof/>
            <w:webHidden/>
          </w:rPr>
          <w:t>68</w:t>
        </w:r>
        <w:r w:rsidR="00864E8E">
          <w:rPr>
            <w:noProof/>
            <w:webHidden/>
          </w:rPr>
          <w:fldChar w:fldCharType="end"/>
        </w:r>
      </w:hyperlink>
    </w:p>
    <w:p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rsidR="00864E8E" w:rsidRDefault="002F11D9">
      <w:pPr>
        <w:pStyle w:val="TOC4"/>
        <w:tabs>
          <w:tab w:val="left" w:pos="1100"/>
          <w:tab w:val="right" w:leader="dot" w:pos="9040"/>
        </w:tabs>
        <w:rPr>
          <w:rFonts w:asciiTheme="minorHAnsi" w:eastAsiaTheme="minorEastAsia" w:hAnsiTheme="minorHAnsi"/>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8889198" w:history="1">
        <w:r w:rsidR="00864E8E" w:rsidRPr="00180014">
          <w:rPr>
            <w:rStyle w:val="Hyperlink"/>
          </w:rPr>
          <w:t xml:space="preserve">Figure </w:t>
        </w:r>
        <w:r w:rsidR="00864E8E" w:rsidRPr="00FA63BD">
          <w:rPr>
            <w:rStyle w:val="Hyperlink"/>
          </w:rPr>
          <w:t>1</w:t>
        </w:r>
        <w:r w:rsidR="00864E8E" w:rsidRPr="00180014">
          <w:rPr>
            <w:rStyle w:val="Hyperlink"/>
          </w:rPr>
          <w:t>.</w:t>
        </w:r>
        <w:r w:rsidR="00864E8E">
          <w:rPr>
            <w:rFonts w:asciiTheme="minorHAnsi" w:eastAsiaTheme="minorEastAsia" w:hAnsiTheme="minorHAnsi"/>
            <w:color w:val="auto"/>
            <w:sz w:val="22"/>
            <w:lang w:val="en-GB" w:eastAsia="en-GB"/>
          </w:rPr>
          <w:tab/>
        </w:r>
        <w:r w:rsidR="00864E8E" w:rsidRPr="00180014">
          <w:rPr>
            <w:rStyle w:val="Hyperlink"/>
          </w:rPr>
          <w:t>O imagine simplificată a modului în care PDR-urile favorizează inovarea</w:t>
        </w:r>
        <w:r w:rsidR="00864E8E">
          <w:rPr>
            <w:webHidden/>
          </w:rPr>
          <w:tab/>
        </w:r>
        <w:r w:rsidR="00864E8E">
          <w:rPr>
            <w:webHidden/>
          </w:rPr>
          <w:fldChar w:fldCharType="begin"/>
        </w:r>
        <w:r w:rsidR="00864E8E">
          <w:rPr>
            <w:webHidden/>
          </w:rPr>
          <w:instrText xml:space="preserve"> PAGEREF _Toc508889198 \h </w:instrText>
        </w:r>
        <w:r w:rsidR="00864E8E">
          <w:rPr>
            <w:webHidden/>
          </w:rPr>
        </w:r>
        <w:r w:rsidR="00864E8E">
          <w:rPr>
            <w:webHidden/>
          </w:rPr>
          <w:fldChar w:fldCharType="separate"/>
        </w:r>
        <w:r w:rsidR="000E1142">
          <w:rPr>
            <w:webHidden/>
          </w:rPr>
          <w:t>4</w:t>
        </w:r>
        <w:r w:rsidR="00864E8E">
          <w:rPr>
            <w:webHidden/>
          </w:rPr>
          <w:fldChar w:fldCharType="end"/>
        </w:r>
      </w:hyperlink>
    </w:p>
    <w:p w:rsidR="00864E8E" w:rsidRDefault="008A60B4">
      <w:pPr>
        <w:pStyle w:val="TOC4"/>
        <w:tabs>
          <w:tab w:val="left" w:pos="1100"/>
          <w:tab w:val="right" w:leader="dot" w:pos="9040"/>
        </w:tabs>
        <w:rPr>
          <w:rFonts w:asciiTheme="minorHAnsi" w:eastAsiaTheme="minorEastAsia" w:hAnsiTheme="minorHAnsi"/>
          <w:color w:val="auto"/>
          <w:sz w:val="22"/>
          <w:lang w:val="en-GB" w:eastAsia="en-GB"/>
        </w:rPr>
      </w:pPr>
      <w:hyperlink w:anchor="_Toc508889199" w:history="1">
        <w:r w:rsidR="00864E8E" w:rsidRPr="00180014">
          <w:rPr>
            <w:rStyle w:val="Hyperlink"/>
          </w:rPr>
          <w:t xml:space="preserve">Figure </w:t>
        </w:r>
        <w:r w:rsidR="00864E8E" w:rsidRPr="00FA63BD">
          <w:rPr>
            <w:rStyle w:val="Hyperlink"/>
          </w:rPr>
          <w:t>2</w:t>
        </w:r>
        <w:r w:rsidR="00864E8E" w:rsidRPr="00180014">
          <w:rPr>
            <w:rStyle w:val="Hyperlink"/>
          </w:rPr>
          <w:t>.</w:t>
        </w:r>
        <w:r w:rsidR="00864E8E">
          <w:rPr>
            <w:rFonts w:asciiTheme="minorHAnsi" w:eastAsiaTheme="minorEastAsia" w:hAnsiTheme="minorHAnsi"/>
            <w:color w:val="auto"/>
            <w:sz w:val="22"/>
            <w:lang w:val="en-GB" w:eastAsia="en-GB"/>
          </w:rPr>
          <w:tab/>
        </w:r>
        <w:r w:rsidR="00864E8E" w:rsidRPr="00180014">
          <w:rPr>
            <w:rStyle w:val="Hyperlink"/>
          </w:rPr>
          <w:t>Cadrul de politică pentru inovare în UE și politica de dezvoltare rurală</w:t>
        </w:r>
        <w:r w:rsidR="00864E8E">
          <w:rPr>
            <w:webHidden/>
          </w:rPr>
          <w:tab/>
        </w:r>
        <w:r w:rsidR="00864E8E">
          <w:rPr>
            <w:webHidden/>
          </w:rPr>
          <w:fldChar w:fldCharType="begin"/>
        </w:r>
        <w:r w:rsidR="00864E8E">
          <w:rPr>
            <w:webHidden/>
          </w:rPr>
          <w:instrText xml:space="preserve"> PAGEREF _Toc508889199 \h </w:instrText>
        </w:r>
        <w:r w:rsidR="00864E8E">
          <w:rPr>
            <w:webHidden/>
          </w:rPr>
        </w:r>
        <w:r w:rsidR="00864E8E">
          <w:rPr>
            <w:webHidden/>
          </w:rPr>
          <w:fldChar w:fldCharType="separate"/>
        </w:r>
        <w:r w:rsidR="000E1142">
          <w:rPr>
            <w:webHidden/>
          </w:rPr>
          <w:t>10</w:t>
        </w:r>
        <w:r w:rsidR="00864E8E">
          <w:rPr>
            <w:webHidden/>
          </w:rPr>
          <w:fldChar w:fldCharType="end"/>
        </w:r>
      </w:hyperlink>
    </w:p>
    <w:p w:rsidR="00864E8E" w:rsidRDefault="008A60B4">
      <w:pPr>
        <w:pStyle w:val="TOC4"/>
        <w:tabs>
          <w:tab w:val="left" w:pos="1100"/>
          <w:tab w:val="right" w:leader="dot" w:pos="9040"/>
        </w:tabs>
        <w:rPr>
          <w:rFonts w:asciiTheme="minorHAnsi" w:eastAsiaTheme="minorEastAsia" w:hAnsiTheme="minorHAnsi"/>
          <w:color w:val="auto"/>
          <w:sz w:val="22"/>
          <w:lang w:val="en-GB" w:eastAsia="en-GB"/>
        </w:rPr>
      </w:pPr>
      <w:hyperlink w:anchor="_Toc508889200" w:history="1">
        <w:r w:rsidR="00864E8E" w:rsidRPr="00180014">
          <w:rPr>
            <w:rStyle w:val="Hyperlink"/>
          </w:rPr>
          <w:t xml:space="preserve">Figure </w:t>
        </w:r>
        <w:r w:rsidR="00864E8E" w:rsidRPr="00FA63BD">
          <w:rPr>
            <w:rStyle w:val="Hyperlink"/>
          </w:rPr>
          <w:t>3</w:t>
        </w:r>
        <w:r w:rsidR="00864E8E" w:rsidRPr="00180014">
          <w:rPr>
            <w:rStyle w:val="Hyperlink"/>
          </w:rPr>
          <w:t>.</w:t>
        </w:r>
        <w:r w:rsidR="00864E8E">
          <w:rPr>
            <w:rFonts w:asciiTheme="minorHAnsi" w:eastAsiaTheme="minorEastAsia" w:hAnsiTheme="minorHAnsi"/>
            <w:color w:val="auto"/>
            <w:sz w:val="22"/>
            <w:lang w:val="en-GB" w:eastAsia="en-GB"/>
          </w:rPr>
          <w:tab/>
        </w:r>
        <w:r w:rsidR="00864E8E" w:rsidRPr="00180014">
          <w:rPr>
            <w:rStyle w:val="Hyperlink"/>
          </w:rPr>
          <w:t>Elemente de evaluare comune pentru evaluarea inovării</w:t>
        </w:r>
        <w:r w:rsidR="00864E8E">
          <w:rPr>
            <w:webHidden/>
          </w:rPr>
          <w:tab/>
        </w:r>
        <w:r w:rsidR="00864E8E">
          <w:rPr>
            <w:webHidden/>
          </w:rPr>
          <w:fldChar w:fldCharType="begin"/>
        </w:r>
        <w:r w:rsidR="00864E8E">
          <w:rPr>
            <w:webHidden/>
          </w:rPr>
          <w:instrText xml:space="preserve"> PAGEREF _Toc508889200 \h </w:instrText>
        </w:r>
        <w:r w:rsidR="00864E8E">
          <w:rPr>
            <w:webHidden/>
          </w:rPr>
        </w:r>
        <w:r w:rsidR="00864E8E">
          <w:rPr>
            <w:webHidden/>
          </w:rPr>
          <w:fldChar w:fldCharType="separate"/>
        </w:r>
        <w:r w:rsidR="000E1142">
          <w:rPr>
            <w:webHidden/>
          </w:rPr>
          <w:t>14</w:t>
        </w:r>
        <w:r w:rsidR="00864E8E">
          <w:rPr>
            <w:webHidden/>
          </w:rPr>
          <w:fldChar w:fldCharType="end"/>
        </w:r>
      </w:hyperlink>
    </w:p>
    <w:p w:rsidR="00864E8E" w:rsidRDefault="008A60B4">
      <w:pPr>
        <w:pStyle w:val="TOC4"/>
        <w:tabs>
          <w:tab w:val="left" w:pos="1100"/>
          <w:tab w:val="right" w:leader="dot" w:pos="9040"/>
        </w:tabs>
        <w:rPr>
          <w:rFonts w:asciiTheme="minorHAnsi" w:eastAsiaTheme="minorEastAsia" w:hAnsiTheme="minorHAnsi"/>
          <w:color w:val="auto"/>
          <w:sz w:val="22"/>
          <w:lang w:val="en-GB" w:eastAsia="en-GB"/>
        </w:rPr>
      </w:pPr>
      <w:hyperlink w:anchor="_Toc508889201" w:history="1">
        <w:r w:rsidR="00864E8E" w:rsidRPr="00180014">
          <w:rPr>
            <w:rStyle w:val="Hyperlink"/>
          </w:rPr>
          <w:t xml:space="preserve">Figure </w:t>
        </w:r>
        <w:r w:rsidR="00864E8E" w:rsidRPr="00FA63BD">
          <w:rPr>
            <w:rStyle w:val="Hyperlink"/>
          </w:rPr>
          <w:t>4</w:t>
        </w:r>
        <w:r w:rsidR="00864E8E" w:rsidRPr="00180014">
          <w:rPr>
            <w:rStyle w:val="Hyperlink"/>
          </w:rPr>
          <w:t>.</w:t>
        </w:r>
        <w:r w:rsidR="00864E8E">
          <w:rPr>
            <w:rFonts w:asciiTheme="minorHAnsi" w:eastAsiaTheme="minorEastAsia" w:hAnsiTheme="minorHAnsi"/>
            <w:color w:val="auto"/>
            <w:sz w:val="22"/>
            <w:lang w:val="en-GB" w:eastAsia="en-GB"/>
          </w:rPr>
          <w:tab/>
        </w:r>
        <w:r w:rsidR="00864E8E" w:rsidRPr="00180014">
          <w:rPr>
            <w:rStyle w:val="Hyperlink"/>
          </w:rPr>
          <w:t xml:space="preserve">Gestionarea evaluării inovării în programele de dezvoltare rurală pentru perioada </w:t>
        </w:r>
        <w:r w:rsidR="00864E8E" w:rsidRPr="00FA63BD">
          <w:rPr>
            <w:rStyle w:val="Hyperlink"/>
          </w:rPr>
          <w:t>2014</w:t>
        </w:r>
        <w:r w:rsidR="00864E8E" w:rsidRPr="00180014">
          <w:rPr>
            <w:rStyle w:val="Hyperlink"/>
          </w:rPr>
          <w:t>-</w:t>
        </w:r>
        <w:r w:rsidR="00864E8E" w:rsidRPr="00FA63BD">
          <w:rPr>
            <w:rStyle w:val="Hyperlink"/>
          </w:rPr>
          <w:t>2020</w:t>
        </w:r>
        <w:r w:rsidR="00864E8E">
          <w:rPr>
            <w:webHidden/>
          </w:rPr>
          <w:tab/>
        </w:r>
        <w:r w:rsidR="00864E8E">
          <w:rPr>
            <w:webHidden/>
          </w:rPr>
          <w:fldChar w:fldCharType="begin"/>
        </w:r>
        <w:r w:rsidR="00864E8E">
          <w:rPr>
            <w:webHidden/>
          </w:rPr>
          <w:instrText xml:space="preserve"> PAGEREF _Toc508889201 \h </w:instrText>
        </w:r>
        <w:r w:rsidR="00864E8E">
          <w:rPr>
            <w:webHidden/>
          </w:rPr>
        </w:r>
        <w:r w:rsidR="00864E8E">
          <w:rPr>
            <w:webHidden/>
          </w:rPr>
          <w:fldChar w:fldCharType="separate"/>
        </w:r>
        <w:r w:rsidR="000E1142">
          <w:rPr>
            <w:webHidden/>
          </w:rPr>
          <w:t>17</w:t>
        </w:r>
        <w:r w:rsidR="00864E8E">
          <w:rPr>
            <w:webHidden/>
          </w:rPr>
          <w:fldChar w:fldCharType="end"/>
        </w:r>
      </w:hyperlink>
    </w:p>
    <w:p w:rsidR="00864E8E" w:rsidRDefault="008A60B4">
      <w:pPr>
        <w:pStyle w:val="TOC4"/>
        <w:tabs>
          <w:tab w:val="left" w:pos="1100"/>
          <w:tab w:val="right" w:leader="dot" w:pos="9040"/>
        </w:tabs>
        <w:rPr>
          <w:rFonts w:asciiTheme="minorHAnsi" w:eastAsiaTheme="minorEastAsia" w:hAnsiTheme="minorHAnsi"/>
          <w:color w:val="auto"/>
          <w:sz w:val="22"/>
          <w:lang w:val="en-GB" w:eastAsia="en-GB"/>
        </w:rPr>
      </w:pPr>
      <w:hyperlink w:anchor="_Toc508889202" w:history="1">
        <w:r w:rsidR="00864E8E" w:rsidRPr="00180014">
          <w:rPr>
            <w:rStyle w:val="Hyperlink"/>
          </w:rPr>
          <w:t xml:space="preserve">Figure </w:t>
        </w:r>
        <w:r w:rsidR="00864E8E" w:rsidRPr="00FA63BD">
          <w:rPr>
            <w:rStyle w:val="Hyperlink"/>
          </w:rPr>
          <w:t>5</w:t>
        </w:r>
        <w:r w:rsidR="00864E8E" w:rsidRPr="00180014">
          <w:rPr>
            <w:rStyle w:val="Hyperlink"/>
          </w:rPr>
          <w:t>.</w:t>
        </w:r>
        <w:r w:rsidR="00864E8E">
          <w:rPr>
            <w:rFonts w:asciiTheme="minorHAnsi" w:eastAsiaTheme="minorEastAsia" w:hAnsiTheme="minorHAnsi"/>
            <w:color w:val="auto"/>
            <w:sz w:val="22"/>
            <w:lang w:val="en-GB" w:eastAsia="en-GB"/>
          </w:rPr>
          <w:tab/>
        </w:r>
        <w:r w:rsidR="00864E8E" w:rsidRPr="00180014">
          <w:rPr>
            <w:rStyle w:val="Hyperlink"/>
          </w:rPr>
          <w:t>Cerințe de raportare legate de inovare</w:t>
        </w:r>
        <w:r w:rsidR="00864E8E">
          <w:rPr>
            <w:webHidden/>
          </w:rPr>
          <w:tab/>
        </w:r>
        <w:r w:rsidR="00864E8E">
          <w:rPr>
            <w:webHidden/>
          </w:rPr>
          <w:fldChar w:fldCharType="begin"/>
        </w:r>
        <w:r w:rsidR="00864E8E">
          <w:rPr>
            <w:webHidden/>
          </w:rPr>
          <w:instrText xml:space="preserve"> PAGEREF _Toc508889202 \h </w:instrText>
        </w:r>
        <w:r w:rsidR="00864E8E">
          <w:rPr>
            <w:webHidden/>
          </w:rPr>
        </w:r>
        <w:r w:rsidR="00864E8E">
          <w:rPr>
            <w:webHidden/>
          </w:rPr>
          <w:fldChar w:fldCharType="separate"/>
        </w:r>
        <w:r w:rsidR="000E1142">
          <w:rPr>
            <w:webHidden/>
          </w:rPr>
          <w:t>18</w:t>
        </w:r>
        <w:r w:rsidR="00864E8E">
          <w:rPr>
            <w:webHidden/>
          </w:rPr>
          <w:fldChar w:fldCharType="end"/>
        </w:r>
      </w:hyperlink>
    </w:p>
    <w:p w:rsidR="00864E8E" w:rsidRDefault="008A60B4">
      <w:pPr>
        <w:pStyle w:val="TOC4"/>
        <w:tabs>
          <w:tab w:val="left" w:pos="1100"/>
          <w:tab w:val="right" w:leader="dot" w:pos="9040"/>
        </w:tabs>
        <w:rPr>
          <w:rFonts w:asciiTheme="minorHAnsi" w:eastAsiaTheme="minorEastAsia" w:hAnsiTheme="minorHAnsi"/>
          <w:color w:val="auto"/>
          <w:sz w:val="22"/>
          <w:lang w:val="en-GB" w:eastAsia="en-GB"/>
        </w:rPr>
      </w:pPr>
      <w:hyperlink w:anchor="_Toc508889203" w:history="1">
        <w:r w:rsidR="00864E8E" w:rsidRPr="00180014">
          <w:rPr>
            <w:rStyle w:val="Hyperlink"/>
          </w:rPr>
          <w:t xml:space="preserve">Figure </w:t>
        </w:r>
        <w:r w:rsidR="00864E8E" w:rsidRPr="00FA63BD">
          <w:rPr>
            <w:rStyle w:val="Hyperlink"/>
          </w:rPr>
          <w:t>6</w:t>
        </w:r>
        <w:r w:rsidR="00864E8E" w:rsidRPr="00180014">
          <w:rPr>
            <w:rStyle w:val="Hyperlink"/>
          </w:rPr>
          <w:t>.</w:t>
        </w:r>
        <w:r w:rsidR="00864E8E">
          <w:rPr>
            <w:rFonts w:asciiTheme="minorHAnsi" w:eastAsiaTheme="minorEastAsia" w:hAnsiTheme="minorHAnsi"/>
            <w:color w:val="auto"/>
            <w:sz w:val="22"/>
            <w:lang w:val="en-GB" w:eastAsia="en-GB"/>
          </w:rPr>
          <w:tab/>
        </w:r>
        <w:r w:rsidR="00864E8E" w:rsidRPr="00180014">
          <w:rPr>
            <w:rStyle w:val="Hyperlink"/>
          </w:rPr>
          <w:t>Abordarea evaluării inovării în programele de dezvoltare rurală</w:t>
        </w:r>
        <w:r w:rsidR="00864E8E">
          <w:rPr>
            <w:webHidden/>
          </w:rPr>
          <w:tab/>
        </w:r>
        <w:r w:rsidR="00864E8E">
          <w:rPr>
            <w:webHidden/>
          </w:rPr>
          <w:fldChar w:fldCharType="begin"/>
        </w:r>
        <w:r w:rsidR="00864E8E">
          <w:rPr>
            <w:webHidden/>
          </w:rPr>
          <w:instrText xml:space="preserve"> PAGEREF _Toc508889203 \h </w:instrText>
        </w:r>
        <w:r w:rsidR="00864E8E">
          <w:rPr>
            <w:webHidden/>
          </w:rPr>
        </w:r>
        <w:r w:rsidR="00864E8E">
          <w:rPr>
            <w:webHidden/>
          </w:rPr>
          <w:fldChar w:fldCharType="separate"/>
        </w:r>
        <w:r w:rsidR="000E1142">
          <w:rPr>
            <w:webHidden/>
          </w:rPr>
          <w:t>20</w:t>
        </w:r>
        <w:r w:rsidR="00864E8E">
          <w:rPr>
            <w:webHidden/>
          </w:rPr>
          <w:fldChar w:fldCharType="end"/>
        </w:r>
      </w:hyperlink>
    </w:p>
    <w:p w:rsidR="00864E8E" w:rsidRDefault="008A60B4">
      <w:pPr>
        <w:pStyle w:val="TOC4"/>
        <w:tabs>
          <w:tab w:val="left" w:pos="1100"/>
          <w:tab w:val="right" w:leader="dot" w:pos="9040"/>
        </w:tabs>
        <w:rPr>
          <w:rFonts w:asciiTheme="minorHAnsi" w:eastAsiaTheme="minorEastAsia" w:hAnsiTheme="minorHAnsi"/>
          <w:color w:val="auto"/>
          <w:sz w:val="22"/>
          <w:lang w:val="en-GB" w:eastAsia="en-GB"/>
        </w:rPr>
      </w:pPr>
      <w:hyperlink w:anchor="_Toc508889204" w:history="1">
        <w:r w:rsidR="00864E8E" w:rsidRPr="00180014">
          <w:rPr>
            <w:rStyle w:val="Hyperlink"/>
          </w:rPr>
          <w:t xml:space="preserve">Figure </w:t>
        </w:r>
        <w:r w:rsidR="00864E8E" w:rsidRPr="00FA63BD">
          <w:rPr>
            <w:rStyle w:val="Hyperlink"/>
          </w:rPr>
          <w:t>7</w:t>
        </w:r>
        <w:r w:rsidR="00864E8E" w:rsidRPr="00180014">
          <w:rPr>
            <w:rStyle w:val="Hyperlink"/>
          </w:rPr>
          <w:t>.</w:t>
        </w:r>
        <w:r w:rsidR="00864E8E">
          <w:rPr>
            <w:rFonts w:asciiTheme="minorHAnsi" w:eastAsiaTheme="minorEastAsia" w:hAnsiTheme="minorHAnsi"/>
            <w:color w:val="auto"/>
            <w:sz w:val="22"/>
            <w:lang w:val="en-GB" w:eastAsia="en-GB"/>
          </w:rPr>
          <w:tab/>
        </w:r>
        <w:r w:rsidR="00864E8E" w:rsidRPr="00180014">
          <w:rPr>
            <w:rStyle w:val="Hyperlink"/>
          </w:rPr>
          <w:t>Etapele examinării măsuri</w:t>
        </w:r>
        <w:bookmarkStart w:id="3" w:name="_GoBack"/>
        <w:bookmarkEnd w:id="3"/>
        <w:r w:rsidR="00864E8E" w:rsidRPr="00180014">
          <w:rPr>
            <w:rStyle w:val="Hyperlink"/>
          </w:rPr>
          <w:t>lor/submăsurilor PDR în ceea ce privește potențialul lor de inovare</w:t>
        </w:r>
        <w:r w:rsidR="00864E8E">
          <w:rPr>
            <w:webHidden/>
          </w:rPr>
          <w:tab/>
        </w:r>
        <w:r w:rsidR="00864E8E">
          <w:rPr>
            <w:webHidden/>
          </w:rPr>
          <w:fldChar w:fldCharType="begin"/>
        </w:r>
        <w:r w:rsidR="00864E8E">
          <w:rPr>
            <w:webHidden/>
          </w:rPr>
          <w:instrText xml:space="preserve"> PAGEREF _Toc508889204 \h </w:instrText>
        </w:r>
        <w:r w:rsidR="00864E8E">
          <w:rPr>
            <w:webHidden/>
          </w:rPr>
        </w:r>
        <w:r w:rsidR="00864E8E">
          <w:rPr>
            <w:webHidden/>
          </w:rPr>
          <w:fldChar w:fldCharType="separate"/>
        </w:r>
        <w:r w:rsidR="000E1142">
          <w:rPr>
            <w:webHidden/>
          </w:rPr>
          <w:t>21</w:t>
        </w:r>
        <w:r w:rsidR="00864E8E">
          <w:rPr>
            <w:webHidden/>
          </w:rPr>
          <w:fldChar w:fldCharType="end"/>
        </w:r>
      </w:hyperlink>
    </w:p>
    <w:p w:rsidR="00864E8E" w:rsidRDefault="008A60B4">
      <w:pPr>
        <w:pStyle w:val="TOC4"/>
        <w:tabs>
          <w:tab w:val="left" w:pos="1100"/>
          <w:tab w:val="right" w:leader="dot" w:pos="9040"/>
        </w:tabs>
        <w:rPr>
          <w:rFonts w:asciiTheme="minorHAnsi" w:eastAsiaTheme="minorEastAsia" w:hAnsiTheme="minorHAnsi"/>
          <w:color w:val="auto"/>
          <w:sz w:val="22"/>
          <w:lang w:val="en-GB" w:eastAsia="en-GB"/>
        </w:rPr>
      </w:pPr>
      <w:hyperlink w:anchor="_Toc508889205" w:history="1">
        <w:r w:rsidR="00864E8E" w:rsidRPr="00180014">
          <w:rPr>
            <w:rStyle w:val="Hyperlink"/>
          </w:rPr>
          <w:t xml:space="preserve">Figure </w:t>
        </w:r>
        <w:r w:rsidR="00864E8E" w:rsidRPr="00FA63BD">
          <w:rPr>
            <w:rStyle w:val="Hyperlink"/>
          </w:rPr>
          <w:t>8</w:t>
        </w:r>
        <w:r w:rsidR="00864E8E" w:rsidRPr="00180014">
          <w:rPr>
            <w:rStyle w:val="Hyperlink"/>
          </w:rPr>
          <w:t>.</w:t>
        </w:r>
        <w:r w:rsidR="00864E8E">
          <w:rPr>
            <w:rFonts w:asciiTheme="minorHAnsi" w:eastAsiaTheme="minorEastAsia" w:hAnsiTheme="minorHAnsi"/>
            <w:color w:val="auto"/>
            <w:sz w:val="22"/>
            <w:lang w:val="en-GB" w:eastAsia="en-GB"/>
          </w:rPr>
          <w:tab/>
        </w:r>
        <w:r w:rsidR="00864E8E" w:rsidRPr="00180014">
          <w:rPr>
            <w:rStyle w:val="Hyperlink"/>
          </w:rPr>
          <w:t xml:space="preserve">Exemplu de logică de intervenție legată de IEC nr. </w:t>
        </w:r>
        <w:r w:rsidR="00864E8E" w:rsidRPr="00FA63BD">
          <w:rPr>
            <w:rStyle w:val="Hyperlink"/>
          </w:rPr>
          <w:t>1</w:t>
        </w:r>
        <w:r w:rsidR="00864E8E">
          <w:rPr>
            <w:webHidden/>
          </w:rPr>
          <w:tab/>
        </w:r>
        <w:r w:rsidR="00864E8E">
          <w:rPr>
            <w:webHidden/>
          </w:rPr>
          <w:fldChar w:fldCharType="begin"/>
        </w:r>
        <w:r w:rsidR="00864E8E">
          <w:rPr>
            <w:webHidden/>
          </w:rPr>
          <w:instrText xml:space="preserve"> PAGEREF _Toc508889205 \h </w:instrText>
        </w:r>
        <w:r w:rsidR="00864E8E">
          <w:rPr>
            <w:webHidden/>
          </w:rPr>
        </w:r>
        <w:r w:rsidR="00864E8E">
          <w:rPr>
            <w:webHidden/>
          </w:rPr>
          <w:fldChar w:fldCharType="separate"/>
        </w:r>
        <w:r w:rsidR="000E1142">
          <w:rPr>
            <w:webHidden/>
          </w:rPr>
          <w:t>29</w:t>
        </w:r>
        <w:r w:rsidR="00864E8E">
          <w:rPr>
            <w:webHidden/>
          </w:rPr>
          <w:fldChar w:fldCharType="end"/>
        </w:r>
      </w:hyperlink>
    </w:p>
    <w:p w:rsidR="00864E8E" w:rsidRDefault="008A60B4">
      <w:pPr>
        <w:pStyle w:val="TOC4"/>
        <w:tabs>
          <w:tab w:val="left" w:pos="1100"/>
          <w:tab w:val="right" w:leader="dot" w:pos="9040"/>
        </w:tabs>
        <w:rPr>
          <w:rFonts w:asciiTheme="minorHAnsi" w:eastAsiaTheme="minorEastAsia" w:hAnsiTheme="minorHAnsi"/>
          <w:color w:val="auto"/>
          <w:sz w:val="22"/>
          <w:lang w:val="en-GB" w:eastAsia="en-GB"/>
        </w:rPr>
      </w:pPr>
      <w:hyperlink w:anchor="_Toc508889206" w:history="1">
        <w:r w:rsidR="00864E8E" w:rsidRPr="00180014">
          <w:rPr>
            <w:rStyle w:val="Hyperlink"/>
          </w:rPr>
          <w:t xml:space="preserve">Figure </w:t>
        </w:r>
        <w:r w:rsidR="00864E8E" w:rsidRPr="00FA63BD">
          <w:rPr>
            <w:rStyle w:val="Hyperlink"/>
          </w:rPr>
          <w:t>9</w:t>
        </w:r>
        <w:r w:rsidR="00864E8E" w:rsidRPr="00180014">
          <w:rPr>
            <w:rStyle w:val="Hyperlink"/>
          </w:rPr>
          <w:t>.</w:t>
        </w:r>
        <w:r w:rsidR="00864E8E">
          <w:rPr>
            <w:rFonts w:asciiTheme="minorHAnsi" w:eastAsiaTheme="minorEastAsia" w:hAnsiTheme="minorHAnsi"/>
            <w:color w:val="auto"/>
            <w:sz w:val="22"/>
            <w:lang w:val="en-GB" w:eastAsia="en-GB"/>
          </w:rPr>
          <w:tab/>
        </w:r>
        <w:r w:rsidR="00864E8E" w:rsidRPr="00180014">
          <w:rPr>
            <w:rStyle w:val="Hyperlink"/>
          </w:rPr>
          <w:t>Exemplu de potențial de inovare pentru fiecare submăsură din cadrul M</w:t>
        </w:r>
        <w:r w:rsidR="00864E8E" w:rsidRPr="00FA63BD">
          <w:rPr>
            <w:rStyle w:val="Hyperlink"/>
          </w:rPr>
          <w:t>16</w:t>
        </w:r>
        <w:r w:rsidR="00864E8E">
          <w:rPr>
            <w:webHidden/>
          </w:rPr>
          <w:tab/>
        </w:r>
        <w:r w:rsidR="00864E8E">
          <w:rPr>
            <w:webHidden/>
          </w:rPr>
          <w:fldChar w:fldCharType="begin"/>
        </w:r>
        <w:r w:rsidR="00864E8E">
          <w:rPr>
            <w:webHidden/>
          </w:rPr>
          <w:instrText xml:space="preserve"> PAGEREF _Toc508889206 \h </w:instrText>
        </w:r>
        <w:r w:rsidR="00864E8E">
          <w:rPr>
            <w:webHidden/>
          </w:rPr>
        </w:r>
        <w:r w:rsidR="00864E8E">
          <w:rPr>
            <w:webHidden/>
          </w:rPr>
          <w:fldChar w:fldCharType="separate"/>
        </w:r>
        <w:r w:rsidR="000E1142">
          <w:rPr>
            <w:webHidden/>
          </w:rPr>
          <w:t>39</w:t>
        </w:r>
        <w:r w:rsidR="00864E8E">
          <w:rPr>
            <w:webHidden/>
          </w:rPr>
          <w:fldChar w:fldCharType="end"/>
        </w:r>
      </w:hyperlink>
    </w:p>
    <w:p w:rsidR="00864E8E" w:rsidRDefault="008A60B4">
      <w:pPr>
        <w:pStyle w:val="TOC4"/>
        <w:tabs>
          <w:tab w:val="left" w:pos="1320"/>
          <w:tab w:val="right" w:leader="dot" w:pos="9040"/>
        </w:tabs>
        <w:rPr>
          <w:rFonts w:asciiTheme="minorHAnsi" w:eastAsiaTheme="minorEastAsia" w:hAnsiTheme="minorHAnsi"/>
          <w:color w:val="auto"/>
          <w:sz w:val="22"/>
          <w:lang w:val="en-GB" w:eastAsia="en-GB"/>
        </w:rPr>
      </w:pPr>
      <w:hyperlink w:anchor="_Toc508889207" w:history="1">
        <w:r w:rsidR="00864E8E" w:rsidRPr="00180014">
          <w:rPr>
            <w:rStyle w:val="Hyperlink"/>
          </w:rPr>
          <w:t xml:space="preserve">Figure </w:t>
        </w:r>
        <w:r w:rsidR="00864E8E" w:rsidRPr="00FA63BD">
          <w:rPr>
            <w:rStyle w:val="Hyperlink"/>
          </w:rPr>
          <w:t>10</w:t>
        </w:r>
        <w:r w:rsidR="00864E8E" w:rsidRPr="00180014">
          <w:rPr>
            <w:rStyle w:val="Hyperlink"/>
          </w:rPr>
          <w:t>.</w:t>
        </w:r>
        <w:r w:rsidR="00864E8E">
          <w:rPr>
            <w:rFonts w:asciiTheme="minorHAnsi" w:eastAsiaTheme="minorEastAsia" w:hAnsiTheme="minorHAnsi"/>
            <w:color w:val="auto"/>
            <w:sz w:val="22"/>
            <w:lang w:val="en-GB" w:eastAsia="en-GB"/>
          </w:rPr>
          <w:tab/>
        </w:r>
        <w:r w:rsidR="00864E8E" w:rsidRPr="00180014">
          <w:rPr>
            <w:rStyle w:val="Hyperlink"/>
          </w:rPr>
          <w:t>Logica de intervenție a RNDR în ceea ce privește inovarea</w:t>
        </w:r>
        <w:r w:rsidR="00864E8E">
          <w:rPr>
            <w:webHidden/>
          </w:rPr>
          <w:tab/>
        </w:r>
        <w:r w:rsidR="00864E8E">
          <w:rPr>
            <w:webHidden/>
          </w:rPr>
          <w:fldChar w:fldCharType="begin"/>
        </w:r>
        <w:r w:rsidR="00864E8E">
          <w:rPr>
            <w:webHidden/>
          </w:rPr>
          <w:instrText xml:space="preserve"> PAGEREF _Toc508889207 \h </w:instrText>
        </w:r>
        <w:r w:rsidR="00864E8E">
          <w:rPr>
            <w:webHidden/>
          </w:rPr>
        </w:r>
        <w:r w:rsidR="00864E8E">
          <w:rPr>
            <w:webHidden/>
          </w:rPr>
          <w:fldChar w:fldCharType="separate"/>
        </w:r>
        <w:r w:rsidR="000E1142">
          <w:rPr>
            <w:webHidden/>
          </w:rPr>
          <w:t>49</w:t>
        </w:r>
        <w:r w:rsidR="00864E8E">
          <w:rPr>
            <w:webHidden/>
          </w:rPr>
          <w:fldChar w:fldCharType="end"/>
        </w:r>
      </w:hyperlink>
    </w:p>
    <w:p w:rsidR="00864E8E" w:rsidRDefault="008A60B4">
      <w:pPr>
        <w:pStyle w:val="TOC4"/>
        <w:tabs>
          <w:tab w:val="left" w:pos="1320"/>
          <w:tab w:val="right" w:leader="dot" w:pos="9040"/>
        </w:tabs>
        <w:rPr>
          <w:rFonts w:asciiTheme="minorHAnsi" w:eastAsiaTheme="minorEastAsia" w:hAnsiTheme="minorHAnsi"/>
          <w:color w:val="auto"/>
          <w:sz w:val="22"/>
          <w:lang w:val="en-GB" w:eastAsia="en-GB"/>
        </w:rPr>
      </w:pPr>
      <w:hyperlink w:anchor="_Toc508889208" w:history="1">
        <w:r w:rsidR="00864E8E" w:rsidRPr="00180014">
          <w:rPr>
            <w:rStyle w:val="Hyperlink"/>
          </w:rPr>
          <w:t xml:space="preserve">Figure </w:t>
        </w:r>
        <w:r w:rsidR="00864E8E" w:rsidRPr="00FA63BD">
          <w:rPr>
            <w:rStyle w:val="Hyperlink"/>
          </w:rPr>
          <w:t>11</w:t>
        </w:r>
        <w:r w:rsidR="00864E8E" w:rsidRPr="00180014">
          <w:rPr>
            <w:rStyle w:val="Hyperlink"/>
          </w:rPr>
          <w:t>.</w:t>
        </w:r>
        <w:r w:rsidR="00864E8E">
          <w:rPr>
            <w:rFonts w:asciiTheme="minorHAnsi" w:eastAsiaTheme="minorEastAsia" w:hAnsiTheme="minorHAnsi"/>
            <w:color w:val="auto"/>
            <w:sz w:val="22"/>
            <w:lang w:val="en-GB" w:eastAsia="en-GB"/>
          </w:rPr>
          <w:tab/>
        </w:r>
        <w:r w:rsidR="00864E8E" w:rsidRPr="00180014">
          <w:rPr>
            <w:rStyle w:val="Hyperlink"/>
          </w:rPr>
          <w:t xml:space="preserve">Exemplu de logică de intervenție pentru IEC nr. </w:t>
        </w:r>
        <w:r w:rsidR="00864E8E" w:rsidRPr="00FA63BD">
          <w:rPr>
            <w:rStyle w:val="Hyperlink"/>
          </w:rPr>
          <w:t>30</w:t>
        </w:r>
        <w:r w:rsidR="00864E8E">
          <w:rPr>
            <w:webHidden/>
          </w:rPr>
          <w:tab/>
        </w:r>
        <w:r w:rsidR="00864E8E">
          <w:rPr>
            <w:webHidden/>
          </w:rPr>
          <w:fldChar w:fldCharType="begin"/>
        </w:r>
        <w:r w:rsidR="00864E8E">
          <w:rPr>
            <w:webHidden/>
          </w:rPr>
          <w:instrText xml:space="preserve"> PAGEREF _Toc508889208 \h </w:instrText>
        </w:r>
        <w:r w:rsidR="00864E8E">
          <w:rPr>
            <w:webHidden/>
          </w:rPr>
        </w:r>
        <w:r w:rsidR="00864E8E">
          <w:rPr>
            <w:webHidden/>
          </w:rPr>
          <w:fldChar w:fldCharType="separate"/>
        </w:r>
        <w:r w:rsidR="000E1142">
          <w:rPr>
            <w:webHidden/>
          </w:rPr>
          <w:t>66</w:t>
        </w:r>
        <w:r w:rsidR="00864E8E">
          <w:rPr>
            <w:webHidden/>
          </w:rPr>
          <w:fldChar w:fldCharType="end"/>
        </w:r>
      </w:hyperlink>
    </w:p>
    <w:p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Mulțumiri</w:t>
      </w:r>
    </w:p>
    <w:p w:rsidR="00E05D08" w:rsidRPr="00E05D08" w:rsidRDefault="00E05D08" w:rsidP="00E05D08">
      <w:pPr>
        <w:spacing w:after="120" w:line="280" w:lineRule="atLeast"/>
        <w:mirrorIndents/>
        <w:rPr>
          <w:rFonts w:eastAsia="Times New Roman" w:cs="Times New Roman"/>
          <w:i/>
          <w:szCs w:val="20"/>
        </w:rPr>
      </w:pPr>
      <w:r>
        <w:rPr>
          <w:i/>
          <w:szCs w:val="20"/>
        </w:rPr>
        <w:t xml:space="preserve">Ghidul a fost elaborat de o echipă de experți din cadrul Serviciului european de asistență pentru evaluare în domeniul dezvoltării rurale, inclusiv Boru Douthwaite, Marili Parissaki, Andreas Resch, Jela Tvrdonova, Valérie Dumont, Matteo Metta, Myles Stiffler,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Diverși experți au acționat ca evaluatori </w:t>
      </w:r>
      <w:r w:rsidRPr="00EF035B">
        <w:rPr>
          <w:szCs w:val="20"/>
        </w:rPr>
        <w:t>inter pares</w:t>
      </w:r>
      <w:r>
        <w:rPr>
          <w:i/>
          <w:szCs w:val="20"/>
        </w:rPr>
        <w:t xml:space="preserve"> (Anna Maria Augustyn, Simona Cristiano, Anikó Juhász, Bill Slee) sau au contribuit prin cunoștințele lor despre practicile de evaluare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Reprezentanții Direcției Generale Agricultură și Dezvoltare Rurală au asigurat coerența ghidului cu cadrul de politică al UE.</w:t>
      </w:r>
    </w:p>
    <w:p w:rsidR="00E05D08" w:rsidRPr="00E05D08" w:rsidRDefault="00E05D08" w:rsidP="00E05D08">
      <w:pPr>
        <w:spacing w:after="120" w:line="280" w:lineRule="atLeast"/>
        <w:mirrorIndents/>
        <w:rPr>
          <w:rFonts w:eastAsia="Times New Roman" w:cs="Times New Roman"/>
          <w:i/>
          <w:szCs w:val="20"/>
        </w:rPr>
      </w:pPr>
      <w:r>
        <w:rPr>
          <w:i/>
          <w:szCs w:val="20"/>
        </w:rPr>
        <w:t xml:space="preserve">Reprezentanții statelor membre au prezentat observații cu privire la versiunile de proiect de ghid pe parcursul reuniunii grupului consultativ din </w:t>
      </w:r>
      <w:r w:rsidRPr="00FA63BD">
        <w:rPr>
          <w:i/>
          <w:szCs w:val="20"/>
        </w:rPr>
        <w:t>22</w:t>
      </w:r>
      <w:r>
        <w:rPr>
          <w:i/>
          <w:szCs w:val="20"/>
        </w:rPr>
        <w:t xml:space="preserve"> martie </w:t>
      </w:r>
      <w:r w:rsidRPr="00FA63BD">
        <w:rPr>
          <w:i/>
          <w:szCs w:val="20"/>
        </w:rPr>
        <w:t>2017</w:t>
      </w:r>
      <w:r>
        <w:rPr>
          <w:i/>
          <w:szCs w:val="20"/>
        </w:rPr>
        <w:t xml:space="preserve"> și pe parcursul celei de a </w:t>
      </w:r>
      <w:r w:rsidRPr="00FA63BD">
        <w:rPr>
          <w:i/>
          <w:szCs w:val="20"/>
        </w:rPr>
        <w:t>11</w:t>
      </w:r>
      <w:r>
        <w:rPr>
          <w:i/>
          <w:szCs w:val="20"/>
        </w:rPr>
        <w:t xml:space="preserve">-a reuniuni a Grupului de experți privind monitorizarea și evaluarea PAC din </w:t>
      </w:r>
      <w:r w:rsidRPr="00FA63BD">
        <w:rPr>
          <w:i/>
          <w:szCs w:val="20"/>
        </w:rPr>
        <w:t>10</w:t>
      </w:r>
      <w:r>
        <w:rPr>
          <w:i/>
          <w:szCs w:val="20"/>
        </w:rPr>
        <w:t xml:space="preserve"> mai </w:t>
      </w:r>
      <w:r w:rsidRPr="00FA63BD">
        <w:rPr>
          <w:i/>
          <w:szCs w:val="20"/>
        </w:rPr>
        <w:t>2017</w:t>
      </w:r>
      <w:r>
        <w:rPr>
          <w:i/>
          <w:szCs w:val="20"/>
        </w:rPr>
        <w:t xml:space="preserve">.  </w:t>
      </w:r>
    </w:p>
    <w:p w:rsidR="00E05D08" w:rsidRPr="00E05D08" w:rsidRDefault="00E05D08" w:rsidP="00E05D08">
      <w:pPr>
        <w:spacing w:after="120" w:line="280" w:lineRule="atLeast"/>
        <w:mirrorIndents/>
        <w:rPr>
          <w:rFonts w:eastAsia="Times New Roman" w:cs="Times New Roman"/>
          <w:i/>
          <w:szCs w:val="20"/>
        </w:rPr>
      </w:pPr>
      <w:r>
        <w:rPr>
          <w:i/>
          <w:szCs w:val="20"/>
        </w:rPr>
        <w:t>Punctul de contact REDR și punctul de servicii PEI au fost invitate, de asemenea, să prezinte observații cu privire la ghid.</w:t>
      </w:r>
    </w:p>
    <w:p w:rsidR="00E05D08" w:rsidRPr="00E05D08" w:rsidRDefault="00E05D08" w:rsidP="00E05D08">
      <w:pPr>
        <w:spacing w:after="0" w:line="240" w:lineRule="auto"/>
        <w:rPr>
          <w:rFonts w:eastAsia="Times New Roman" w:cs="Times New Roman"/>
          <w:szCs w:val="20"/>
        </w:rPr>
      </w:pPr>
      <w:r>
        <w:br w:type="page"/>
      </w:r>
    </w:p>
    <w:p w:rsidR="00E05D08" w:rsidRPr="00864E8E" w:rsidRDefault="00E05D08" w:rsidP="00E05D08">
      <w:pPr>
        <w:spacing w:after="120" w:line="280" w:lineRule="atLeast"/>
        <w:mirrorIndents/>
        <w:rPr>
          <w:rFonts w:eastAsia="Times New Roman" w:cs="Arial"/>
          <w:smallCaps/>
          <w:color w:val="F07E31"/>
          <w:sz w:val="36"/>
          <w:szCs w:val="60"/>
          <w:lang w:eastAsia="de-DE"/>
        </w:rPr>
        <w:sectPr w:rsidR="00E05D08" w:rsidRPr="00864E8E"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INTRODUCERE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De ce ar trebui evaluată inovarea în PDR-uri? </w:t>
      </w:r>
    </w:p>
    <w:p w:rsidR="00A45935" w:rsidRPr="00E05D08" w:rsidRDefault="00E05D08" w:rsidP="00E05D08">
      <w:pPr>
        <w:spacing w:after="120" w:line="280" w:lineRule="atLeast"/>
        <w:mirrorIndents/>
        <w:rPr>
          <w:rFonts w:eastAsia="Times New Roman" w:cs="Times New Roman"/>
          <w:bCs/>
          <w:iCs/>
          <w:color w:val="000000"/>
          <w:szCs w:val="20"/>
        </w:rPr>
      </w:pPr>
      <w:r>
        <w:rPr>
          <w:b/>
          <w:i/>
          <w:iCs/>
          <w:szCs w:val="20"/>
        </w:rPr>
        <w:t>Inovarea este unul dintre cele trei obiective transversale ale politicii rurale</w:t>
      </w:r>
      <w:r>
        <w:rPr>
          <w:rFonts w:eastAsia="Times New Roman" w:cs="Arial"/>
          <w:b/>
          <w:bCs/>
          <w:iCs/>
          <w:color w:val="000000"/>
          <w:szCs w:val="20"/>
          <w:vertAlign w:val="superscript"/>
          <w:lang w:eastAsia="de-DE"/>
        </w:rPr>
        <w:footnoteReference w:id="1"/>
      </w:r>
      <w:r>
        <w:rPr>
          <w:b/>
          <w:i/>
          <w:iCs/>
          <w:szCs w:val="20"/>
        </w:rPr>
        <w:t xml:space="preserve"> și poate fi abordată prin intervențiile puse în aplicare în cadrul măsurilor și ariilor de intervenție din programele de dezvoltare rurală (PDR-uri) pentru perioada </w:t>
      </w:r>
      <w:r w:rsidRPr="00FA63BD">
        <w:rPr>
          <w:b/>
          <w:i/>
          <w:iCs/>
          <w:szCs w:val="20"/>
        </w:rPr>
        <w:t>2014</w:t>
      </w:r>
      <w:r>
        <w:rPr>
          <w:b/>
          <w:i/>
          <w:iCs/>
          <w:szCs w:val="20"/>
        </w:rPr>
        <w:t>-</w:t>
      </w:r>
      <w:r w:rsidRPr="00FA63BD">
        <w:rPr>
          <w:b/>
          <w:i/>
          <w:iCs/>
          <w:szCs w:val="20"/>
        </w:rPr>
        <w:t>2020</w:t>
      </w:r>
      <w:r>
        <w:rPr>
          <w:rFonts w:eastAsia="Times New Roman" w:cs="Arial"/>
          <w:b/>
          <w:i/>
          <w:iCs/>
          <w:szCs w:val="20"/>
          <w:vertAlign w:val="superscript"/>
          <w:lang w:eastAsia="de-DE"/>
        </w:rPr>
        <w:footnoteReference w:id="2"/>
      </w:r>
      <w:r>
        <w:rPr>
          <w:b/>
          <w:i/>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Pr>
          <w:b/>
          <w:szCs w:val="20"/>
        </w:rPr>
        <w:t>Îndeplinirea acestui obiectiv transversal face obiectul evaluării inovării</w:t>
      </w:r>
      <w:r>
        <w:rPr>
          <w:rFonts w:eastAsia="Times New Roman" w:cs="Arial"/>
          <w:bCs/>
          <w:iCs/>
          <w:color w:val="000000"/>
          <w:szCs w:val="20"/>
          <w:vertAlign w:val="superscript"/>
          <w:lang w:eastAsia="de-DE"/>
        </w:rPr>
        <w:footnoteReference w:id="3"/>
      </w:r>
      <w:r>
        <w:t>. În acest context, contribuțiile inovațiilor sprijinite de Fondul European Agricol pentru Dezvoltare Rurală (FEADR) în scopul îndeplinirii obiectivelor politicii de dezvoltare rurală și ale politicii UE sunt evaluate pentru a se răspunde la întrebările de evaluare comune legate de inovare.</w:t>
      </w:r>
    </w:p>
    <w:p w:rsidR="00A45935" w:rsidRPr="00E05D08" w:rsidRDefault="00A45935" w:rsidP="00E05D08">
      <w:pPr>
        <w:spacing w:after="120" w:line="280" w:lineRule="atLeast"/>
        <w:mirrorIndents/>
        <w:rPr>
          <w:rFonts w:eastAsia="Times New Roman" w:cs="Times New Roman"/>
          <w:szCs w:val="20"/>
        </w:rPr>
      </w:pPr>
      <w:r>
        <w:t>Există mai multe motive pentru care inovarea ar trebui evaluată:</w:t>
      </w:r>
    </w:p>
    <w:p w:rsidR="00A45935" w:rsidRPr="00B05B45" w:rsidRDefault="00A45935" w:rsidP="00D77B96">
      <w:pPr>
        <w:pStyle w:val="Hlistbullet"/>
      </w:pPr>
      <w:r>
        <w:rPr>
          <w:b/>
        </w:rPr>
        <w:t>Pentru a se asigura asumarea răspunderii în privința intervențiilor din domeniul dezvoltării rurale</w:t>
      </w:r>
      <w:r>
        <w:t xml:space="preserve"> și pentru a se demonstra modul în care acestea au promovat inovarea în zonele rurale și au contribuit la rezultatele și impacturile programelor asupra politicii rurale și la îndeplinirea obiectivelor strategiei UE </w:t>
      </w:r>
      <w:r w:rsidRPr="00FA63BD">
        <w:t>2020</w:t>
      </w:r>
      <w:r>
        <w:t xml:space="preserve">. </w:t>
      </w:r>
    </w:p>
    <w:p w:rsidR="00A45935" w:rsidRPr="00B05B45" w:rsidRDefault="00A45935" w:rsidP="00D77B96">
      <w:pPr>
        <w:pStyle w:val="Hlistbullet"/>
      </w:pPr>
      <w:r>
        <w:rPr>
          <w:b/>
        </w:rPr>
        <w:t>Pentru o mai bună orientare a sprijinului FEADR către inovare</w:t>
      </w:r>
      <w:r>
        <w:t xml:space="preserve">, prin selectarea celor mai relevanți beneficiari și a celor mai relevante teritorii ale programului, precum și a celor mai potrivite și eligibile acțiuni. </w:t>
      </w:r>
    </w:p>
    <w:p w:rsidR="00A45935" w:rsidRPr="00B05B45" w:rsidRDefault="00A45935" w:rsidP="00D77B96">
      <w:pPr>
        <w:pStyle w:val="Hlistbullet"/>
      </w:pPr>
      <w:r>
        <w:rPr>
          <w:b/>
        </w:rPr>
        <w:t xml:space="preserve">Pentru a se îmbunătăți învățarea în comun în rândul părților interesate </w:t>
      </w:r>
      <w:r>
        <w:t xml:space="preserve">cu privire la cele mai bune modalități de a sprijini și de a pune în aplicare proiectele inovatoare, prin învățarea din experiențele trecute și prin înțelegerea condițiilor pentru succes. </w:t>
      </w:r>
    </w:p>
    <w:p w:rsidR="00A45935" w:rsidRPr="00E05D08"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702272" behindDoc="0" locked="0" layoutInCell="1" allowOverlap="1" wp14:anchorId="0FCBA4DE" wp14:editId="128091AC">
                <wp:simplePos x="0" y="0"/>
                <wp:positionH relativeFrom="column">
                  <wp:posOffset>3114675</wp:posOffset>
                </wp:positionH>
                <wp:positionV relativeFrom="paragraph">
                  <wp:posOffset>188595</wp:posOffset>
                </wp:positionV>
                <wp:extent cx="2649855" cy="3114675"/>
                <wp:effectExtent l="0" t="0" r="17145" b="28575"/>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114675"/>
                        </a:xfrm>
                        <a:prstGeom prst="round2DiagRect">
                          <a:avLst>
                            <a:gd name="adj1" fmla="val 8733"/>
                            <a:gd name="adj2" fmla="val 0"/>
                          </a:avLst>
                        </a:prstGeom>
                        <a:noFill/>
                        <a:ln w="25400" cap="flat" cmpd="sng" algn="ctr">
                          <a:solidFill>
                            <a:srgbClr val="BE4A35"/>
                          </a:solidFill>
                          <a:prstDash val="solid"/>
                        </a:ln>
                        <a:effectLst/>
                      </wps:spPr>
                      <wps:txbx>
                        <w:txbxContent>
                          <w:p w:rsidR="008A60B4" w:rsidRPr="00D74B10" w:rsidRDefault="008A60B4" w:rsidP="00E05D08">
                            <w:pPr>
                              <w:pStyle w:val="HBox"/>
                            </w:pPr>
                            <w:r>
                              <w:rPr>
                                <w:noProof/>
                                <w:lang w:val="en-GB" w:eastAsia="en-GB"/>
                              </w:rPr>
                              <w:drawing>
                                <wp:inline distT="0" distB="0" distL="0" distR="0" wp14:anchorId="494558F8" wp14:editId="0472F558">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Obiectivul principal al documentului este de a completa alte ghiduri și de a oferi sfaturi părților interesate de evaluarea PDR-urilor cu privire la modul de desfășurare a activităților de evaluare, pentru a </w:t>
                            </w:r>
                            <w:r>
                              <w:rPr>
                                <w:b/>
                              </w:rPr>
                              <w:t xml:space="preserve">răspunde la întrebările de evaluare comune legate de inovare. </w:t>
                            </w:r>
                            <w:r>
                              <w:t>Întrucât se poate preconiza că efectele PDR-urilor asupra inovării în zonele rurale se vor manifesta, cel mai probabil,</w:t>
                            </w:r>
                            <w:r>
                              <w:rPr>
                                <w:b/>
                              </w:rPr>
                              <w:t xml:space="preserve"> pe termen lung, </w:t>
                            </w:r>
                            <w:r>
                              <w:t xml:space="preserve">ghidul se concentrează în special asupra activităților legate de evaluare care vor fi raportate în raportul anual de punere în aplicare prezentat în 2019 și în evaluarea </w:t>
                            </w:r>
                            <w:r>
                              <w:rPr>
                                <w:i/>
                              </w:rPr>
                              <w:t>ex post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BA4DE" id="Rectangle: Diagonal Corners Rounded 90" o:spid="_x0000_s1029" style="position:absolute;left:0;text-align:left;margin-left:245.25pt;margin-top:14.85pt;width:208.65pt;height:24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114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" adj="-11796480,,5400" path="m231412,l2649855,r,l2649855,2883263v,127805,-103607,231412,-231412,231412l,3114675r,l,231412c,103607,103607,,231412,xe" filled="f" strokecolor="#be4a35" strokeweight="2pt">
                <v:stroke joinstyle="miter"/>
                <v:formulas/>
                <v:path arrowok="t" o:connecttype="custom" o:connectlocs="231412,0;2649855,0;2649855,0;2649855,2883263;2418443,3114675;0,3114675;0,3114675;0,231412;231412,0" o:connectangles="0,0,0,0,0,0,0,0,0" textboxrect="0,0,2649855,3114675"/>
                <v:textbox>
                  <w:txbxContent>
                    <w:p w:rsidR="008A60B4" w:rsidRPr="00D74B10" w:rsidRDefault="008A60B4" w:rsidP="00E05D08">
                      <w:pPr>
                        <w:pStyle w:val="HBox"/>
                      </w:pPr>
                      <w:r>
                        <w:rPr>
                          <w:noProof/>
                          <w:lang w:val="en-GB" w:eastAsia="en-GB"/>
                        </w:rPr>
                        <w:drawing>
                          <wp:inline distT="0" distB="0" distL="0" distR="0" wp14:anchorId="494558F8" wp14:editId="0472F558">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Obiectivul principal al documentului este de a completa alte ghiduri și de a oferi sfaturi părților interesate de evaluarea PDR-urilor cu privire la modul de desfășurare a activităților de evaluare, pentru a </w:t>
                      </w:r>
                      <w:r>
                        <w:rPr>
                          <w:b/>
                        </w:rPr>
                        <w:t xml:space="preserve">răspunde la întrebările de evaluare comune legate de inovare. </w:t>
                      </w:r>
                      <w:r>
                        <w:t>Întrucât se poate preconiza că efectele PDR-urilor asupra inovării în zonele rurale se vor manifesta, cel mai probabil,</w:t>
                      </w:r>
                      <w:r>
                        <w:rPr>
                          <w:b/>
                        </w:rPr>
                        <w:t xml:space="preserve"> pe termen lung, </w:t>
                      </w:r>
                      <w:r>
                        <w:t xml:space="preserve">ghidul se concentrează în special asupra activităților legate de evaluare care vor fi raportate în raportul anual de punere în aplicare prezentat în 2019 și în evaluarea </w:t>
                      </w:r>
                      <w:r>
                        <w:rPr>
                          <w:i/>
                        </w:rPr>
                        <w:t>ex post</w:t>
                      </w:r>
                      <w:r>
                        <w:t>.</w:t>
                      </w:r>
                    </w:p>
                  </w:txbxContent>
                </v:textbox>
                <w10:wrap type="square"/>
              </v:shape>
            </w:pict>
          </mc:Fallback>
        </mc:AlternateContent>
      </w:r>
      <w:r>
        <w:rPr>
          <w:b/>
          <w:color w:val="57825E"/>
          <w:szCs w:val="20"/>
        </w:rPr>
        <w:t>De ce este necesar acest ghid?</w:t>
      </w:r>
    </w:p>
    <w:p w:rsidR="00A45935" w:rsidRPr="00E05D08" w:rsidRDefault="00A45935" w:rsidP="00E05D08">
      <w:pPr>
        <w:spacing w:after="120" w:line="280" w:lineRule="atLeast"/>
        <w:mirrorIndents/>
        <w:rPr>
          <w:rFonts w:eastAsia="Times New Roman" w:cs="Times New Roman"/>
          <w:szCs w:val="20"/>
        </w:rPr>
      </w:pPr>
      <w:r>
        <w:rPr>
          <w:b/>
          <w:szCs w:val="20"/>
        </w:rPr>
        <w:t>Evaluarea inovării a dobândit importanță</w:t>
      </w:r>
      <w:r>
        <w:t xml:space="preserve"> în perioada de programare </w:t>
      </w:r>
      <w:r w:rsidRPr="00FA63BD">
        <w:t>2014</w:t>
      </w:r>
      <w:r>
        <w:t>-</w:t>
      </w:r>
      <w:r w:rsidRPr="00FA63BD">
        <w:t>2020</w:t>
      </w:r>
      <w:r>
        <w:t xml:space="preserve"> datorită rolului proeminent pe care a ajuns să îl ocupe acest subiect în cadrul agendei politice generale. Programele de dezvoltare rurală pot sprijini procesele de inovare, pot genera diverse rezultate tangibile și intangibile în aria vizată de program și în sistemul de inovare în ansamblu. </w:t>
      </w:r>
    </w:p>
    <w:p w:rsidR="00A45935" w:rsidRPr="00E05D08" w:rsidRDefault="00A45935" w:rsidP="00E05D08">
      <w:pPr>
        <w:spacing w:after="120" w:line="280" w:lineRule="atLeast"/>
        <w:mirrorIndents/>
        <w:rPr>
          <w:rFonts w:eastAsia="Times New Roman" w:cs="Times New Roman"/>
          <w:szCs w:val="20"/>
        </w:rPr>
      </w:pPr>
      <w:r>
        <w:rPr>
          <w:b/>
          <w:szCs w:val="20"/>
        </w:rPr>
        <w:t xml:space="preserve">Surprinderea acestor efecte prezintă mai multe provocări metodologice </w:t>
      </w:r>
      <w:r>
        <w:t>pentru evaluare:</w:t>
      </w:r>
      <w:r>
        <w:rPr>
          <w:b/>
          <w:szCs w:val="20"/>
        </w:rPr>
        <w:t xml:space="preserve"> </w:t>
      </w:r>
      <w:r>
        <w:t>Cum se identifică subiectul evaluării? Care dintre efectele care contribuie la procesul de inovare în zonele rurale pot fi atribuite PDR? Cum pot fi evaluate contribuțiile inovărilor generate de sprijinul FEADR la rezultatele și efectele mai ample ale PDR? Cum pot fi măsurate realizările obiectivelor politicii regionale/naționale/UE?</w:t>
      </w:r>
    </w:p>
    <w:p w:rsidR="00055039" w:rsidRDefault="00A45935" w:rsidP="00A6785E">
      <w:r>
        <w:lastRenderedPageBreak/>
        <w:t xml:space="preserve">Cel de al patrulea grup de lucru tematic al Serviciului de asistență pentru evaluare, </w:t>
      </w:r>
      <w:r>
        <w:rPr>
          <w:b/>
        </w:rPr>
        <w:t xml:space="preserve">„Evaluarea inovării în programele de dezvoltare rurală pentru perioada </w:t>
      </w:r>
      <w:r w:rsidRPr="00FA63BD">
        <w:rPr>
          <w:b/>
        </w:rPr>
        <w:t>2014</w:t>
      </w:r>
      <w:r>
        <w:rPr>
          <w:b/>
        </w:rPr>
        <w:t>-</w:t>
      </w:r>
      <w:r w:rsidRPr="00FA63BD">
        <w:rPr>
          <w:b/>
        </w:rPr>
        <w:t>2020</w:t>
      </w:r>
      <w:r>
        <w:rPr>
          <w:b/>
        </w:rPr>
        <w:t>”</w:t>
      </w:r>
      <w:r>
        <w:t>, a urmărit: (</w:t>
      </w:r>
      <w:r w:rsidRPr="00FA63BD">
        <w:t>1</w:t>
      </w:r>
      <w:r>
        <w:t>) examinarea și abordarea principalelor provocări legate de evaluarea inovării; (</w:t>
      </w:r>
      <w:r w:rsidRPr="00FA63BD">
        <w:t>2</w:t>
      </w:r>
      <w:r>
        <w:t>) trecerea în revistă a experiențelor de evaluare existente în domeniu; (</w:t>
      </w:r>
      <w:r w:rsidRPr="00FA63BD">
        <w:t>3</w:t>
      </w:r>
      <w:r>
        <w:t>) identificarea și elaborarea de soluții practice pentru evaluarea inovării în interiorul PDR; (</w:t>
      </w:r>
      <w:r w:rsidRPr="00FA63BD">
        <w:t>4</w:t>
      </w:r>
      <w:r>
        <w:t xml:space="preserve">) elaborarea </w:t>
      </w:r>
      <w:r>
        <w:rPr>
          <w:b/>
        </w:rPr>
        <w:t xml:space="preserve">de ghiduri fără caracter obligatoriu, pentru a răspunde la întrebările de evaluare comune legate de inovare, </w:t>
      </w:r>
      <w:r>
        <w:t xml:space="preserve">în completarea orientărilor existente și a sistemului comun de monitorizare și evaluare (SCME).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Care sunt grupurile-țintă ale prezentului ghid?</w:t>
      </w:r>
    </w:p>
    <w:p w:rsidR="00A45935" w:rsidRPr="00E05D08" w:rsidRDefault="00A45935" w:rsidP="00E05D08">
      <w:pPr>
        <w:spacing w:after="120" w:line="280" w:lineRule="atLeast"/>
        <w:mirrorIndents/>
        <w:rPr>
          <w:rFonts w:eastAsia="Times New Roman" w:cs="Times New Roman"/>
          <w:szCs w:val="20"/>
        </w:rPr>
      </w:pPr>
      <w:r>
        <w:t xml:space="preserve">Prezentul ghid, </w:t>
      </w:r>
      <w:r>
        <w:rPr>
          <w:i/>
          <w:szCs w:val="20"/>
        </w:rPr>
        <w:t xml:space="preserve">Evaluarea inovării în programele de dezvoltare rurală pentru perioada </w:t>
      </w:r>
      <w:r w:rsidRPr="00FA63BD">
        <w:rPr>
          <w:i/>
          <w:szCs w:val="20"/>
        </w:rPr>
        <w:t>2014</w:t>
      </w:r>
      <w:r>
        <w:rPr>
          <w:i/>
          <w:szCs w:val="20"/>
        </w:rPr>
        <w:t>-</w:t>
      </w:r>
      <w:r w:rsidRPr="00FA63BD">
        <w:rPr>
          <w:i/>
          <w:szCs w:val="20"/>
        </w:rPr>
        <w:t>2020</w:t>
      </w:r>
      <w:r>
        <w:t>, este elaborat pentru diferite grupuri de părți interesate din domeniul dezvoltării rurale:</w:t>
      </w:r>
    </w:p>
    <w:p w:rsidR="00A45935" w:rsidRPr="00E16522" w:rsidRDefault="00A45935" w:rsidP="00D77B96">
      <w:r>
        <w:rPr>
          <w:b/>
          <w:bCs/>
        </w:rPr>
        <w:t>Autoritățile de management</w:t>
      </w:r>
      <w:r>
        <w:t xml:space="preserve"> vor identifica informații despre evaluarea inovării la nivelul PDR: conceptul, cadrul de politici și accentul pe întrebările de evaluare legate de inovare. Sunt furnizate îndrumări practice care prezintă modul de pregătire, de gestionare și de coordonare a evaluării și modul de evaluare a contribuțiilor inovațiilor la obiectivele PDR. </w:t>
      </w:r>
    </w:p>
    <w:p w:rsidR="00A45935" w:rsidRPr="00C37C7A" w:rsidRDefault="00A45935" w:rsidP="00C37C7A">
      <w:r>
        <w:rPr>
          <w:b/>
          <w:bCs/>
        </w:rPr>
        <w:t>Experții în materie de evaluare</w:t>
      </w:r>
      <w:r>
        <w:t xml:space="preserve"> vor găsi soluții pentru diverse provocări legate de evaluarea inovării (de exemplu, modul de analizare a potențialului de inovare al PDR atunci când se definește logica de intervenție a inovării în cadrul PDR, modul de analizare a contribuțiilor inovărilor la realizările obiectivelor PDR, precum și rezultatele și impacturile PDR). Evaluatorii vor găsi, de asemenea, sprijin cu privire la modul de selectare a celei mai bune abordări de evaluare și la colectarea de dovezi pentru a răspunde la întrebările de evaluare. </w:t>
      </w:r>
    </w:p>
    <w:p w:rsidR="00A45935" w:rsidRPr="00E16522" w:rsidRDefault="00A45935" w:rsidP="00AA5817">
      <w:pPr>
        <w:pStyle w:val="HStandard"/>
      </w:pPr>
      <w:r>
        <w:rPr>
          <w:b/>
          <w:bCs/>
        </w:rPr>
        <w:t>Alte părți interesate</w:t>
      </w:r>
      <w:r>
        <w:t xml:space="preserve"> pot utiliza, de asemenea, ghidul ca document de referință: </w:t>
      </w:r>
      <w:r>
        <w:rPr>
          <w:b/>
          <w:bCs/>
        </w:rPr>
        <w:t>funcționari ai Comisiei Europene</w:t>
      </w:r>
      <w:r>
        <w:t xml:space="preserve"> (pentru întrebările referitoare la evaluarea inovării); </w:t>
      </w:r>
      <w:r>
        <w:rPr>
          <w:b/>
          <w:bCs/>
        </w:rPr>
        <w:t>grupurile operaționale ale Parteneriatului european pentru inovare (PEI)</w:t>
      </w:r>
      <w:r>
        <w:t xml:space="preserve"> (ca informații generale pentru conceperea proiectelor și înțelegerea potențialului lor de inovare); </w:t>
      </w:r>
      <w:r>
        <w:rPr>
          <w:b/>
          <w:bCs/>
        </w:rPr>
        <w:t>membrii grupurilor de acțiune locală (GAL-uri)</w:t>
      </w:r>
      <w:r>
        <w:t xml:space="preserve"> [atunci când evaluează/auto-evaluează caracteristicile inovatoare ale strategiilor lor de dezvoltare locală plasată sub responsabilitatea comunității (DLRC) și efectele lor asupra inovării în zonele rurale]; </w:t>
      </w:r>
      <w:r>
        <w:rPr>
          <w:b/>
        </w:rPr>
        <w:t>rețelele naționale de dezvoltare rurală (RNDR)</w:t>
      </w:r>
      <w:r>
        <w:t xml:space="preserve">, pentru pregătirea și sprijinirea GAL-urilor și a grupurilor operaționale ale PEI.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Cum este structurat ghidul?</w:t>
      </w:r>
    </w:p>
    <w:p w:rsidR="00A45935" w:rsidRPr="00E05D08" w:rsidRDefault="00A45935" w:rsidP="00E05D08">
      <w:pPr>
        <w:spacing w:after="120" w:line="280" w:lineRule="atLeast"/>
        <w:mirrorIndents/>
        <w:rPr>
          <w:rFonts w:eastAsia="Times New Roman" w:cs="Times New Roman"/>
          <w:szCs w:val="20"/>
        </w:rPr>
      </w:pPr>
      <w:r>
        <w:t xml:space="preserve">Ghidul este alcătuit din trei părți: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Capitolul </w:t>
      </w:r>
      <w:r w:rsidRPr="00FA63BD">
        <w:rPr>
          <w:b/>
          <w:color w:val="F07E31"/>
          <w:szCs w:val="20"/>
        </w:rPr>
        <w:t>1</w:t>
      </w:r>
      <w:r>
        <w:rPr>
          <w:b/>
          <w:color w:val="F07E31"/>
          <w:szCs w:val="20"/>
        </w:rPr>
        <w:t xml:space="preserve"> </w:t>
      </w:r>
      <w:r>
        <w:t xml:space="preserve">explică sistemul de inovare în zonele rurale și conceptul de evaluare a inovării în dezvoltarea rurală. Conceptul introduce cadrul de politică al UE și cel al PDR și modul în care acestea se corelează între ele, precum și prezentarea de ansamblu a elementelor de evaluare comune. Capitolul </w:t>
      </w:r>
      <w:r w:rsidRPr="00FA63BD">
        <w:t>1</w:t>
      </w:r>
      <w:r>
        <w:t>.</w:t>
      </w:r>
      <w:r w:rsidRPr="00FA63BD">
        <w:t>3</w:t>
      </w:r>
      <w:r>
        <w:t xml:space="preserve"> abordează, de asemenea, provocările legate de evaluarea inovării în politica de dezvoltare rurală.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Capitolul </w:t>
      </w:r>
      <w:r w:rsidRPr="00FA63BD">
        <w:rPr>
          <w:b/>
          <w:color w:val="F07E31"/>
          <w:szCs w:val="20"/>
        </w:rPr>
        <w:t>2</w:t>
      </w:r>
      <w:r>
        <w:rPr>
          <w:color w:val="F07E31"/>
          <w:szCs w:val="20"/>
        </w:rPr>
        <w:t xml:space="preserve"> </w:t>
      </w:r>
      <w:r>
        <w:t xml:space="preserve">informează autoritățile de management cu privire la particularitățile legate de gestionarea evaluării inovării și cerințele de raportare. Capitolul </w:t>
      </w:r>
      <w:r w:rsidRPr="00FA63BD">
        <w:t>2</w:t>
      </w:r>
      <w:r>
        <w:t>.</w:t>
      </w:r>
      <w:r w:rsidRPr="00FA63BD">
        <w:t>2</w:t>
      </w:r>
      <w:r>
        <w:t xml:space="preserve"> explică abordările prin care se poate răspunde la întrebările de evaluare legate de inovare și oferă îndrumări specifice pentru fiecare dintre întrebările de evaluare comune: numerele </w:t>
      </w:r>
      <w:r w:rsidRPr="00FA63BD">
        <w:t>1</w:t>
      </w:r>
      <w:r>
        <w:t xml:space="preserve">, </w:t>
      </w:r>
      <w:r w:rsidRPr="00FA63BD">
        <w:t>2</w:t>
      </w:r>
      <w:r>
        <w:t xml:space="preserve">, </w:t>
      </w:r>
      <w:r w:rsidRPr="00FA63BD">
        <w:t>21</w:t>
      </w:r>
      <w:r>
        <w:t xml:space="preserve">, </w:t>
      </w:r>
      <w:r w:rsidRPr="00FA63BD">
        <w:t>23</w:t>
      </w:r>
      <w:r>
        <w:t xml:space="preserve"> și </w:t>
      </w:r>
      <w:r w:rsidRPr="00FA63BD">
        <w:t>30</w:t>
      </w:r>
      <w:r>
        <w:t xml:space="preserve"> privind aspectele legate de inovare. Acest capitol include descrierea metodelor adecvate pentru evaluarea inovării.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Capitolul </w:t>
      </w:r>
      <w:r w:rsidRPr="00FA63BD">
        <w:rPr>
          <w:b/>
          <w:color w:val="F07E31"/>
          <w:szCs w:val="20"/>
        </w:rPr>
        <w:t>3</w:t>
      </w:r>
      <w:r>
        <w:rPr>
          <w:b/>
          <w:color w:val="F07E31"/>
          <w:szCs w:val="20"/>
        </w:rPr>
        <w:t xml:space="preserve"> </w:t>
      </w:r>
      <w:r>
        <w:t xml:space="preserve">(anexe) include glosarul și etapele identificării potențialului de inovare al PDR.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rsidR="00A45935" w:rsidRPr="00967CFD" w:rsidRDefault="00A45935" w:rsidP="00582F60">
      <w:pPr>
        <w:pStyle w:val="HHeading1"/>
        <w:tabs>
          <w:tab w:val="clear" w:pos="567"/>
        </w:tabs>
      </w:pPr>
      <w:bookmarkStart w:id="6" w:name="_Toc508889170"/>
      <w:r>
        <w:lastRenderedPageBreak/>
        <w:t>CADRU CONCEPTUAL</w:t>
      </w:r>
      <w:bookmarkEnd w:id="5"/>
      <w:bookmarkEnd w:id="6"/>
    </w:p>
    <w:p w:rsidR="00A45935" w:rsidRPr="00967CFD" w:rsidRDefault="00405B0B" w:rsidP="00C37C7A">
      <w:pPr>
        <w:pStyle w:val="HHeading2"/>
      </w:pPr>
      <w:bookmarkStart w:id="7" w:name="Innovation_RD"/>
      <w:bookmarkStart w:id="8" w:name="_Toc501382121"/>
      <w:bookmarkStart w:id="9" w:name="_Toc508889171"/>
      <w:bookmarkStart w:id="10" w:name="_Toc493151895"/>
      <w:bookmarkEnd w:id="7"/>
      <w:r>
        <w:rPr>
          <w:noProof/>
          <w:lang w:val="en-GB" w:eastAsia="en-GB"/>
        </w:rPr>
        <mc:AlternateContent>
          <mc:Choice Requires="wps">
            <w:drawing>
              <wp:anchor distT="0" distB="0" distL="114300" distR="114300" simplePos="0" relativeHeight="251703296" behindDoc="0" locked="0" layoutInCell="1" allowOverlap="1" wp14:anchorId="516F2D90" wp14:editId="3133CC06">
                <wp:simplePos x="0" y="0"/>
                <wp:positionH relativeFrom="column">
                  <wp:posOffset>3034030</wp:posOffset>
                </wp:positionH>
                <wp:positionV relativeFrom="paragraph">
                  <wp:posOffset>246380</wp:posOffset>
                </wp:positionV>
                <wp:extent cx="2642235" cy="3104515"/>
                <wp:effectExtent l="0" t="0" r="24765" b="1968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3104515"/>
                        </a:xfrm>
                        <a:prstGeom prst="round2DiagRect">
                          <a:avLst>
                            <a:gd name="adj1" fmla="val 6695"/>
                            <a:gd name="adj2" fmla="val 0"/>
                          </a:avLst>
                        </a:prstGeom>
                        <a:noFill/>
                        <a:ln w="25400" cap="flat" cmpd="sng" algn="ctr">
                          <a:solidFill>
                            <a:srgbClr val="BE4A35"/>
                          </a:solidFill>
                          <a:prstDash val="solid"/>
                        </a:ln>
                        <a:effectLst/>
                      </wps:spPr>
                      <wps:txbx>
                        <w:txbxContent>
                          <w:p w:rsidR="008A60B4" w:rsidRDefault="008A60B4" w:rsidP="00E05D08">
                            <w:pPr>
                              <w:pStyle w:val="HStandard"/>
                            </w:pPr>
                            <w:r>
                              <w:rPr>
                                <w:noProof/>
                                <w:lang w:val="en-GB" w:eastAsia="en-GB"/>
                              </w:rPr>
                              <w:drawing>
                                <wp:inline distT="0" distB="0" distL="0" distR="0" wp14:anchorId="7D993B64" wp14:editId="7A8855A6">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„Inovarea este deseori descrisă ca fiind </w:t>
                            </w:r>
                            <w:r>
                              <w:rPr>
                                <w:b/>
                                <w:bCs/>
                                <w:color w:val="BE4A35"/>
                                <w:sz w:val="18"/>
                              </w:rPr>
                              <w:t>o idee nouă, care se dovedește a fi de succes în practică.</w:t>
                            </w:r>
                            <w:r>
                              <w:rPr>
                                <w:sz w:val="18"/>
                              </w:rPr>
                              <w:t xml:space="preserve"> Inovarea poate fi tehnologică, dar și non-tehnologică, organizațională sau socială. Inovarea se poate baza pe practici noi, dar și tradiționale, într-un context geografic sau de mediu nou. Noua idee poate fi un produs nou, o practică nouă, un serviciu nou, un nou proces de producție sau o nouă modalitate de organizare a lucrurilor etc. O astfel de idee nouă se transformă în inovare numai dacă este adoptată pe scară largă și își dovedește utilitatea în practică.”</w:t>
                            </w:r>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F2D90" id="Rectangle: Diagonal Corners Rounded 32" o:spid="_x0000_s1030" style="position:absolute;left:0;text-align:left;margin-left:238.9pt;margin-top:19.4pt;width:208.05pt;height:24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3104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" adj="-11796480,,5400" path="m176898,l2642235,r,l2642235,2927617v,97698,-79200,176898,-176898,176898l,3104515r,l,176898c,79200,79200,,176898,xe" filled="f" strokecolor="#be4a35" strokeweight="2pt">
                <v:stroke joinstyle="miter"/>
                <v:formulas/>
                <v:path arrowok="t" o:connecttype="custom" o:connectlocs="176898,0;2642235,0;2642235,0;2642235,2927617;2465337,3104515;0,3104515;0,3104515;0,176898;176898,0" o:connectangles="0,0,0,0,0,0,0,0,0" textboxrect="0,0,2642235,3104515"/>
                <v:textbox>
                  <w:txbxContent>
                    <w:p w:rsidR="008A60B4" w:rsidRDefault="008A60B4" w:rsidP="00E05D08">
                      <w:pPr>
                        <w:pStyle w:val="HStandard"/>
                      </w:pPr>
                      <w:r>
                        <w:rPr>
                          <w:noProof/>
                          <w:lang w:val="en-GB" w:eastAsia="en-GB"/>
                        </w:rPr>
                        <w:drawing>
                          <wp:inline distT="0" distB="0" distL="0" distR="0" wp14:anchorId="7D993B64" wp14:editId="7A8855A6">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„Inovarea este deseori descrisă ca fiind </w:t>
                      </w:r>
                      <w:r>
                        <w:rPr>
                          <w:b/>
                          <w:bCs/>
                          <w:color w:val="BE4A35"/>
                          <w:sz w:val="18"/>
                        </w:rPr>
                        <w:t>o idee nouă, care se dovedește a fi de succes în practică.</w:t>
                      </w:r>
                      <w:r>
                        <w:rPr>
                          <w:sz w:val="18"/>
                        </w:rPr>
                        <w:t xml:space="preserve"> Inovarea poate fi tehnologică, dar și non-tehnologică, organizațională sau socială. Inovarea se poate baza pe practici noi, dar și tradiționale, într-un context geografic sau de mediu nou. Noua idee poate fi un produs nou, o practică nouă, un serviciu nou, un nou proces de producție sau o nouă modalitate de organizare a lucrurilor etc. O astfel de idee nouă se transformă în inovare numai dacă este adoptată pe scară largă și își dovedește utilitatea în practică.”</w:t>
                      </w:r>
                      <w:r>
                        <w:rPr>
                          <w:sz w:val="18"/>
                          <w:vertAlign w:val="superscript"/>
                        </w:rPr>
                        <w:t>4</w:t>
                      </w:r>
                      <w:r>
                        <w:rPr>
                          <w:sz w:val="18"/>
                        </w:rPr>
                        <w:t xml:space="preserve">. </w:t>
                      </w:r>
                    </w:p>
                  </w:txbxContent>
                </v:textbox>
                <w10:wrap type="square"/>
              </v:shape>
            </w:pict>
          </mc:Fallback>
        </mc:AlternateContent>
      </w:r>
      <w:r>
        <w:t>Inovare și dezvoltare rurală</w:t>
      </w:r>
      <w:bookmarkEnd w:id="8"/>
      <w:bookmarkEnd w:id="9"/>
      <w:r>
        <w:t xml:space="preserve"> </w:t>
      </w:r>
      <w:bookmarkEnd w:id="10"/>
    </w:p>
    <w:p w:rsidR="00A45935" w:rsidRPr="00E05D08" w:rsidRDefault="00A45935" w:rsidP="00230C31">
      <w:pPr>
        <w:pStyle w:val="HHeading4"/>
      </w:pPr>
      <w:r>
        <w:t>Cum putem înțelege inovarea?</w:t>
      </w:r>
    </w:p>
    <w:p w:rsidR="00A45935" w:rsidRPr="00E05D08" w:rsidRDefault="00A45935" w:rsidP="00E05D08">
      <w:pPr>
        <w:spacing w:after="120" w:line="280" w:lineRule="atLeast"/>
        <w:mirrorIndents/>
        <w:rPr>
          <w:rFonts w:eastAsia="Times New Roman" w:cs="Times New Roman"/>
          <w:szCs w:val="20"/>
        </w:rPr>
      </w:pPr>
      <w:r>
        <w:rPr>
          <w:b/>
          <w:bCs/>
        </w:rPr>
        <w:t>În contextul dezvoltării rurale a UE</w:t>
      </w:r>
      <w:r>
        <w:t>, s-a adoptat o înțelegere în sens destul de larg a inovării</w:t>
      </w:r>
      <w:r>
        <w:rPr>
          <w:rStyle w:val="FootnoteReference"/>
          <w:rFonts w:eastAsia="Times New Roman" w:cs="Times New Roman"/>
          <w:color w:val="FFFFFF" w:themeColor="background1"/>
          <w:szCs w:val="20"/>
          <w:lang w:eastAsia="de-DE"/>
        </w:rPr>
        <w:footnoteReference w:id="4"/>
      </w:r>
      <w:r>
        <w:t>: astfel cum este descrisă,</w:t>
      </w:r>
      <w:bookmarkStart w:id="11" w:name="_Hlk501370282"/>
      <w:r>
        <w:t xml:space="preserve"> </w:t>
      </w:r>
      <w:r>
        <w:rPr>
          <w:b/>
          <w:bCs/>
        </w:rPr>
        <w:t>înțelegerea în sens larg a inovării</w:t>
      </w:r>
      <w:r>
        <w:t xml:space="preserve"> face ca inovarea să fie adaptabilă la diferite situații socioeconomice și de mediu din întreaga UE. Această înțelegere se referă la arhitectura PDR și la capacitatea sa de a se încadra în contextul existent și de a asigura noi soluții pentru provocările și nevoile din mediul rural. Astfel de soluții nu sunt neapărat radicale și majore, dar pot implica schimbări mai mici care, uneori, pregătesc terenul pentru lucruri mai mari. </w:t>
      </w:r>
    </w:p>
    <w:p w:rsidR="00A45935" w:rsidRPr="00E05D08" w:rsidRDefault="00A45935" w:rsidP="00230C31">
      <w:pPr>
        <w:pStyle w:val="HHeading4"/>
      </w:pPr>
      <w:r>
        <w:t>Cum contribuie intervențiile PDR la inovare?</w:t>
      </w:r>
    </w:p>
    <w:p w:rsidR="00A45935" w:rsidRPr="00E05D08" w:rsidRDefault="00A45935" w:rsidP="00E05D08">
      <w:pPr>
        <w:spacing w:after="120" w:line="280" w:lineRule="atLeast"/>
        <w:mirrorIndents/>
        <w:rPr>
          <w:rFonts w:eastAsia="Times New Roman" w:cs="Times New Roman"/>
          <w:szCs w:val="20"/>
        </w:rPr>
      </w:pPr>
      <w:r>
        <w:rPr>
          <w:b/>
          <w:bCs/>
        </w:rPr>
        <w:t>Politica de dezvoltare rurală este concepută să încurajeze inovarea</w:t>
      </w:r>
      <w:r>
        <w:t xml:space="preserve"> (tehnologică, instituțională și socială), ca factor ce permite îndeplinirea obiectivelor și priorităților de dezvoltare rurală și abordarea provocărilor din mediul rural. Măsurile/submăsurile din PDR și beneficiarii (de exemplu, grupurile operaționale PEI, GAL-urile, fermierii etc.) generează realizări, rezultate și impacturi care contribuie la îndeplinirea obiectivelor PDR, influențând și fiind influențate de sistemul de inovare din care face parte acesta. </w:t>
      </w:r>
    </w:p>
    <w:p w:rsidR="00A45935" w:rsidRPr="00E05D08" w:rsidRDefault="00674A4B" w:rsidP="00E05D08">
      <w:pPr>
        <w:spacing w:after="120" w:line="280" w:lineRule="atLeast"/>
        <w:mirrorIndents/>
        <w:rPr>
          <w:rFonts w:eastAsia="Times New Roman" w:cs="Times New Roman"/>
          <w:szCs w:val="20"/>
        </w:rPr>
      </w:pPr>
      <w:r>
        <w:rPr>
          <w:noProof/>
          <w:szCs w:val="20"/>
          <w:lang w:val="en-GB" w:eastAsia="en-GB"/>
        </w:rPr>
        <mc:AlternateContent>
          <mc:Choice Requires="wps">
            <w:drawing>
              <wp:anchor distT="0" distB="0" distL="114300" distR="114300" simplePos="0" relativeHeight="251751424" behindDoc="0" locked="0" layoutInCell="1" allowOverlap="1" wp14:anchorId="2B26CC6F" wp14:editId="0A7D9864">
                <wp:simplePos x="0" y="0"/>
                <wp:positionH relativeFrom="column">
                  <wp:posOffset>-80645</wp:posOffset>
                </wp:positionH>
                <wp:positionV relativeFrom="paragraph">
                  <wp:posOffset>1184910</wp:posOffset>
                </wp:positionV>
                <wp:extent cx="5811520" cy="2252980"/>
                <wp:effectExtent l="0" t="0" r="17780" b="13970"/>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252980"/>
                        </a:xfrm>
                        <a:prstGeom prst="round2DiagRect">
                          <a:avLst>
                            <a:gd name="adj1" fmla="val 7093"/>
                            <a:gd name="adj2" fmla="val 0"/>
                          </a:avLst>
                        </a:prstGeom>
                        <a:noFill/>
                        <a:ln w="25400" cap="flat" cmpd="sng" algn="ctr">
                          <a:solidFill>
                            <a:srgbClr val="BE4A35"/>
                          </a:solidFill>
                          <a:prstDash val="solid"/>
                        </a:ln>
                        <a:effectLst/>
                      </wps:spPr>
                      <wps:txbx>
                        <w:txbxContent>
                          <w:p w:rsidR="008A60B4" w:rsidRPr="00270814" w:rsidRDefault="008A60B4" w:rsidP="00674A4B">
                            <w:pPr>
                              <w:pStyle w:val="HBox"/>
                            </w:pPr>
                            <w:r>
                              <w:rPr>
                                <w:noProof/>
                                <w:lang w:val="en-GB" w:eastAsia="en-GB"/>
                              </w:rPr>
                              <w:drawing>
                                <wp:inline distT="0" distB="0" distL="0" distR="0" wp14:anchorId="6414E313" wp14:editId="105838E1">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În afară de politica de dezvoltare rurală,</w:t>
                            </w:r>
                            <w:r>
                              <w:rPr>
                                <w:b/>
                                <w:color w:val="BE4A35"/>
                              </w:rPr>
                              <w:t xml:space="preserve"> sistemul de inovare poate fi influențat de mulți alți factori</w:t>
                            </w:r>
                            <w:r>
                              <w:t xml:space="preserve"> prezenți în zonele rurale, cum ar fi cercetarea, educația, politicile fiscale și alte programe finanțate din fondurile UE (Orizont 2020, programe operaționale finanțate din fondurile ESI) care sprijină acțiunile și procesele inovatoare. Cererea pieței pentru inovări poate avea, de asemenea, un rol definitoriu.</w:t>
                            </w:r>
                          </w:p>
                          <w:p w:rsidR="008A60B4" w:rsidRPr="00D74B10" w:rsidRDefault="008A60B4" w:rsidP="00674A4B">
                            <w:pPr>
                              <w:pStyle w:val="HBox"/>
                            </w:pPr>
                            <w:r>
                              <w:t>Pentru ca o inovație sa devină generalizată, nu depinde numai de puterea unei idei creative ci, de asemenea, de posibilitățile de pe piață, de dorința sectorului de a o adopta, de eficacitatea din punctul de vedere al costurilor, de cunoștințe si percepții, de factorii externi accidentali etc. Este imposibil să se anticipeze modul în care interacționează acești factori pentru a transforma o idee nouă într-o inovație. Prin urmare, se poate determina numai ulterior dacă o nouă idee a condus la o inovare reală.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CC6F" id="Rectangle: Diagonal Corners Rounded 53" o:spid="_x0000_s1031" style="position:absolute;left:0;text-align:left;margin-left:-6.35pt;margin-top:93.3pt;width:457.6pt;height:17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252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" adj="-11796480,,5400" path="m159804,l5811520,r,l5811520,2093176v,88257,-71547,159804,-159804,159804l,2252980r,l,159804c,71547,71547,,159804,xe" filled="f" strokecolor="#be4a35" strokeweight="2pt">
                <v:stroke joinstyle="miter"/>
                <v:formulas/>
                <v:path arrowok="t" o:connecttype="custom" o:connectlocs="159804,0;5811520,0;5811520,0;5811520,2093176;5651716,2252980;0,2252980;0,2252980;0,159804;159804,0" o:connectangles="0,0,0,0,0,0,0,0,0" textboxrect="0,0,5811520,2252980"/>
                <v:textbox>
                  <w:txbxContent>
                    <w:p w:rsidR="008A60B4" w:rsidRPr="00270814" w:rsidRDefault="008A60B4" w:rsidP="00674A4B">
                      <w:pPr>
                        <w:pStyle w:val="HBox"/>
                      </w:pPr>
                      <w:r>
                        <w:rPr>
                          <w:noProof/>
                          <w:lang w:val="en-GB" w:eastAsia="en-GB"/>
                        </w:rPr>
                        <w:drawing>
                          <wp:inline distT="0" distB="0" distL="0" distR="0" wp14:anchorId="6414E313" wp14:editId="105838E1">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În afară de politica de dezvoltare rurală,</w:t>
                      </w:r>
                      <w:r>
                        <w:rPr>
                          <w:b/>
                          <w:color w:val="BE4A35"/>
                        </w:rPr>
                        <w:t xml:space="preserve"> sistemul de inovare poate fi influențat de mulți alți factori</w:t>
                      </w:r>
                      <w:r>
                        <w:t xml:space="preserve"> prezenți în zonele rurale, cum ar fi cercetarea, educația, politicile fiscale și alte programe finanțate din fondurile UE (Orizont 2020, programe operaționale finanțate din fondurile ESI) care sprijină acțiunile și procesele inovatoare. Cererea pieței pentru inovări poate avea, de asemenea, un rol definitoriu.</w:t>
                      </w:r>
                    </w:p>
                    <w:p w:rsidR="008A60B4" w:rsidRPr="00D74B10" w:rsidRDefault="008A60B4" w:rsidP="00674A4B">
                      <w:pPr>
                        <w:pStyle w:val="HBox"/>
                      </w:pPr>
                      <w:r>
                        <w:t>Pentru ca o inovație sa devină generalizată, nu depinde numai de puterea unei idei creative ci, de asemenea, de posibilitățile de pe piață, de dorința sectorului de a o adopta, de eficacitatea din punctul de vedere al costurilor, de cunoștințe si percepții, de factorii externi accidentali etc. Este imposibil să se anticipeze modul în care interacționează acești factori pentru a transforma o idee nouă într-o inovație. Prin urmare, se poate determina numai ulterior dacă o nouă idee a condus la o inovare reală.</w:t>
                      </w:r>
                    </w:p>
                  </w:txbxContent>
                </v:textbox>
                <w10:wrap type="square"/>
              </v:shape>
            </w:pict>
          </mc:Fallback>
        </mc:AlternateContent>
      </w:r>
      <w:r>
        <w:rPr>
          <w:b/>
          <w:bCs/>
        </w:rPr>
        <w:t>Sistemul de inovare</w:t>
      </w:r>
      <w:r>
        <w:t xml:space="preserve"> la nivel local, regional, național sau supranațional implică un grup destul de eterogen de actori din domeniul inovării, inclusiv antreprenori din zonele rurale (de exemplu, fermieri, silvicultori), industria factorilor de producție și industria turismului, prelucrători, comercianți, autorități de reglementare, cercetători, servicii de consiliere, guvernul și organizații ale societății civile. Învățarea experimentală interactivă între acești actori joacă un rol esențial în sistemul de inovare, întrucât aceștia </w:t>
      </w:r>
      <w:r>
        <w:lastRenderedPageBreak/>
        <w:t xml:space="preserve">pun în practică idei noi (noi pentru sistem). Fluxul de tehnologie și informații între actori este esențial pentru procesul de inovare din cadrul sistemului de inovare. </w:t>
      </w:r>
    </w:p>
    <w:p w:rsidR="00A45935" w:rsidRPr="00E05D08" w:rsidRDefault="00A45935" w:rsidP="00E05D08">
      <w:pPr>
        <w:spacing w:after="120" w:line="280" w:lineRule="atLeast"/>
        <w:mirrorIndents/>
        <w:rPr>
          <w:rFonts w:eastAsia="Times New Roman" w:cs="Times New Roman"/>
          <w:szCs w:val="20"/>
        </w:rPr>
      </w:pPr>
      <w:r>
        <w:rPr>
          <w:b/>
          <w:bCs/>
        </w:rPr>
        <w:t>Procesul de inovare prezintă trei modalități</w:t>
      </w:r>
      <w:r>
        <w:t xml:space="preserve">: </w:t>
      </w:r>
    </w:p>
    <w:p w:rsidR="00A45935" w:rsidRPr="00987055" w:rsidRDefault="00A45935" w:rsidP="008C0B17">
      <w:pPr>
        <w:numPr>
          <w:ilvl w:val="0"/>
          <w:numId w:val="66"/>
        </w:numPr>
        <w:mirrorIndents/>
        <w:rPr>
          <w:szCs w:val="20"/>
        </w:rPr>
      </w:pPr>
      <w:r>
        <w:rPr>
          <w:b/>
          <w:color w:val="F07E31"/>
          <w:szCs w:val="20"/>
        </w:rPr>
        <w:t>Prima modalitate:</w:t>
      </w:r>
      <w:r>
        <w:t xml:space="preserve"> implică reținerea și dezvoltarea de idei noi (și anume, noi opinii, abordări, produse, practici, servicii, procese/tehnologii de producție, noi modalități de organizare sau noi forme de cooperare și de învățare); </w:t>
      </w:r>
    </w:p>
    <w:p w:rsidR="00A45935" w:rsidRDefault="00A45935" w:rsidP="008C0B17">
      <w:pPr>
        <w:numPr>
          <w:ilvl w:val="0"/>
          <w:numId w:val="66"/>
        </w:numPr>
        <w:mirrorIndents/>
        <w:rPr>
          <w:szCs w:val="20"/>
        </w:rPr>
      </w:pPr>
      <w:r>
        <w:rPr>
          <w:b/>
          <w:color w:val="F07E31"/>
          <w:szCs w:val="20"/>
        </w:rPr>
        <w:t>A doua modalitate:</w:t>
      </w:r>
      <w:r>
        <w:rPr>
          <w:b/>
          <w:szCs w:val="20"/>
        </w:rPr>
        <w:t xml:space="preserve"> </w:t>
      </w:r>
      <w:r>
        <w:t xml:space="preserve">se referă la capacitatea indivizilor și a sistemului de cunoaștere și inovare însuși de a experimenta, de a se auto-organiza și de a utiliza noile idei și abordări; </w:t>
      </w:r>
    </w:p>
    <w:p w:rsidR="00A45935" w:rsidRPr="00987055" w:rsidRDefault="00A45935" w:rsidP="008C0B17">
      <w:pPr>
        <w:numPr>
          <w:ilvl w:val="0"/>
          <w:numId w:val="66"/>
        </w:numPr>
        <w:mirrorIndents/>
        <w:rPr>
          <w:szCs w:val="20"/>
        </w:rPr>
      </w:pPr>
      <w:r>
        <w:rPr>
          <w:b/>
          <w:color w:val="F07E31"/>
          <w:szCs w:val="20"/>
        </w:rPr>
        <w:t>A treia modalitate:</w:t>
      </w:r>
      <w:r>
        <w:t xml:space="preserve"> necesită crearea mediului instituțional și de politică necesar pentru procesele inovatoare emergente. </w:t>
      </w:r>
      <w:bookmarkStart w:id="12" w:name="_Toc476660915"/>
      <w:bookmarkStart w:id="13" w:name="_Toc476661047"/>
    </w:p>
    <w:p w:rsidR="00A45935" w:rsidRPr="0095292E" w:rsidRDefault="0083742E" w:rsidP="0095292E">
      <w:pPr>
        <w:mirrorIndents/>
        <w:rPr>
          <w:szCs w:val="20"/>
        </w:rPr>
      </w:pPr>
      <w:r>
        <w:rPr>
          <w:noProof/>
          <w:lang w:val="en-GB" w:eastAsia="en-GB"/>
        </w:rPr>
        <w:drawing>
          <wp:anchor distT="0" distB="0" distL="114300" distR="114300" simplePos="0" relativeHeight="251759616" behindDoc="0" locked="0" layoutInCell="1" allowOverlap="1" wp14:anchorId="23AAC9F0" wp14:editId="6A11B881">
            <wp:simplePos x="0" y="0"/>
            <wp:positionH relativeFrom="column">
              <wp:posOffset>224790</wp:posOffset>
            </wp:positionH>
            <wp:positionV relativeFrom="paragraph">
              <wp:posOffset>700405</wp:posOffset>
            </wp:positionV>
            <wp:extent cx="5325745" cy="3238500"/>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25745" cy="3238500"/>
                    </a:xfrm>
                    <a:prstGeom prst="rect">
                      <a:avLst/>
                    </a:prstGeom>
                  </pic:spPr>
                </pic:pic>
              </a:graphicData>
            </a:graphic>
            <wp14:sizeRelH relativeFrom="margin">
              <wp14:pctWidth>0</wp14:pctWidth>
            </wp14:sizeRelH>
            <wp14:sizeRelV relativeFrom="margin">
              <wp14:pctHeight>0</wp14:pctHeight>
            </wp14:sizeRelV>
          </wp:anchor>
        </w:drawing>
      </w:r>
      <w:r w:rsidR="00A45935">
        <w:t xml:space="preserve">Cele trei modalități nu ar trebui considerate ca fiind cazuri izolate, ci mai degrabă ca puncte de acces spre inovare, suprapuse și interconectate reciproc (figura </w:t>
      </w:r>
      <w:r w:rsidR="00A45935" w:rsidRPr="00FA63BD">
        <w:t>1</w:t>
      </w:r>
      <w:r w:rsidR="00A45935">
        <w:t>).</w:t>
      </w:r>
    </w:p>
    <w:p w:rsidR="00A45935" w:rsidRPr="00447906" w:rsidRDefault="00674A4B" w:rsidP="00230C31">
      <w:pPr>
        <w:pStyle w:val="HHeadingfigures"/>
      </w:pPr>
      <w:bookmarkStart w:id="14" w:name="Pathways"/>
      <w:bookmarkStart w:id="15" w:name="_Toc508889198"/>
      <w:bookmarkEnd w:id="14"/>
      <w:r>
        <w:t>O imagine simplificată a modului în care PDR-urile favorizează inovarea</w:t>
      </w:r>
      <w:bookmarkEnd w:id="15"/>
      <w:r>
        <w:t xml:space="preserve"> </w:t>
      </w:r>
      <w:bookmarkEnd w:id="12"/>
      <w:bookmarkEnd w:id="13"/>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 xml:space="preserve">Sursă: Serviciul european de asistență pentru evaluare în domeniul dezvoltării rurale, </w:t>
      </w:r>
      <w:r w:rsidRPr="00FA63BD">
        <w:rPr>
          <w:i/>
          <w:sz w:val="16"/>
          <w:szCs w:val="20"/>
        </w:rPr>
        <w:t>2017</w:t>
      </w:r>
    </w:p>
    <w:p w:rsidR="000E1D4B" w:rsidRDefault="00A45935" w:rsidP="00E05D08">
      <w:pPr>
        <w:spacing w:after="120" w:line="280" w:lineRule="atLeast"/>
        <w:mirrorIndents/>
        <w:rPr>
          <w:rFonts w:eastAsia="Times New Roman" w:cs="Times New Roman"/>
          <w:szCs w:val="20"/>
        </w:rPr>
      </w:pPr>
      <w:r>
        <w:t xml:space="preserve">Măsurile/submăsurile din cadrul PDR și combinarea acestora pot contribui la o modalitate, la două modalități sau la toate cele trei modalități în măsuri diferite, în funcție de abordarea specifică a PDR în ceea ce privește sprijinirea inovării (a se vedea </w:t>
      </w:r>
      <w:hyperlink w:anchor="Policy_framework" w:history="1">
        <w:r>
          <w:rPr>
            <w:rStyle w:val="Hyperlink"/>
            <w:sz w:val="20"/>
            <w:szCs w:val="20"/>
          </w:rPr>
          <w:t xml:space="preserve">secțiunea </w:t>
        </w:r>
        <w:r w:rsidRPr="00FA63BD">
          <w:rPr>
            <w:rStyle w:val="Hyperlink"/>
            <w:sz w:val="20"/>
            <w:szCs w:val="20"/>
          </w:rPr>
          <w:t>1</w:t>
        </w:r>
        <w:r>
          <w:rPr>
            <w:rStyle w:val="Hyperlink"/>
            <w:sz w:val="20"/>
            <w:szCs w:val="20"/>
          </w:rPr>
          <w:t>.</w:t>
        </w:r>
        <w:r w:rsidRPr="00FA63BD">
          <w:rPr>
            <w:rStyle w:val="Hyperlink"/>
            <w:sz w:val="20"/>
            <w:szCs w:val="20"/>
          </w:rPr>
          <w:t>2</w:t>
        </w:r>
        <w:r>
          <w:rPr>
            <w:rStyle w:val="Hyperlink"/>
            <w:sz w:val="20"/>
            <w:szCs w:val="20"/>
          </w:rPr>
          <w:t>.</w:t>
        </w:r>
        <w:r w:rsidRPr="00FA63BD">
          <w:rPr>
            <w:rStyle w:val="Hyperlink"/>
            <w:sz w:val="20"/>
            <w:szCs w:val="20"/>
          </w:rPr>
          <w:t>1</w:t>
        </w:r>
      </w:hyperlink>
      <w:r>
        <w:t xml:space="preserve">). </w:t>
      </w:r>
      <w:bookmarkStart w:id="16"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705344" behindDoc="0" locked="0" layoutInCell="1" allowOverlap="1" wp14:anchorId="1604F508" wp14:editId="5738F52B">
                <wp:simplePos x="0" y="0"/>
                <wp:positionH relativeFrom="column">
                  <wp:posOffset>-60960</wp:posOffset>
                </wp:positionH>
                <wp:positionV relativeFrom="paragraph">
                  <wp:posOffset>0</wp:posOffset>
                </wp:positionV>
                <wp:extent cx="2832735" cy="4899660"/>
                <wp:effectExtent l="0" t="0" r="24765" b="1524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899660"/>
                        </a:xfrm>
                        <a:prstGeom prst="round2DiagRect">
                          <a:avLst>
                            <a:gd name="adj1" fmla="val 6641"/>
                            <a:gd name="adj2" fmla="val 0"/>
                          </a:avLst>
                        </a:prstGeom>
                        <a:noFill/>
                        <a:ln w="25400" cap="flat" cmpd="sng" algn="ctr">
                          <a:solidFill>
                            <a:srgbClr val="F07E31"/>
                          </a:solidFill>
                          <a:prstDash val="solid"/>
                        </a:ln>
                        <a:effectLst/>
                      </wps:spPr>
                      <wps:txbx>
                        <w:txbxContent>
                          <w:p w:rsidR="008A60B4" w:rsidRPr="00E05D08" w:rsidRDefault="008A60B4" w:rsidP="00E05D08">
                            <w:pPr>
                              <w:pStyle w:val="Normal12PTcouleurgris"/>
                              <w:rPr>
                                <w:b/>
                                <w:color w:val="F07E31"/>
                              </w:rPr>
                            </w:pPr>
                            <w:r>
                              <w:rPr>
                                <w:noProof/>
                                <w:lang w:val="en-GB" w:eastAsia="en-GB"/>
                              </w:rPr>
                              <w:drawing>
                                <wp:inline distT="0" distB="0" distL="0" distR="0" wp14:anchorId="1C71FAE0" wp14:editId="5BB21859">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Exemple de posibil sprijin acordat în cadrul PDR pentru prima modalitate</w:t>
                            </w:r>
                          </w:p>
                          <w:p w:rsidR="008A60B4" w:rsidRPr="00230C31" w:rsidRDefault="008A60B4" w:rsidP="00230C31">
                            <w:pPr>
                              <w:pStyle w:val="Hlistbullet"/>
                              <w:rPr>
                                <w:sz w:val="18"/>
                                <w:szCs w:val="18"/>
                              </w:rPr>
                            </w:pPr>
                            <w:r>
                              <w:rPr>
                                <w:sz w:val="18"/>
                                <w:szCs w:val="18"/>
                              </w:rPr>
                              <w:t xml:space="preserve">dezvoltarea, testarea și promovarea unui echipament pentru a controla prin procedee mecanice infestările cu buruieni pe terenurile agricole [de exemplu, operațiunile efectuate în temeiul articolelor 17 și 35 din Regulamentul (UE) nr. 1305/2013]; </w:t>
                            </w:r>
                          </w:p>
                          <w:p w:rsidR="008A60B4" w:rsidRPr="00230C31" w:rsidRDefault="008A60B4" w:rsidP="00230C31">
                            <w:pPr>
                              <w:pStyle w:val="Hlistbullet"/>
                              <w:rPr>
                                <w:sz w:val="18"/>
                                <w:szCs w:val="18"/>
                              </w:rPr>
                            </w:pPr>
                            <w:r>
                              <w:rPr>
                                <w:sz w:val="18"/>
                                <w:szCs w:val="18"/>
                              </w:rPr>
                              <w:t xml:space="preserve">testarea și furnizarea de noi tipuri de servicii în zonele rurale [de exemplu, operațiunile efectuate în temeiul articolelor 20 și 35 din Regulamentul (UE) nr. 1305/2013]; </w:t>
                            </w:r>
                          </w:p>
                          <w:p w:rsidR="008A60B4" w:rsidRPr="00230C31" w:rsidRDefault="008A60B4" w:rsidP="00230C31">
                            <w:pPr>
                              <w:pStyle w:val="Hlistbullet"/>
                              <w:rPr>
                                <w:sz w:val="18"/>
                                <w:szCs w:val="18"/>
                              </w:rPr>
                            </w:pPr>
                            <w:r>
                              <w:rPr>
                                <w:sz w:val="18"/>
                                <w:szCs w:val="18"/>
                              </w:rPr>
                              <w:t>introducerea unui nou mod de organizare a reuniunilor, a conferințelor și a cursurilor de formare (de exemplu, prin utilizarea unor noi tehnici de facilitare, conferințe de tip masă rotundă) [de exemplu, operațiunile efectuate în temeiul articolului 14 din Regulamentul (UE)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04F508" id="Rectangle: Diagonal Corners Rounded 55" o:spid="_x0000_s1032" style="position:absolute;left:0;text-align:left;margin-left:-4.8pt;margin-top:0;width:223.05pt;height:385.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899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" adj="-11796480,,5400" path="m188122,l2832735,r,l2832735,4711538v,103897,-84225,188122,-188122,188122l,4899660r,l,188122c,84225,84225,,188122,xe" filled="f" strokecolor="#f07e31" strokeweight="2pt">
                <v:stroke joinstyle="miter"/>
                <v:formulas/>
                <v:path arrowok="t" o:connecttype="custom" o:connectlocs="188122,0;2832735,0;2832735,0;2832735,4711538;2644613,4899660;0,4899660;0,4899660;0,188122;188122,0" o:connectangles="0,0,0,0,0,0,0,0,0" textboxrect="0,0,2832735,4899660"/>
                <v:textbox>
                  <w:txbxContent>
                    <w:p w:rsidR="008A60B4" w:rsidRPr="00E05D08" w:rsidRDefault="008A60B4" w:rsidP="00E05D08">
                      <w:pPr>
                        <w:pStyle w:val="Normal12PTcouleurgris"/>
                        <w:rPr>
                          <w:b/>
                          <w:color w:val="F07E31"/>
                        </w:rPr>
                      </w:pPr>
                      <w:r>
                        <w:rPr>
                          <w:noProof/>
                          <w:lang w:val="en-GB" w:eastAsia="en-GB"/>
                        </w:rPr>
                        <w:drawing>
                          <wp:inline distT="0" distB="0" distL="0" distR="0" wp14:anchorId="1C71FAE0" wp14:editId="5BB21859">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Exemple de posibil sprijin acordat în cadrul PDR pentru prima modalitate</w:t>
                      </w:r>
                    </w:p>
                    <w:p w:rsidR="008A60B4" w:rsidRPr="00230C31" w:rsidRDefault="008A60B4" w:rsidP="00230C31">
                      <w:pPr>
                        <w:pStyle w:val="Hlistbullet"/>
                        <w:rPr>
                          <w:sz w:val="18"/>
                          <w:szCs w:val="18"/>
                        </w:rPr>
                      </w:pPr>
                      <w:r>
                        <w:rPr>
                          <w:sz w:val="18"/>
                          <w:szCs w:val="18"/>
                        </w:rPr>
                        <w:t xml:space="preserve">dezvoltarea, testarea și promovarea unui echipament pentru a controla prin procedee mecanice infestările cu buruieni pe terenurile agricole [de exemplu, operațiunile efectuate în temeiul articolelor 17 și 35 din Regulamentul (UE) nr. 1305/2013]; </w:t>
                      </w:r>
                    </w:p>
                    <w:p w:rsidR="008A60B4" w:rsidRPr="00230C31" w:rsidRDefault="008A60B4" w:rsidP="00230C31">
                      <w:pPr>
                        <w:pStyle w:val="Hlistbullet"/>
                        <w:rPr>
                          <w:sz w:val="18"/>
                          <w:szCs w:val="18"/>
                        </w:rPr>
                      </w:pPr>
                      <w:r>
                        <w:rPr>
                          <w:sz w:val="18"/>
                          <w:szCs w:val="18"/>
                        </w:rPr>
                        <w:t xml:space="preserve">testarea și furnizarea de noi tipuri de servicii în zonele rurale [de exemplu, operațiunile efectuate în temeiul articolelor 20 și 35 din Regulamentul (UE) nr. 1305/2013]; </w:t>
                      </w:r>
                    </w:p>
                    <w:p w:rsidR="008A60B4" w:rsidRPr="00230C31" w:rsidRDefault="008A60B4" w:rsidP="00230C31">
                      <w:pPr>
                        <w:pStyle w:val="Hlistbullet"/>
                        <w:rPr>
                          <w:sz w:val="18"/>
                          <w:szCs w:val="18"/>
                        </w:rPr>
                      </w:pPr>
                      <w:r>
                        <w:rPr>
                          <w:sz w:val="18"/>
                          <w:szCs w:val="18"/>
                        </w:rPr>
                        <w:t>introducerea unui nou mod de organizare a reuniunilor, a conferințelor și a cursurilor de formare (de exemplu, prin utilizarea unor noi tehnici de facilitare, conferințe de tip masă rotundă) [de exemplu, operațiunile efectuate în temeiul articolului 14 din Regulamentul (UE) nr. 1305/2013].</w:t>
                      </w:r>
                    </w:p>
                  </w:txbxContent>
                </v:textbox>
                <w10:wrap type="square"/>
              </v:shape>
            </w:pict>
          </mc:Fallback>
        </mc:AlternateContent>
      </w:r>
      <w:r>
        <w:rPr>
          <w:b/>
          <w:color w:val="F07E31"/>
          <w:szCs w:val="20"/>
        </w:rPr>
        <w:t>Prima modalitate</w:t>
      </w:r>
      <w:r>
        <w:t xml:space="preserve"> poate fi descrisă ca fiind capacitate de a identifica și a dezvolta idei promițătoare care pot conduce la inovații de orice tip (tehnologice, non-tehnologice, sociale, organizaționale etc.). O astfel de idee nouă ia amploare pentru a deveni o inovație reală, care răspunde în mod ideal unei nevoi specifice sau oferă o oportunitate care poate fi valorificată de mai mulți. Cele două moduri principale de a dezvolta idei pentru a construi procesele de inovare sunt: (</w:t>
      </w:r>
      <w:r w:rsidRPr="00FA63BD">
        <w:t>1</w:t>
      </w:r>
      <w:r>
        <w:t>) o abordare individuală (găsirea unei persoane care are o idee și acordarea de sprijin pentru cultivarea ideii respective); (</w:t>
      </w:r>
      <w:r w:rsidRPr="00FA63BD">
        <w:t>2</w:t>
      </w:r>
      <w:r>
        <w:t xml:space="preserve">) prin intermediul diferitor părți interesate care lucrează în grupuri pentru a descoperi noi idei care ar trebui stimulate (întrunirea celor mai buni parteneri pentru a forma un grup care combină competențele complementare necesare pentru a construi un proiect de inovare). </w:t>
      </w:r>
    </w:p>
    <w:bookmarkEnd w:id="16"/>
    <w:p w:rsidR="000E1D4B" w:rsidRDefault="00A45935" w:rsidP="00E05D08">
      <w:pPr>
        <w:spacing w:after="120" w:line="280" w:lineRule="atLeast"/>
        <w:mirrorIndents/>
        <w:rPr>
          <w:rFonts w:eastAsia="Times New Roman" w:cs="Times New Roman"/>
          <w:szCs w:val="20"/>
        </w:rPr>
      </w:pPr>
      <w:r>
        <w:t xml:space="preserve">Pentru a fi inovatoare, ideea, sau cel puțin unele aspecte ale acesteia, trebuie să fie noi pentru mediul sau locul în cauză și să ofere o anumită promisiune plauzibilă de a fi utilă (și anume, să sprijine una sau mai multe părți interesate să facă ceva în alt mod, mai bine sau mai ieftin, să răspundă unei nevoi sau să dezvolte o oportunitate). </w:t>
      </w:r>
    </w:p>
    <w:p w:rsidR="000E1D4B" w:rsidRDefault="000E1D4B">
      <w:pPr>
        <w:rPr>
          <w:rFonts w:eastAsia="Times New Roman" w:cs="Times New Roman"/>
          <w:szCs w:val="20"/>
        </w:rPr>
      </w:pPr>
      <w:r>
        <w:br w:type="page"/>
      </w:r>
    </w:p>
    <w:p w:rsidR="00A45935" w:rsidRPr="00E05D08" w:rsidRDefault="001D2103"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730944" behindDoc="0" locked="0" layoutInCell="1" allowOverlap="1" wp14:anchorId="3F22547A" wp14:editId="230FAEB4">
                <wp:simplePos x="0" y="0"/>
                <wp:positionH relativeFrom="column">
                  <wp:posOffset>-172085</wp:posOffset>
                </wp:positionH>
                <wp:positionV relativeFrom="paragraph">
                  <wp:posOffset>2509688</wp:posOffset>
                </wp:positionV>
                <wp:extent cx="6089650" cy="3441940"/>
                <wp:effectExtent l="0" t="0" r="25400" b="25400"/>
                <wp:wrapNone/>
                <wp:docPr id="57" name="Rectangle: Diagonal Corners Rounded 57"/>
                <wp:cNvGraphicFramePr/>
                <a:graphic xmlns:a="http://schemas.openxmlformats.org/drawingml/2006/main">
                  <a:graphicData uri="http://schemas.microsoft.com/office/word/2010/wordprocessingShape">
                    <wps:wsp>
                      <wps:cNvSpPr/>
                      <wps:spPr>
                        <a:xfrm>
                          <a:off x="0" y="0"/>
                          <a:ext cx="6089650" cy="3441940"/>
                        </a:xfrm>
                        <a:prstGeom prst="round2DiagRect">
                          <a:avLst>
                            <a:gd name="adj1" fmla="val 6633"/>
                            <a:gd name="adj2" fmla="val 0"/>
                          </a:avLst>
                        </a:prstGeom>
                        <a:noFill/>
                        <a:ln w="25400" cap="flat" cmpd="sng" algn="ctr">
                          <a:solidFill>
                            <a:srgbClr val="F07E31"/>
                          </a:solidFill>
                          <a:prstDash val="solid"/>
                        </a:ln>
                        <a:effectLst/>
                      </wps:spPr>
                      <wps:txbx>
                        <w:txbxContent>
                          <w:p w:rsidR="008A60B4" w:rsidRPr="002F0ABF" w:rsidRDefault="008A60B4" w:rsidP="00E05D08">
                            <w:pPr>
                              <w:pStyle w:val="Normal12PTcouleurgris"/>
                              <w:rPr>
                                <w:b/>
                                <w:color w:val="F07E31"/>
                                <w:sz w:val="16"/>
                                <w:szCs w:val="16"/>
                              </w:rPr>
                            </w:pPr>
                            <w:r>
                              <w:rPr>
                                <w:noProof/>
                                <w:lang w:val="en-GB" w:eastAsia="en-GB"/>
                              </w:rPr>
                              <w:drawing>
                                <wp:inline distT="0" distB="0" distL="0" distR="0" wp14:anchorId="1B5F077C" wp14:editId="27AEE6A2">
                                  <wp:extent cx="353060" cy="359410"/>
                                  <wp:effectExtent l="0" t="0" r="8890" b="2540"/>
                                  <wp:docPr id="1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szCs w:val="16"/>
                              </w:rPr>
                              <w:t>Exemple de sprijin posibil acordat în cadrul PDR pentru a doua modalitate</w:t>
                            </w:r>
                          </w:p>
                          <w:p w:rsidR="008A60B4" w:rsidRPr="002F0ABF" w:rsidRDefault="008A60B4" w:rsidP="00E05D08">
                            <w:pPr>
                              <w:pStyle w:val="Normal12PTcouleurgris"/>
                              <w:rPr>
                                <w:sz w:val="16"/>
                                <w:szCs w:val="16"/>
                              </w:rPr>
                            </w:pPr>
                            <w:r>
                              <w:rPr>
                                <w:sz w:val="16"/>
                                <w:szCs w:val="16"/>
                              </w:rPr>
                              <w:t>Următoarele competențe și calități esențiale ale actorilor din domeniul inovării</w:t>
                            </w:r>
                            <w:r>
                              <w:rPr>
                                <w:sz w:val="16"/>
                                <w:szCs w:val="16"/>
                                <w:vertAlign w:val="superscript"/>
                              </w:rPr>
                              <w:t>9</w:t>
                            </w:r>
                            <w:r>
                              <w:rPr>
                                <w:sz w:val="16"/>
                                <w:szCs w:val="16"/>
                              </w:rPr>
                              <w:t xml:space="preserve"> pot fi sprijinite de PDR și influențează operațiunile legate de „capacitatea de inovare”: </w:t>
                            </w:r>
                          </w:p>
                          <w:p w:rsidR="008A60B4" w:rsidRPr="002F0ABF" w:rsidRDefault="008A60B4" w:rsidP="00E05D08">
                            <w:pPr>
                              <w:pStyle w:val="Hlistbullet"/>
                              <w:rPr>
                                <w:sz w:val="16"/>
                                <w:szCs w:val="16"/>
                              </w:rPr>
                            </w:pPr>
                            <w:r>
                              <w:rPr>
                                <w:sz w:val="16"/>
                                <w:szCs w:val="16"/>
                              </w:rPr>
                              <w:t>cunoștințele și competențele tehnice și specifice domeniului necesare pentru punerea în practică a unor idei noi, inclusiv capacitatea de a identifica opțiunile și de a alege între ele [de exemplu, operațiunile efectuate în temeiul articolelor 14, 15 și 35 din Regulamentul (UE) nr. 1305/2013];</w:t>
                            </w:r>
                          </w:p>
                          <w:p w:rsidR="008A60B4" w:rsidRPr="002F0ABF" w:rsidRDefault="008A60B4" w:rsidP="00E05D08">
                            <w:pPr>
                              <w:pStyle w:val="Hlistbullet"/>
                              <w:rPr>
                                <w:sz w:val="16"/>
                                <w:szCs w:val="16"/>
                              </w:rPr>
                            </w:pPr>
                            <w:r>
                              <w:rPr>
                                <w:sz w:val="16"/>
                                <w:szCs w:val="16"/>
                              </w:rPr>
                              <w:t>competențele organizaționale și non-tehnice necesare pentru facilitarea și intermedierea</w:t>
                            </w:r>
                            <w:r>
                              <w:rPr>
                                <w:sz w:val="16"/>
                                <w:szCs w:val="16"/>
                                <w:vertAlign w:val="superscript"/>
                              </w:rPr>
                              <w:t>10</w:t>
                            </w:r>
                            <w:r>
                              <w:rPr>
                                <w:sz w:val="16"/>
                                <w:szCs w:val="16"/>
                              </w:rPr>
                              <w:t xml:space="preserve"> proceselor de inovare, inclusiv capacitatea de a crea legături și rețele între părțile interesate, capacitatea de a trece prin cicluri repetate de dezvoltare de viziuni, de planificare și de învățare prin reflecție și capacitatea de a identifica principalele dinamici și provocări ale sistemului [de exemplu, operațiuni efectuate în temeiul articolului 35 din Regulamentul (UE) nr. 1305/2013];</w:t>
                            </w:r>
                          </w:p>
                          <w:p w:rsidR="008A60B4" w:rsidRPr="002F0ABF" w:rsidRDefault="008A60B4" w:rsidP="00E05D08">
                            <w:pPr>
                              <w:pStyle w:val="Hlistbullet"/>
                              <w:rPr>
                                <w:sz w:val="16"/>
                                <w:szCs w:val="16"/>
                              </w:rPr>
                            </w:pPr>
                            <w:r>
                              <w:rPr>
                                <w:sz w:val="16"/>
                                <w:szCs w:val="16"/>
                              </w:rPr>
                              <w:t>capacitatea sporită pentru acțiuni colective eficiente</w:t>
                            </w:r>
                            <w:r>
                              <w:rPr>
                                <w:sz w:val="16"/>
                                <w:szCs w:val="16"/>
                                <w:vertAlign w:val="superscript"/>
                              </w:rPr>
                              <w:t>11</w:t>
                            </w:r>
                            <w:r>
                              <w:rPr>
                                <w:sz w:val="16"/>
                                <w:szCs w:val="16"/>
                              </w:rPr>
                              <w:t xml:space="preserve"> (de exemplu, organizarea activităților demonstrative și de informare într-un mod colaborativ, cu scopul de a transfera experiențe și cunoștințe între actori sau pentru cooperarea dintre actorii din lanțul de aprovizionare pentru furnizarea de biomasă pentru producția de alimente și energie etc.), operațiuni efectuate în temeiul articolelor 14, 15 și 35 din Regulamentul (UE) nr. 1305/2013;</w:t>
                            </w:r>
                          </w:p>
                          <w:p w:rsidR="008A60B4" w:rsidRPr="002F0ABF" w:rsidRDefault="008A60B4" w:rsidP="00E05D08">
                            <w:pPr>
                              <w:pStyle w:val="Hlistbullet"/>
                              <w:rPr>
                                <w:sz w:val="16"/>
                                <w:szCs w:val="16"/>
                              </w:rPr>
                            </w:pPr>
                            <w:r>
                              <w:rPr>
                                <w:sz w:val="16"/>
                                <w:szCs w:val="16"/>
                              </w:rPr>
                              <w:t>intervențiile PDR pot consolida capacitatea de a inova, oferind oportunități de transfer de cunoștințe (de exemplu, servicii, formare și îndrumare), operațiuni efectuate în temeiul articolului 15 din Regulamentul (UE) nr.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2547A" id="Rectangle: Diagonal Corners Rounded 57" o:spid="_x0000_s1033" style="position:absolute;left:0;text-align:left;margin-left:-13.55pt;margin-top:197.6pt;width:479.5pt;height:2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3441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" adj="-11796480,,5400" path="m228304,l6089650,r,l6089650,3213636v,126089,-102215,228304,-228304,228304l,3441940r,l,228304c,102215,102215,,228304,xe" filled="f" strokecolor="#f07e31" strokeweight="2pt">
                <v:stroke joinstyle="miter"/>
                <v:formulas/>
                <v:path arrowok="t" o:connecttype="custom" o:connectlocs="228304,0;6089650,0;6089650,0;6089650,3213636;5861346,3441940;0,3441940;0,3441940;0,228304;228304,0" o:connectangles="0,0,0,0,0,0,0,0,0" textboxrect="0,0,6089650,3441940"/>
                <v:textbox inset=",0,,0">
                  <w:txbxContent>
                    <w:p w:rsidR="008A60B4" w:rsidRPr="002F0ABF" w:rsidRDefault="008A60B4" w:rsidP="00E05D08">
                      <w:pPr>
                        <w:pStyle w:val="Normal12PTcouleurgris"/>
                        <w:rPr>
                          <w:b/>
                          <w:color w:val="F07E31"/>
                          <w:sz w:val="16"/>
                          <w:szCs w:val="16"/>
                        </w:rPr>
                      </w:pPr>
                      <w:r>
                        <w:rPr>
                          <w:noProof/>
                          <w:lang w:val="en-GB" w:eastAsia="en-GB"/>
                        </w:rPr>
                        <w:drawing>
                          <wp:inline distT="0" distB="0" distL="0" distR="0" wp14:anchorId="1B5F077C" wp14:editId="27AEE6A2">
                            <wp:extent cx="353060" cy="359410"/>
                            <wp:effectExtent l="0" t="0" r="8890" b="2540"/>
                            <wp:docPr id="1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szCs w:val="16"/>
                        </w:rPr>
                        <w:t>Exemple de sprijin posibil acordat în cadrul PDR pentru a doua modalitate</w:t>
                      </w:r>
                    </w:p>
                    <w:p w:rsidR="008A60B4" w:rsidRPr="002F0ABF" w:rsidRDefault="008A60B4" w:rsidP="00E05D08">
                      <w:pPr>
                        <w:pStyle w:val="Normal12PTcouleurgris"/>
                        <w:rPr>
                          <w:sz w:val="16"/>
                          <w:szCs w:val="16"/>
                        </w:rPr>
                      </w:pPr>
                      <w:r>
                        <w:rPr>
                          <w:sz w:val="16"/>
                          <w:szCs w:val="16"/>
                        </w:rPr>
                        <w:t>Următoarele competențe și calități esențiale ale actorilor din domeniul inovării</w:t>
                      </w:r>
                      <w:r>
                        <w:rPr>
                          <w:sz w:val="16"/>
                          <w:szCs w:val="16"/>
                          <w:vertAlign w:val="superscript"/>
                        </w:rPr>
                        <w:t>9</w:t>
                      </w:r>
                      <w:r>
                        <w:rPr>
                          <w:sz w:val="16"/>
                          <w:szCs w:val="16"/>
                        </w:rPr>
                        <w:t xml:space="preserve"> pot fi sprijinite de PDR și influențează operațiunile legate de „capacitatea de inovare”: </w:t>
                      </w:r>
                    </w:p>
                    <w:p w:rsidR="008A60B4" w:rsidRPr="002F0ABF" w:rsidRDefault="008A60B4" w:rsidP="00E05D08">
                      <w:pPr>
                        <w:pStyle w:val="Hlistbullet"/>
                        <w:rPr>
                          <w:sz w:val="16"/>
                          <w:szCs w:val="16"/>
                        </w:rPr>
                      </w:pPr>
                      <w:r>
                        <w:rPr>
                          <w:sz w:val="16"/>
                          <w:szCs w:val="16"/>
                        </w:rPr>
                        <w:t>cunoștințele și competențele tehnice și specifice domeniului necesare pentru punerea în practică a unor idei noi, inclusiv capacitatea de a identifica opțiunile și de a alege între ele [de exemplu, operațiunile efectuate în temeiul articolelor 14, 15 și 35 din Regulamentul (UE) nr. 1305/2013];</w:t>
                      </w:r>
                    </w:p>
                    <w:p w:rsidR="008A60B4" w:rsidRPr="002F0ABF" w:rsidRDefault="008A60B4" w:rsidP="00E05D08">
                      <w:pPr>
                        <w:pStyle w:val="Hlistbullet"/>
                        <w:rPr>
                          <w:sz w:val="16"/>
                          <w:szCs w:val="16"/>
                        </w:rPr>
                      </w:pPr>
                      <w:r>
                        <w:rPr>
                          <w:sz w:val="16"/>
                          <w:szCs w:val="16"/>
                        </w:rPr>
                        <w:t>competențele organizaționale și non-tehnice necesare pentru facilitarea și intermedierea</w:t>
                      </w:r>
                      <w:r>
                        <w:rPr>
                          <w:sz w:val="16"/>
                          <w:szCs w:val="16"/>
                          <w:vertAlign w:val="superscript"/>
                        </w:rPr>
                        <w:t>10</w:t>
                      </w:r>
                      <w:r>
                        <w:rPr>
                          <w:sz w:val="16"/>
                          <w:szCs w:val="16"/>
                        </w:rPr>
                        <w:t xml:space="preserve"> proceselor de inovare, inclusiv capacitatea de a crea legături și rețele între părțile interesate, capacitatea de a trece prin cicluri repetate de dezvoltare de viziuni, de planificare și de învățare prin reflecție și capacitatea de a identifica principalele dinamici și provocări ale sistemului [de exemplu, operațiuni efectuate în temeiul articolului 35 din Regulamentul (UE) nr. 1305/2013];</w:t>
                      </w:r>
                    </w:p>
                    <w:p w:rsidR="008A60B4" w:rsidRPr="002F0ABF" w:rsidRDefault="008A60B4" w:rsidP="00E05D08">
                      <w:pPr>
                        <w:pStyle w:val="Hlistbullet"/>
                        <w:rPr>
                          <w:sz w:val="16"/>
                          <w:szCs w:val="16"/>
                        </w:rPr>
                      </w:pPr>
                      <w:r>
                        <w:rPr>
                          <w:sz w:val="16"/>
                          <w:szCs w:val="16"/>
                        </w:rPr>
                        <w:t>capacitatea sporită pentru acțiuni colective eficiente</w:t>
                      </w:r>
                      <w:r>
                        <w:rPr>
                          <w:sz w:val="16"/>
                          <w:szCs w:val="16"/>
                          <w:vertAlign w:val="superscript"/>
                        </w:rPr>
                        <w:t>11</w:t>
                      </w:r>
                      <w:r>
                        <w:rPr>
                          <w:sz w:val="16"/>
                          <w:szCs w:val="16"/>
                        </w:rPr>
                        <w:t xml:space="preserve"> (de exemplu, organizarea activităților demonstrative și de informare într-un mod colaborativ, cu scopul de a transfera experiențe și cunoștințe între actori sau pentru cooperarea dintre actorii din lanțul de aprovizionare pentru furnizarea de biomasă pentru producția de alimente și energie etc.), operațiuni efectuate în temeiul articolelor 14, 15 și 35 din Regulamentul (UE) nr. 1305/2013;</w:t>
                      </w:r>
                    </w:p>
                    <w:p w:rsidR="008A60B4" w:rsidRPr="002F0ABF" w:rsidRDefault="008A60B4" w:rsidP="00E05D08">
                      <w:pPr>
                        <w:pStyle w:val="Hlistbullet"/>
                        <w:rPr>
                          <w:sz w:val="16"/>
                          <w:szCs w:val="16"/>
                        </w:rPr>
                      </w:pPr>
                      <w:r>
                        <w:rPr>
                          <w:sz w:val="16"/>
                          <w:szCs w:val="16"/>
                        </w:rPr>
                        <w:t>intervențiile PDR pot consolida capacitatea de a inova, oferind oportunități de transfer de cunoștințe (de exemplu, servicii, formare și îndrumare), operațiuni efectuate în temeiul articolului 15 din Regulamentul (UE) nr. 1305/2013.</w:t>
                      </w:r>
                    </w:p>
                  </w:txbxContent>
                </v:textbox>
              </v:shape>
            </w:pict>
          </mc:Fallback>
        </mc:AlternateContent>
      </w:r>
      <w:r w:rsidR="00A45935">
        <w:rPr>
          <w:b/>
          <w:color w:val="F07E31"/>
          <w:szCs w:val="20"/>
        </w:rPr>
        <w:t>Cea de a doua modalitate</w:t>
      </w:r>
      <w:r w:rsidR="00A45935">
        <w:t xml:space="preserve"> este legată de consolidarea capacității de a inova. Această modalitate este, în anumite circumstanțe, un rezultat al realizării primei modalități. PDR poate facilita procesul de identificare a provocărilor legate de dezvoltare și a oportunităților de a reuni actori interesați și relevanți din domeniul inovării (de exemplu, prin intermediul grupurilor operaționale PEI</w:t>
      </w:r>
      <w:r w:rsidR="00A45935">
        <w:rPr>
          <w:rFonts w:eastAsia="Times New Roman" w:cs="Times New Roman"/>
          <w:szCs w:val="20"/>
          <w:vertAlign w:val="superscript"/>
          <w:lang w:eastAsia="de-DE"/>
        </w:rPr>
        <w:footnoteReference w:id="5"/>
      </w:r>
      <w:r w:rsidR="00A45935">
        <w:t xml:space="preserve"> care testează practici inovatoare prin cooperarea dintre actori relevanți cu cunoștințe complementare, cum ar fi fermieri, întreprinderi, servicii de consiliere, cercetători și alții, în vederea îndeplinirii obiectivelor unui proiect inovator). Acest lucru contribuie la eliminarea decalajului dintre știință și practică, prin consolidarea competențelor și a cunoștințelor necesare. Sinergiile create prin intermediul proiectelor care implică mai mulți actori finanțate în cadrul politicii UE în domeniul cercetării și inovării „Orizont </w:t>
      </w:r>
      <w:r w:rsidR="00A45935" w:rsidRPr="00FA63BD">
        <w:t>2020</w:t>
      </w:r>
      <w:r w:rsidR="00A45935">
        <w:t>” pot oferi, de asemenea, beneficii</w:t>
      </w:r>
      <w:r w:rsidR="00A45935">
        <w:rPr>
          <w:rFonts w:eastAsia="Times New Roman" w:cs="Times New Roman"/>
          <w:szCs w:val="20"/>
          <w:vertAlign w:val="superscript"/>
          <w:lang w:eastAsia="de-DE"/>
        </w:rPr>
        <w:footnoteReference w:id="6"/>
      </w:r>
      <w:r w:rsidR="00A45935">
        <w:t xml:space="preserve"> </w:t>
      </w:r>
      <w:r w:rsidR="00A45935">
        <w:rPr>
          <w:rFonts w:eastAsia="Times New Roman" w:cs="Times New Roman"/>
          <w:szCs w:val="20"/>
          <w:vertAlign w:val="superscript"/>
          <w:lang w:eastAsia="de-DE"/>
        </w:rPr>
        <w:footnoteReference w:id="7"/>
      </w:r>
      <w:r w:rsidR="00A45935">
        <w:t>. Grupurile operaționale pot declanșa nișe socio-tehnice. O nișă socio-tehnică este un spațiu protejat care permite oamenilor să învețe și să experimenteze tehnologii și/sau instituții noi și/sau noi moduri de a face lucrurile. Atunci când sunt construite și conectate corespunzător, nișele pot acționa ca elemente constitutive pentru schimbări societale mai ample către o dezvoltare durabilă</w:t>
      </w:r>
      <w:r w:rsidR="00A45935">
        <w:rPr>
          <w:rFonts w:eastAsia="Times New Roman" w:cs="Arial"/>
          <w:szCs w:val="20"/>
          <w:vertAlign w:val="superscript"/>
          <w:lang w:eastAsia="de-DE"/>
        </w:rPr>
        <w:footnoteReference w:id="8"/>
      </w:r>
      <w:r w:rsidR="00A45935">
        <w:rPr>
          <w:rStyle w:val="FootnoteReference"/>
          <w:rFonts w:eastAsia="Times New Roman" w:cs="Times New Roman"/>
          <w:color w:val="FFFFFF" w:themeColor="background1"/>
          <w:szCs w:val="20"/>
          <w:lang w:eastAsia="de-DE"/>
        </w:rPr>
        <w:footnoteReference w:id="9"/>
      </w:r>
      <w:r w:rsidR="00A45935">
        <w:rPr>
          <w:rStyle w:val="FootnoteReference"/>
          <w:rFonts w:eastAsia="Times New Roman" w:cs="Times New Roman"/>
          <w:color w:val="FFFFFF" w:themeColor="background1"/>
          <w:szCs w:val="20"/>
          <w:lang w:eastAsia="de-DE"/>
        </w:rPr>
        <w:footnoteReference w:id="10"/>
      </w:r>
      <w:r w:rsidR="00A45935">
        <w:rPr>
          <w:rStyle w:val="FootnoteReference"/>
          <w:rFonts w:eastAsia="Times New Roman" w:cs="Times New Roman"/>
          <w:color w:val="FFFFFF" w:themeColor="background1"/>
          <w:szCs w:val="20"/>
          <w:lang w:eastAsia="de-DE"/>
        </w:rPr>
        <w:footnoteReference w:id="11"/>
      </w:r>
    </w:p>
    <w:p w:rsidR="00A45935" w:rsidRPr="00E05D08" w:rsidRDefault="00F74459" w:rsidP="002F0ABF">
      <w:pPr>
        <w:spacing w:after="120" w:line="280" w:lineRule="atLeast"/>
        <w:mirrorIndents/>
        <w:rPr>
          <w:rFonts w:eastAsia="Times New Roman" w:cs="Times New Roman"/>
          <w:szCs w:val="20"/>
        </w:rPr>
      </w:pPr>
      <w:r>
        <w:br w:type="column"/>
      </w:r>
      <w:r>
        <w:rPr>
          <w:b/>
          <w:color w:val="F07E31"/>
          <w:szCs w:val="20"/>
        </w:rPr>
        <w:lastRenderedPageBreak/>
        <w:t>A treia modalitate</w:t>
      </w:r>
      <w:r>
        <w:t xml:space="preserve"> se referă la schimbarea condițiilor de încadrare și a mediului care influențează sistemele de inovare. Acest lucru include îmbunătățirea diferitor condiții favorizante</w:t>
      </w:r>
      <w:r>
        <w:rPr>
          <w:rFonts w:eastAsia="Times New Roman" w:cs="Times New Roman"/>
          <w:szCs w:val="20"/>
          <w:vertAlign w:val="superscript"/>
          <w:lang w:eastAsia="de-DE"/>
        </w:rPr>
        <w:footnoteReference w:id="12"/>
      </w:r>
      <w:r>
        <w:t>, cum ar fi:</w:t>
      </w:r>
    </w:p>
    <w:p w:rsidR="00A45935" w:rsidRPr="0095292E" w:rsidRDefault="00EF035B" w:rsidP="00230C31">
      <w:pPr>
        <w:pStyle w:val="Hlistbullet"/>
      </w:pPr>
      <w:r>
        <w:rPr>
          <w:noProof/>
          <w:lang w:val="en-GB" w:eastAsia="en-GB"/>
        </w:rPr>
        <mc:AlternateContent>
          <mc:Choice Requires="wps">
            <w:drawing>
              <wp:anchor distT="0" distB="0" distL="114300" distR="114300" simplePos="0" relativeHeight="251737088" behindDoc="0" locked="0" layoutInCell="1" allowOverlap="1" wp14:anchorId="2BADF5D3" wp14:editId="4BBC6F9A">
                <wp:simplePos x="0" y="0"/>
                <wp:positionH relativeFrom="column">
                  <wp:posOffset>2923540</wp:posOffset>
                </wp:positionH>
                <wp:positionV relativeFrom="paragraph">
                  <wp:posOffset>-361950</wp:posOffset>
                </wp:positionV>
                <wp:extent cx="2832735" cy="8108950"/>
                <wp:effectExtent l="0" t="0" r="24765" b="25400"/>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8108950"/>
                        </a:xfrm>
                        <a:prstGeom prst="round2DiagRect">
                          <a:avLst>
                            <a:gd name="adj1" fmla="val 5907"/>
                            <a:gd name="adj2" fmla="val 0"/>
                          </a:avLst>
                        </a:prstGeom>
                        <a:noFill/>
                        <a:ln w="25400" cap="flat" cmpd="sng" algn="ctr">
                          <a:solidFill>
                            <a:srgbClr val="F07E31"/>
                          </a:solidFill>
                          <a:prstDash val="solid"/>
                        </a:ln>
                        <a:effectLst/>
                      </wps:spPr>
                      <wps:txbx>
                        <w:txbxContent>
                          <w:p w:rsidR="008A60B4" w:rsidRPr="00E05D08" w:rsidRDefault="008A60B4" w:rsidP="004508D0">
                            <w:pPr>
                              <w:pStyle w:val="Normal12PTcouleurgris"/>
                              <w:rPr>
                                <w:b/>
                                <w:color w:val="F07E31"/>
                              </w:rPr>
                            </w:pPr>
                            <w:r>
                              <w:rPr>
                                <w:noProof/>
                                <w:lang w:val="en-GB" w:eastAsia="en-GB"/>
                              </w:rPr>
                              <w:drawing>
                                <wp:inline distT="0" distB="0" distL="0" distR="0" wp14:anchorId="0C2B20CB" wp14:editId="6D95C224">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Exemple de sprijin posibil acordat în cadrul PDR pentru a treia modalitate</w:t>
                            </w:r>
                          </w:p>
                          <w:p w:rsidR="008A60B4" w:rsidRPr="002B58E1" w:rsidRDefault="008A60B4" w:rsidP="004508D0">
                            <w:pPr>
                              <w:pStyle w:val="Hlistbullet"/>
                              <w:rPr>
                                <w:sz w:val="18"/>
                                <w:szCs w:val="18"/>
                              </w:rPr>
                            </w:pPr>
                            <w:r>
                              <w:rPr>
                                <w:sz w:val="18"/>
                                <w:szCs w:val="18"/>
                              </w:rPr>
                              <w:t xml:space="preserve">un PDR care acordă prioritate acțiunilor de informare și de formare profesională [articolul 14 din Regulamentul (UE) nr. 1305/2013] și serviciilor de consiliere [articolul 15 din Regulamentul (UE) 1305/2013] pe baza acestor practici inovatoare, care sunt dezvoltate în cadrul grupurilor lor operaționale [articolul 35 din Regulamentul (UE) nr. 1305/2013] sau pe baza practicilor inovatoare dezvoltate de grupurile operaționale în alte regiuni sau țări (activitățile RNDR, asistență tehnică): </w:t>
                            </w:r>
                          </w:p>
                          <w:p w:rsidR="008A60B4" w:rsidRPr="002B58E1" w:rsidRDefault="008A60B4" w:rsidP="004508D0">
                            <w:pPr>
                              <w:pStyle w:val="Hlistbullet"/>
                              <w:rPr>
                                <w:sz w:val="18"/>
                                <w:szCs w:val="18"/>
                              </w:rPr>
                            </w:pPr>
                            <w:r>
                              <w:rPr>
                                <w:sz w:val="18"/>
                                <w:szCs w:val="18"/>
                              </w:rPr>
                              <w:t>un PDR care îmbunătățește accesul la internet în zonele rurale va ajuta întreprinderile locale și fermierii să aibă acces la informații și la piețe, sporind astfel capacitatea și motivația lor de a inova [de exemplu, operațiunile efectuate în temeiul articolului 20 din Regulamentul (UE) nr. 1305/2013];</w:t>
                            </w:r>
                          </w:p>
                          <w:p w:rsidR="008A60B4" w:rsidRPr="002B58E1" w:rsidRDefault="008A60B4" w:rsidP="004508D0">
                            <w:pPr>
                              <w:pStyle w:val="Hlistbullet"/>
                              <w:rPr>
                                <w:b/>
                                <w:sz w:val="18"/>
                                <w:szCs w:val="18"/>
                              </w:rPr>
                            </w:pPr>
                            <w:r>
                              <w:rPr>
                                <w:sz w:val="18"/>
                                <w:szCs w:val="18"/>
                              </w:rPr>
                              <w:t>un PDR care, prin intermediul unui grup operațional, dezvoltă echipamente inovatoare de arare a solului în așa fel încât să se încorporeze reziduurile de culturi, poate încuraja investițiile inovatoare și aplicarea mai strictă a legilor pentru a se interzice arderea reziduurilor de culturi [de exemplu, operațiunile efectuate în temeiul articolului 17 din Regulamentul (UE) nr. 1305/2013];</w:t>
                            </w:r>
                          </w:p>
                          <w:p w:rsidR="008A60B4" w:rsidRPr="002B58E1" w:rsidRDefault="008A60B4" w:rsidP="004508D0">
                            <w:pPr>
                              <w:pStyle w:val="Hlistbullet"/>
                              <w:rPr>
                                <w:sz w:val="18"/>
                                <w:szCs w:val="18"/>
                              </w:rPr>
                            </w:pPr>
                            <w:r>
                              <w:rPr>
                                <w:sz w:val="18"/>
                                <w:szCs w:val="18"/>
                              </w:rPr>
                              <w:t>o măsură din cadrul PDR care sprijină crearea lanțurilor scurte de aprovizionare cu alimente sau a cooperativelor de producători poate spori legăturile și cooperarea dintre consumatori și producători pentru a crea un sistem alimentar mai inovator</w:t>
                            </w:r>
                            <w:r>
                              <w:rPr>
                                <w:sz w:val="18"/>
                                <w:szCs w:val="18"/>
                                <w:vertAlign w:val="superscript"/>
                              </w:rPr>
                              <w:t>13</w:t>
                            </w:r>
                            <w:r>
                              <w:rPr>
                                <w:sz w:val="18"/>
                                <w:szCs w:val="18"/>
                              </w:rPr>
                              <w:t xml:space="preserve"> [de exemplu, operațiunile efectuate în temeiul articolelor 16, 17 și 35 din Regulamentul (UE)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ADF5D3" id="Rectangle: Diagonal Corners Rounded 59" o:spid="_x0000_s1034" style="position:absolute;left:0;text-align:left;margin-left:230.2pt;margin-top:-28.5pt;width:223.05pt;height:638.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810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" adj="-11796480,,5400" path="m167330,l2832735,r,l2832735,7941620v,92414,-74916,167330,-167330,167330l,8108950r,l,167330c,74916,74916,,167330,xe" filled="f" strokecolor="#f07e31" strokeweight="2pt">
                <v:stroke joinstyle="miter"/>
                <v:formulas/>
                <v:path arrowok="t" o:connecttype="custom" o:connectlocs="167330,0;2832735,0;2832735,0;2832735,7941620;2665405,8108950;0,8108950;0,8108950;0,167330;167330,0" o:connectangles="0,0,0,0,0,0,0,0,0" textboxrect="0,0,2832735,8108950"/>
                <v:textbox>
                  <w:txbxContent>
                    <w:p w:rsidR="008A60B4" w:rsidRPr="00E05D08" w:rsidRDefault="008A60B4" w:rsidP="004508D0">
                      <w:pPr>
                        <w:pStyle w:val="Normal12PTcouleurgris"/>
                        <w:rPr>
                          <w:b/>
                          <w:color w:val="F07E31"/>
                        </w:rPr>
                      </w:pPr>
                      <w:r>
                        <w:rPr>
                          <w:noProof/>
                          <w:lang w:val="en-GB" w:eastAsia="en-GB"/>
                        </w:rPr>
                        <w:drawing>
                          <wp:inline distT="0" distB="0" distL="0" distR="0" wp14:anchorId="0C2B20CB" wp14:editId="6D95C224">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Exemple de sprijin posibil acordat în cadrul PDR pentru a treia modalitate</w:t>
                      </w:r>
                    </w:p>
                    <w:p w:rsidR="008A60B4" w:rsidRPr="002B58E1" w:rsidRDefault="008A60B4" w:rsidP="004508D0">
                      <w:pPr>
                        <w:pStyle w:val="Hlistbullet"/>
                        <w:rPr>
                          <w:sz w:val="18"/>
                          <w:szCs w:val="18"/>
                        </w:rPr>
                      </w:pPr>
                      <w:r>
                        <w:rPr>
                          <w:sz w:val="18"/>
                          <w:szCs w:val="18"/>
                        </w:rPr>
                        <w:t xml:space="preserve">un PDR care acordă prioritate acțiunilor de informare și de formare profesională [articolul 14 din Regulamentul (UE) nr. 1305/2013] și serviciilor de consiliere [articolul 15 din Regulamentul (UE) 1305/2013] pe baza acestor practici inovatoare, care sunt dezvoltate în cadrul grupurilor lor operaționale [articolul 35 din Regulamentul (UE) nr. 1305/2013] sau pe baza practicilor inovatoare dezvoltate de grupurile operaționale în alte regiuni sau țări (activitățile RNDR, asistență tehnică): </w:t>
                      </w:r>
                    </w:p>
                    <w:p w:rsidR="008A60B4" w:rsidRPr="002B58E1" w:rsidRDefault="008A60B4" w:rsidP="004508D0">
                      <w:pPr>
                        <w:pStyle w:val="Hlistbullet"/>
                        <w:rPr>
                          <w:sz w:val="18"/>
                          <w:szCs w:val="18"/>
                        </w:rPr>
                      </w:pPr>
                      <w:r>
                        <w:rPr>
                          <w:sz w:val="18"/>
                          <w:szCs w:val="18"/>
                        </w:rPr>
                        <w:t>un PDR care îmbunătățește accesul la internet în zonele rurale va ajuta întreprinderile locale și fermierii să aibă acces la informații și la piețe, sporind astfel capacitatea și motivația lor de a inova [de exemplu, operațiunile efectuate în temeiul articolului 20 din Regulamentul (UE) nr. 1305/2013];</w:t>
                      </w:r>
                    </w:p>
                    <w:p w:rsidR="008A60B4" w:rsidRPr="002B58E1" w:rsidRDefault="008A60B4" w:rsidP="004508D0">
                      <w:pPr>
                        <w:pStyle w:val="Hlistbullet"/>
                        <w:rPr>
                          <w:b/>
                          <w:sz w:val="18"/>
                          <w:szCs w:val="18"/>
                        </w:rPr>
                      </w:pPr>
                      <w:r>
                        <w:rPr>
                          <w:sz w:val="18"/>
                          <w:szCs w:val="18"/>
                        </w:rPr>
                        <w:t>un PDR care, prin intermediul unui grup operațional, dezvoltă echipamente inovatoare de arare a solului în așa fel încât să se încorporeze reziduurile de culturi, poate încuraja investițiile inovatoare și aplicarea mai strictă a legilor pentru a se interzice arderea reziduurilor de culturi [de exemplu, operațiunile efectuate în temeiul articolului 17 din Regulamentul (UE) nr. 1305/2013];</w:t>
                      </w:r>
                    </w:p>
                    <w:p w:rsidR="008A60B4" w:rsidRPr="002B58E1" w:rsidRDefault="008A60B4" w:rsidP="004508D0">
                      <w:pPr>
                        <w:pStyle w:val="Hlistbullet"/>
                        <w:rPr>
                          <w:sz w:val="18"/>
                          <w:szCs w:val="18"/>
                        </w:rPr>
                      </w:pPr>
                      <w:r>
                        <w:rPr>
                          <w:sz w:val="18"/>
                          <w:szCs w:val="18"/>
                        </w:rPr>
                        <w:t>o măsură din cadrul PDR care sprijină crearea lanțurilor scurte de aprovizionare cu alimente sau a cooperativelor de producători poate spori legăturile și cooperarea dintre consumatori și producători pentru a crea un sistem alimentar mai inovator</w:t>
                      </w:r>
                      <w:r>
                        <w:rPr>
                          <w:sz w:val="18"/>
                          <w:szCs w:val="18"/>
                          <w:vertAlign w:val="superscript"/>
                        </w:rPr>
                        <w:t>13</w:t>
                      </w:r>
                      <w:r>
                        <w:rPr>
                          <w:sz w:val="18"/>
                          <w:szCs w:val="18"/>
                        </w:rPr>
                        <w:t xml:space="preserve"> [de exemplu, operațiunile efectuate în temeiul articolelor 16, 17 și 35 din Regulamentul (UE) nr. 1305/2013].</w:t>
                      </w:r>
                    </w:p>
                  </w:txbxContent>
                </v:textbox>
                <w10:wrap type="square"/>
              </v:shape>
            </w:pict>
          </mc:Fallback>
        </mc:AlternateContent>
      </w:r>
      <w:r w:rsidR="00A45935">
        <w:t xml:space="preserve">cele instituționale (de exemplu, asigurarea unor mandate, a unor norme, a mediului de politică/legislativ care sprijină inovările); </w:t>
      </w:r>
    </w:p>
    <w:p w:rsidR="00A45935" w:rsidRPr="0095292E" w:rsidRDefault="00A45935" w:rsidP="00230C31">
      <w:pPr>
        <w:pStyle w:val="Hlistbullet"/>
      </w:pPr>
      <w:r>
        <w:t xml:space="preserve">cele procedurale (de exemplu, surse de fonduri flexibile care să răspundă nevoilor de inovare ale părților interesate); </w:t>
      </w:r>
    </w:p>
    <w:p w:rsidR="00A45935" w:rsidRPr="0095292E" w:rsidRDefault="00A45935" w:rsidP="00230C31">
      <w:pPr>
        <w:pStyle w:val="Hlistbullet"/>
      </w:pPr>
      <w:r>
        <w:t xml:space="preserve">cele profesionale (de exemplu, accesul la cursuri de formare profesională care să furnizeze competențele și cunoștințele necesare și mijloacele de promovare a inovărilor); </w:t>
      </w:r>
    </w:p>
    <w:p w:rsidR="00A45935" w:rsidRPr="0095292E" w:rsidRDefault="00A45935" w:rsidP="00230C31">
      <w:pPr>
        <w:pStyle w:val="Hlistbullet"/>
      </w:pPr>
      <w:r>
        <w:t xml:space="preserve">cele organizatorice (de exemplu, posibilitatea de a interacționa cu alți parteneri care doresc să caute soluții inovatoare); </w:t>
      </w:r>
    </w:p>
    <w:p w:rsidR="00A45935" w:rsidRPr="0095292E" w:rsidRDefault="00A45935" w:rsidP="00230C31">
      <w:pPr>
        <w:pStyle w:val="Hlistbullet"/>
      </w:pPr>
      <w:r>
        <w:t xml:space="preserve">cele operaționale (de exemplu, care permit inovarea transnațională sau transsectorială); </w:t>
      </w:r>
    </w:p>
    <w:p w:rsidR="00A45935" w:rsidRPr="0095292E" w:rsidRDefault="00A45935" w:rsidP="00230C31">
      <w:pPr>
        <w:pStyle w:val="Hlistbullet"/>
      </w:pPr>
      <w:r>
        <w:t xml:space="preserve">cele tehnice (de exemplu, sprijinirea unor noi tehnici și tehnologii aplicabile în sectoarele economice rurale și în infrastructura rurală). </w:t>
      </w:r>
    </w:p>
    <w:p w:rsidR="00A45935" w:rsidRPr="00E05D08" w:rsidRDefault="00A45935" w:rsidP="00E05D08">
      <w:pPr>
        <w:spacing w:after="120" w:line="280" w:lineRule="atLeast"/>
        <w:mirrorIndents/>
        <w:rPr>
          <w:rFonts w:eastAsia="Times New Roman" w:cs="Times New Roman"/>
          <w:szCs w:val="20"/>
        </w:rPr>
      </w:pPr>
      <w:r>
        <w:t>PDR poate sprijini cea de a treia modalitate prin combinarea diferitor măsuri/submăsuri (de exemplu, măsurile de investiții asigură mediul favorizant pentru orice tip de inovare tehnică și tehnologică, măsurile referitoare la calitate și la marketing sprijină condițiile instituționale și procedurale, transferul de cunoștințe și măsurile referitoare la consiliere oferă un mediu profesional favorizant)</w:t>
      </w:r>
      <w:r>
        <w:rPr>
          <w:rStyle w:val="FootnoteReference"/>
          <w:rFonts w:eastAsia="Times New Roman" w:cs="Times New Roman"/>
          <w:color w:val="FFFFFF" w:themeColor="background1"/>
          <w:szCs w:val="20"/>
          <w:lang w:eastAsia="de-DE"/>
        </w:rPr>
        <w:footnoteReference w:id="13"/>
      </w:r>
      <w:r>
        <w:t xml:space="preserve">. </w:t>
      </w:r>
    </w:p>
    <w:p w:rsidR="00A45935" w:rsidRPr="00E05D08" w:rsidRDefault="00A45935" w:rsidP="00E05D08">
      <w:pPr>
        <w:spacing w:after="120" w:line="280" w:lineRule="atLeast"/>
        <w:mirrorIndents/>
        <w:rPr>
          <w:rFonts w:eastAsia="Times New Roman" w:cs="Times New Roman"/>
          <w:szCs w:val="20"/>
        </w:rPr>
      </w:pPr>
      <w:r>
        <w:rPr>
          <w:b/>
          <w:bCs/>
        </w:rPr>
        <w:t>Potențialul pentru mai multe bucle de feedback care se auto-consolidează</w:t>
      </w:r>
      <w:r>
        <w:t xml:space="preserve"> poate fi observat în detaliu în </w:t>
      </w:r>
      <w:hyperlink w:anchor="Pathways" w:history="1">
        <w:r>
          <w:rPr>
            <w:rStyle w:val="Hyperlink"/>
            <w:sz w:val="20"/>
            <w:szCs w:val="20"/>
          </w:rPr>
          <w:t xml:space="preserve">figura </w:t>
        </w:r>
        <w:r w:rsidRPr="00FA63BD">
          <w:rPr>
            <w:rStyle w:val="Hyperlink"/>
            <w:sz w:val="20"/>
            <w:szCs w:val="20"/>
          </w:rPr>
          <w:t>1</w:t>
        </w:r>
      </w:hyperlink>
      <w:r>
        <w:t>. De exemplu:</w:t>
      </w:r>
    </w:p>
    <w:p w:rsidR="00A45935" w:rsidRPr="004508D0" w:rsidRDefault="00A45935" w:rsidP="00230C31">
      <w:pPr>
        <w:pStyle w:val="Hlistbullet"/>
      </w:pPr>
      <w:r>
        <w:t xml:space="preserve">procesul de inovare tehnologică și/sau instituțională consolidează capacitatea </w:t>
      </w:r>
      <w:r>
        <w:lastRenderedPageBreak/>
        <w:t xml:space="preserve">sistemului de a inova, care contribuie în mod direct la accelerarea ratei și a calității inovării; </w:t>
      </w:r>
    </w:p>
    <w:p w:rsidR="00A45935" w:rsidRPr="000828C6" w:rsidRDefault="00A45935" w:rsidP="00230C31">
      <w:pPr>
        <w:pStyle w:val="Hlistbullet"/>
      </w:pPr>
      <w:r>
        <w:t xml:space="preserve">intervențiile din cadrul PDR în sprijinul politicii favorabile inovării (modalitatea </w:t>
      </w:r>
      <w:r w:rsidRPr="00FA63BD">
        <w:t>3</w:t>
      </w:r>
      <w:r>
        <w:t xml:space="preserve">) determină rate mai rapide de inovare care determină o capacitate mai mare de inovare. </w:t>
      </w:r>
    </w:p>
    <w:p w:rsidR="00A45935" w:rsidRPr="00E05D08" w:rsidRDefault="00A45935" w:rsidP="00E05D08">
      <w:pPr>
        <w:spacing w:after="120" w:line="280" w:lineRule="atLeast"/>
        <w:mirrorIndents/>
        <w:rPr>
          <w:rFonts w:eastAsia="Times New Roman" w:cs="Times New Roman"/>
          <w:szCs w:val="20"/>
        </w:rPr>
      </w:pPr>
      <w:r>
        <w:t>Creșterea capacității de inovare sprijină actorii din domeniul inovării să creeze și să utilizeze legături pentru a influența mediul instituțional sau de politică propice în favoarea inovărilor promovate de PDR. Buclele care se auto-consolidează sunt importante deoarece oferă perspectiva unui efect de levier</w:t>
      </w:r>
      <w:r>
        <w:rPr>
          <w:rFonts w:eastAsia="Times New Roman" w:cs="Times New Roman"/>
          <w:szCs w:val="20"/>
          <w:vertAlign w:val="superscript"/>
          <w:lang w:eastAsia="de-DE"/>
        </w:rPr>
        <w:footnoteReference w:id="14"/>
      </w:r>
      <w:r>
        <w:t xml:space="preserve">, și anume, ca intervențiile cu amploare relativ redusă ale PDR să catalizeze și susțină impacturi la scară mai mare (de exemplu, o practică agricolă inovatoare eficientă din punct de vedere energetic dezvoltată de un proiect de inovare în cadrul PDR se difuzează ca feedback pozitiv de la noii adoptatori, răspândindu-se ulterior și influențându-i pe alții să adopte aceleași practici, ceea ce creează impacturi semnificative asupra economisirii energiei în regiune). În plus, proiectele de inovare pot duce la îmbunătățirea măsurilor din cadrul programelor de dezvoltare rurală. De exemplu, un proiect de inovare poate testa fezabilitatea și eficiența din punctul de vedere al costurilor ale unei viitoare măsuri de agromediu și climă (AECM). </w:t>
      </w:r>
    </w:p>
    <w:p w:rsidR="00A45935" w:rsidRPr="00E05D08" w:rsidRDefault="00A45935" w:rsidP="00230C31">
      <w:pPr>
        <w:pStyle w:val="HHeading4"/>
      </w:pPr>
      <w:r>
        <w:t xml:space="preserve">Cum interacționează PDR cu sistemul de inovare global? </w:t>
      </w:r>
    </w:p>
    <w:p w:rsidR="00A45935" w:rsidRPr="00E05D08" w:rsidRDefault="00A45935" w:rsidP="00E05D08">
      <w:pPr>
        <w:spacing w:after="120" w:line="280" w:lineRule="atLeast"/>
        <w:mirrorIndents/>
        <w:rPr>
          <w:rFonts w:eastAsia="Times New Roman" w:cs="Times New Roman"/>
          <w:szCs w:val="20"/>
        </w:rPr>
      </w:pPr>
      <w:r>
        <w:t xml:space="preserve">PDR produce două tipuri de rezultate care sunt legate de inovare: </w:t>
      </w:r>
    </w:p>
    <w:p w:rsidR="00A45935" w:rsidRPr="000828C6" w:rsidRDefault="00A45935" w:rsidP="001744D0">
      <w:pPr>
        <w:pStyle w:val="Hlistbullet"/>
      </w:pPr>
      <w:r>
        <w:rPr>
          <w:b/>
          <w:bCs/>
        </w:rPr>
        <w:t>Realizări favorizante</w:t>
      </w:r>
      <w:r>
        <w:t xml:space="preserve"> legate de cele trei modalități (de exemplu, schimbări ale ratei și calității ideilor inovatoare emergente; capacitatea de inovare; și mediul favorizant). </w:t>
      </w:r>
    </w:p>
    <w:p w:rsidR="00A45935" w:rsidRPr="000828C6" w:rsidRDefault="00A45935" w:rsidP="001744D0">
      <w:pPr>
        <w:pStyle w:val="Hlistbullet"/>
      </w:pPr>
      <w:r>
        <w:rPr>
          <w:b/>
          <w:bCs/>
        </w:rPr>
        <w:t>Realizări ale inovării</w:t>
      </w:r>
      <w:r>
        <w:t xml:space="preserve"> obținute ca urmare a realizărilor favorizante (de exemplu, practici noi, venituri sporite, adoptarea unor practici agricole mai durabile).</w:t>
      </w:r>
    </w:p>
    <w:p w:rsidR="00A45935" w:rsidRPr="00E05D08" w:rsidRDefault="00A45935" w:rsidP="00E05D08">
      <w:pPr>
        <w:spacing w:after="120" w:line="280" w:lineRule="atLeast"/>
        <w:mirrorIndents/>
        <w:rPr>
          <w:rFonts w:eastAsia="Times New Roman" w:cs="Times New Roman"/>
          <w:szCs w:val="20"/>
        </w:rPr>
      </w:pPr>
      <w:r>
        <w:t>Ambele tipuri de rezultate contribuie la îndeplinirea obiectivelor PDR și pot fi evaluate prin intermediul indicatorilor corespunzători. Măsura și modul în care aceste tipuri de rezultate afectează sistemul de inovare existent depind de modul în care beneficiarii PDR interpretează și înțeleg ce oferă programul</w:t>
      </w:r>
      <w:r>
        <w:rPr>
          <w:rFonts w:eastAsia="Times New Roman" w:cs="Times New Roman"/>
          <w:szCs w:val="20"/>
          <w:vertAlign w:val="superscript"/>
          <w:lang w:eastAsia="de-DE"/>
        </w:rPr>
        <w:footnoteReference w:id="15"/>
      </w:r>
      <w:r>
        <w:t xml:space="preserve">. Reacția lor este influențată, de asemenea, de trecut și de procesele în desfășurare, altele decât cele din cadrul PDR, care stimulează inovările: </w:t>
      </w:r>
    </w:p>
    <w:p w:rsidR="00A45935" w:rsidRPr="00161D7E" w:rsidRDefault="00A45935" w:rsidP="001744D0">
      <w:pPr>
        <w:pStyle w:val="Hlistbullet"/>
      </w:pPr>
      <w:r>
        <w:t xml:space="preserve">activități de cercetare privind noile tehnologii și procese, </w:t>
      </w:r>
    </w:p>
    <w:p w:rsidR="00A45935" w:rsidRPr="00161D7E" w:rsidRDefault="00A45935" w:rsidP="001744D0">
      <w:pPr>
        <w:pStyle w:val="Hlistbullet"/>
      </w:pPr>
      <w:r>
        <w:t xml:space="preserve">sistemele de extindere și de educare privind promovarea inovării, </w:t>
      </w:r>
    </w:p>
    <w:p w:rsidR="00A45935" w:rsidRPr="00161D7E" w:rsidRDefault="00A45935" w:rsidP="001744D0">
      <w:pPr>
        <w:pStyle w:val="Hlistbullet"/>
      </w:pPr>
      <w:r>
        <w:t xml:space="preserve">măsuri fiscale, garanții de credit, achiziții inovatoare, </w:t>
      </w:r>
    </w:p>
    <w:p w:rsidR="00A45935" w:rsidRPr="00161D7E" w:rsidRDefault="00A45935" w:rsidP="001744D0">
      <w:pPr>
        <w:pStyle w:val="Hlistbullet"/>
      </w:pPr>
      <w:r>
        <w:t xml:space="preserve">programul Orizont </w:t>
      </w:r>
      <w:r w:rsidRPr="00FA63BD">
        <w:t>2020</w:t>
      </w:r>
      <w:r>
        <w:t xml:space="preserve"> și alte programe naționale/regionale ale fondurilor ESI, care intervin în cadrul aceleiași abordări inovatoare ca PDR,</w:t>
      </w:r>
    </w:p>
    <w:p w:rsidR="00A45935" w:rsidRPr="00161D7E" w:rsidRDefault="00A45935" w:rsidP="001744D0">
      <w:pPr>
        <w:pStyle w:val="Hlistbullet"/>
      </w:pPr>
      <w:r>
        <w:t>cererea pieței.</w:t>
      </w:r>
    </w:p>
    <w:p w:rsidR="00A45935" w:rsidRPr="00E05D08" w:rsidRDefault="00A45935" w:rsidP="00E05D08">
      <w:pPr>
        <w:spacing w:after="120" w:line="280" w:lineRule="atLeast"/>
        <w:mirrorIndents/>
        <w:rPr>
          <w:rFonts w:eastAsia="Times New Roman" w:cs="Times New Roman"/>
          <w:szCs w:val="20"/>
        </w:rPr>
      </w:pPr>
      <w:r>
        <w:t xml:space="preserve">De asemenea, operațiunile PDR vor influența modul în care sunt interpretate și utilizate alte procese și intervenții în desfășurare și, totodată, vor fi influențate de acestea. </w:t>
      </w:r>
    </w:p>
    <w:p w:rsidR="00A45935" w:rsidRPr="00E05D08" w:rsidRDefault="00A45935" w:rsidP="00E05D08">
      <w:pPr>
        <w:spacing w:after="120" w:line="280" w:lineRule="atLeast"/>
        <w:mirrorIndents/>
        <w:rPr>
          <w:rFonts w:eastAsia="Times New Roman" w:cs="Times New Roman"/>
          <w:szCs w:val="20"/>
        </w:rPr>
      </w:pPr>
      <w:r>
        <w:t xml:space="preserve">PDR-urile nu sunt puse în aplicare în vid, ci acționează într-un sistem complex de inovare în contextul socioeconomic dat. Situația de referință pentru PDR depinde de contextul existent al inovării (și anume, actorii din domeniul inovării și interacțiunile dintre ei, mediul favorizant existent, cererea pieței, alte intervenții). </w:t>
      </w:r>
    </w:p>
    <w:p w:rsidR="000E0FE4" w:rsidRDefault="00A45935" w:rsidP="00E05D08">
      <w:pPr>
        <w:spacing w:after="120" w:line="280" w:lineRule="atLeast"/>
        <w:mirrorIndents/>
        <w:rPr>
          <w:rFonts w:eastAsia="Times New Roman" w:cs="Times New Roman"/>
          <w:szCs w:val="20"/>
        </w:rPr>
      </w:pPr>
      <w:r>
        <w:lastRenderedPageBreak/>
        <w:t xml:space="preserve">Obiectivul oricărei evaluări va fi de a observa situația de referință și de a atribui eventualele modificări observate punerii în aplicare a măsurilor și submăsurilor din cadrul PDR.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7" w:name="_Toc493151896"/>
      <w:bookmarkStart w:id="18" w:name="_Toc501382122"/>
      <w:bookmarkStart w:id="19" w:name="_Toc508889172"/>
      <w:r>
        <w:lastRenderedPageBreak/>
        <w:t>Cadrul de politică al UE</w:t>
      </w:r>
      <w:bookmarkEnd w:id="17"/>
      <w:bookmarkEnd w:id="18"/>
      <w:bookmarkEnd w:id="19"/>
      <w:r>
        <w:t xml:space="preserve"> </w:t>
      </w:r>
    </w:p>
    <w:p w:rsidR="00A45935" w:rsidRPr="00967CFD" w:rsidRDefault="00A45935" w:rsidP="009B603C">
      <w:pPr>
        <w:pStyle w:val="HHeading3"/>
        <w:spacing w:line="280" w:lineRule="exact"/>
      </w:pPr>
      <w:bookmarkStart w:id="20" w:name="Policy_framework"/>
      <w:bookmarkStart w:id="21" w:name="_Toc501382123"/>
      <w:bookmarkStart w:id="22" w:name="_Toc508889173"/>
      <w:bookmarkEnd w:id="20"/>
      <w:r>
        <w:t>Cadrul de politică pentru inovare în UE și politica de dezvoltare rurală</w:t>
      </w:r>
      <w:bookmarkEnd w:id="21"/>
      <w:bookmarkEnd w:id="22"/>
    </w:p>
    <w:p w:rsidR="00A45935" w:rsidRPr="00E05D08" w:rsidRDefault="00A45935" w:rsidP="00E05D08">
      <w:pPr>
        <w:spacing w:after="120" w:line="280" w:lineRule="atLeast"/>
        <w:mirrorIndents/>
        <w:rPr>
          <w:rFonts w:eastAsia="Times New Roman" w:cs="Times New Roman"/>
          <w:szCs w:val="20"/>
          <w:shd w:val="clear" w:color="auto" w:fill="FFFFFF"/>
        </w:rPr>
      </w:pPr>
      <w:r>
        <w:rPr>
          <w:b/>
          <w:bCs/>
          <w:szCs w:val="20"/>
          <w:shd w:val="clear" w:color="auto" w:fill="FFFFFF"/>
        </w:rPr>
        <w:t>Există două instrumente de finanțare ale UE care sprijină în mod specific inovarea în agricultură și silvicultură.</w:t>
      </w:r>
      <w:r>
        <w:rPr>
          <w:szCs w:val="20"/>
          <w:shd w:val="clear" w:color="auto" w:fill="FFFFFF"/>
        </w:rPr>
        <w:t xml:space="preserve"> Un instrument este politica de dezvoltare rurală, care este unul dintre cei doi piloni ai politicii agricole comune (PAC). Celălalt instrument este Orizont </w:t>
      </w:r>
      <w:r w:rsidRPr="00FA63BD">
        <w:rPr>
          <w:szCs w:val="20"/>
          <w:shd w:val="clear" w:color="auto" w:fill="FFFFFF"/>
        </w:rPr>
        <w:t>2020</w:t>
      </w:r>
      <w:r>
        <w:rPr>
          <w:rFonts w:eastAsia="Times New Roman" w:cs="Times New Roman"/>
          <w:szCs w:val="20"/>
          <w:shd w:val="clear" w:color="auto" w:fill="FFFFFF"/>
          <w:vertAlign w:val="superscript"/>
          <w:lang w:eastAsia="de-DE"/>
        </w:rPr>
        <w:footnoteReference w:id="16"/>
      </w:r>
      <w:r>
        <w:rPr>
          <w:szCs w:val="20"/>
          <w:shd w:val="clear" w:color="auto" w:fill="FFFFFF"/>
        </w:rPr>
        <w:t>, programul-cadru al UE pentru cercetare și inovare, care pune în aplicare inițiativa emblematică „O Uniune a inovării”</w:t>
      </w:r>
      <w:r>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bCs/>
          <w:szCs w:val="20"/>
          <w:shd w:val="clear" w:color="auto" w:fill="FFFFFF"/>
        </w:rPr>
        <w:t xml:space="preserve">Politica de dezvoltare rurală este concepută să funcționeze în sinergie cu programul Orizont </w:t>
      </w:r>
      <w:r w:rsidRPr="00FA63BD">
        <w:rPr>
          <w:b/>
          <w:bCs/>
          <w:szCs w:val="20"/>
          <w:shd w:val="clear" w:color="auto" w:fill="FFFFFF"/>
        </w:rPr>
        <w:t>2020</w:t>
      </w:r>
      <w:r>
        <w:rPr>
          <w:szCs w:val="20"/>
          <w:shd w:val="clear" w:color="auto" w:fill="FFFFFF"/>
        </w:rPr>
        <w:t xml:space="preserve"> în vederea îndeplinirii obiectivelor UE în materie de inovare, în special a obiectivelor privind creșterea inteligentă. Printre obiectivele principale ale UE privind creșterea inteligentă se numără creșterea investițiilor publice și private combinate în cercetare și dezvoltare la </w:t>
      </w:r>
      <w:r w:rsidRPr="00FA63BD">
        <w:rPr>
          <w:szCs w:val="20"/>
          <w:shd w:val="clear" w:color="auto" w:fill="FFFFFF"/>
        </w:rPr>
        <w:t>3</w:t>
      </w:r>
      <w:r>
        <w:rPr>
          <w:szCs w:val="20"/>
          <w:shd w:val="clear" w:color="auto" w:fill="FFFFFF"/>
        </w:rPr>
        <w:t> % din PIB-ul UE, precum și condiții mai bune pentru cercetare și dezvoltare și inovare</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figures"/>
      </w:pPr>
      <w:bookmarkStart w:id="23" w:name="_Toc508889199"/>
      <w:r>
        <w:t>Cadrul de politică pentru inovare în UE și politica de dezvoltare rurală</w:t>
      </w:r>
      <w:bookmarkEnd w:id="23"/>
      <w:r>
        <w:t xml:space="preserve"> </w:t>
      </w:r>
    </w:p>
    <w:p w:rsidR="00A45935" w:rsidRPr="00E05D08" w:rsidRDefault="005F462B" w:rsidP="00E05D08">
      <w:pPr>
        <w:spacing w:before="60" w:after="200" w:line="276" w:lineRule="auto"/>
        <w:jc w:val="center"/>
        <w:rPr>
          <w:rFonts w:eastAsia="Calibri" w:cs="Arial"/>
          <w:szCs w:val="20"/>
        </w:rPr>
      </w:pPr>
      <w:r>
        <w:rPr>
          <w:noProof/>
          <w:lang w:val="en-GB" w:eastAsia="en-GB"/>
        </w:rPr>
        <w:drawing>
          <wp:inline distT="0" distB="0" distL="0" distR="0" wp14:anchorId="17123985" wp14:editId="31355D3D">
            <wp:extent cx="5731510" cy="3255127"/>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255127"/>
                    </a:xfrm>
                    <a:prstGeom prst="rect">
                      <a:avLst/>
                    </a:prstGeom>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 xml:space="preserve">Sursă: Serviciul european de asistență pentru evaluare în domeniul dezvoltării rurale, </w:t>
      </w:r>
      <w:r w:rsidRPr="00FA63BD">
        <w:rPr>
          <w:i/>
          <w:sz w:val="16"/>
          <w:szCs w:val="16"/>
        </w:rPr>
        <w:t>2017</w:t>
      </w:r>
    </w:p>
    <w:p w:rsidR="00A45935" w:rsidRPr="00E05D08" w:rsidRDefault="00A45935" w:rsidP="00E05D08">
      <w:pPr>
        <w:spacing w:after="120" w:line="280" w:lineRule="atLeast"/>
        <w:mirrorIndents/>
        <w:rPr>
          <w:rFonts w:eastAsia="Times New Roman" w:cs="Times New Roman"/>
          <w:szCs w:val="20"/>
        </w:rPr>
      </w:pPr>
      <w:r>
        <w:rPr>
          <w:b/>
          <w:bCs/>
        </w:rPr>
        <w:t>Politica agricolă comună are un rol important în ceea ce privește contribuția la creșterea inteligentă prin inovare.</w:t>
      </w:r>
      <w:r>
        <w:t xml:space="preserve"> Îndeplinirea celor trei obiective ale PAC necesită crearea, partajarea și punerea în aplicare a noilor cunoștințe, a noilor tehnologii, a noilor produse și a unor noi modalități de organizare, de învățare sau de cooperare. </w:t>
      </w:r>
    </w:p>
    <w:p w:rsidR="00A45935" w:rsidRPr="00E05D08" w:rsidRDefault="00A45935" w:rsidP="00E05D08">
      <w:pPr>
        <w:spacing w:after="120" w:line="280" w:lineRule="atLeast"/>
        <w:mirrorIndents/>
        <w:rPr>
          <w:rFonts w:eastAsia="Calibri" w:cs="Times New Roman"/>
          <w:szCs w:val="20"/>
        </w:rPr>
      </w:pPr>
      <w:r>
        <w:rPr>
          <w:b/>
          <w:szCs w:val="20"/>
        </w:rPr>
        <w:t xml:space="preserve">Arhitectura politicii de dezvoltare rurală în perioada </w:t>
      </w:r>
      <w:r w:rsidRPr="00FA63BD">
        <w:rPr>
          <w:b/>
          <w:szCs w:val="20"/>
        </w:rPr>
        <w:t>2014</w:t>
      </w:r>
      <w:r>
        <w:rPr>
          <w:b/>
          <w:szCs w:val="20"/>
        </w:rPr>
        <w:t>-</w:t>
      </w:r>
      <w:r w:rsidRPr="00FA63BD">
        <w:rPr>
          <w:b/>
          <w:szCs w:val="20"/>
        </w:rPr>
        <w:t>2020</w:t>
      </w:r>
      <w:r>
        <w:rPr>
          <w:b/>
          <w:szCs w:val="20"/>
        </w:rPr>
        <w:t xml:space="preserve"> subliniază importanța inovării </w:t>
      </w:r>
      <w:r>
        <w:t>în etapele de proiectare și punere în aplicare a programului</w:t>
      </w:r>
      <w:r>
        <w:rPr>
          <w:rFonts w:eastAsia="Times New Roman" w:cs="Times New Roman"/>
          <w:szCs w:val="20"/>
          <w:vertAlign w:val="superscript"/>
          <w:lang w:eastAsia="de-DE"/>
        </w:rPr>
        <w:footnoteReference w:id="19"/>
      </w:r>
      <w:r>
        <w:t xml:space="preserve">. Inovarea în domeniul dezvoltării rurale se poate referi la o gamă diversă de domenii, printre care: dezvoltarea în cadrul fermelor agricole, </w:t>
      </w:r>
      <w:r>
        <w:lastRenderedPageBreak/>
        <w:t>organizarea lanțului alimentar și gestionarea riscurilor, conservarea și ameliorarea ecosistemelor, promovarea incluziunii sociale, reducerea sărăciei, dezvoltarea economică în zonele rurale etc.</w:t>
      </w:r>
    </w:p>
    <w:p w:rsidR="00A45935" w:rsidRPr="00E05D08" w:rsidRDefault="00A45935" w:rsidP="00230C31">
      <w:pPr>
        <w:pStyle w:val="HHeading4"/>
        <w:rPr>
          <w:rFonts w:eastAsia="Calibri"/>
        </w:rPr>
      </w:pPr>
      <w:r>
        <w:t>Cum este ancorată inovarea în programele de dezvoltare rurală?</w:t>
      </w:r>
    </w:p>
    <w:p w:rsidR="00A45935" w:rsidRPr="00E05D08" w:rsidRDefault="00347A2C" w:rsidP="00E05D08">
      <w:pPr>
        <w:spacing w:after="120" w:line="280" w:lineRule="atLeast"/>
        <w:mirrorIndents/>
        <w:rPr>
          <w:rFonts w:eastAsia="Times New Roman" w:cs="Times New Roman"/>
          <w:szCs w:val="20"/>
        </w:rPr>
      </w:pPr>
      <w:r>
        <w:t xml:space="preserve">În strategia PDR este inclusă </w:t>
      </w:r>
      <w:r>
        <w:rPr>
          <w:b/>
          <w:bCs/>
        </w:rPr>
        <w:t>o descriere a unei„abordări în privința inovării, în vederea îndeplinirii priorităților Uniunii în materie de dezvoltare rurală” a PDR</w:t>
      </w:r>
      <w:r>
        <w:rPr>
          <w:rFonts w:eastAsia="Times New Roman" w:cs="Times New Roman"/>
          <w:szCs w:val="20"/>
          <w:vertAlign w:val="superscript"/>
          <w:lang w:eastAsia="de-DE"/>
        </w:rPr>
        <w:footnoteReference w:id="20"/>
      </w:r>
      <w:r>
        <w:t>. Această descriere include, de asemenea, PEI privind productivitatea și durabilitatea agriculturii. Fiecare strategie abordează, la nivelul fiecărei priorități a Uniunii, nevoile specifice privind inovarea, astfel cum sunt identificate în analiza SWOT și în evaluarea nevoilor</w:t>
      </w:r>
      <w:r>
        <w:rPr>
          <w:rFonts w:eastAsia="Times New Roman" w:cs="Times New Roman"/>
          <w:szCs w:val="20"/>
          <w:vertAlign w:val="superscript"/>
          <w:lang w:eastAsia="de-DE"/>
        </w:rPr>
        <w:footnoteReference w:id="21"/>
      </w:r>
      <w:r>
        <w:t>. În plus, toate prioritățile Uniunii contribuie la îndeplinirea obiectivului transversal privind inovarea</w:t>
      </w:r>
      <w:r>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Pe lângă faptul că este un obiectiv transversal, inovarea este luată în considerare, de asemenea, în PDR-uri, ca parte a două arii de intervenție din cadrul priorității transversale nr. </w:t>
      </w:r>
      <w:r w:rsidRPr="00FA63BD">
        <w:t>1</w:t>
      </w:r>
      <w:r>
        <w:t xml:space="preserve"> a Uniunii, „Încurajarea transferului de cunoștințe și a inovării în agricultură, în silvicultură și în zonele rurale”: </w:t>
      </w:r>
    </w:p>
    <w:p w:rsidR="00A45935" w:rsidRPr="00165BF1" w:rsidRDefault="00A45935" w:rsidP="008C0B17">
      <w:pPr>
        <w:numPr>
          <w:ilvl w:val="0"/>
          <w:numId w:val="70"/>
        </w:numPr>
        <w:mirrorIndents/>
        <w:rPr>
          <w:szCs w:val="20"/>
        </w:rPr>
      </w:pPr>
      <w:r>
        <w:t xml:space="preserve">aria de intervenție </w:t>
      </w:r>
      <w:r w:rsidRPr="00FA63BD">
        <w:t>1</w:t>
      </w:r>
      <w:r>
        <w:t>A: încurajarea inovării, a cooperării și a creării bazei de cunoștințe în zonele rurale,</w:t>
      </w:r>
    </w:p>
    <w:p w:rsidR="00A45935" w:rsidRPr="00165BF1" w:rsidRDefault="00A45935" w:rsidP="008C0B17">
      <w:pPr>
        <w:numPr>
          <w:ilvl w:val="0"/>
          <w:numId w:val="70"/>
        </w:numPr>
        <w:mirrorIndents/>
        <w:rPr>
          <w:szCs w:val="20"/>
        </w:rPr>
      </w:pPr>
      <w:r>
        <w:t xml:space="preserve">aria de intervenție </w:t>
      </w:r>
      <w:r w:rsidRPr="00FA63BD">
        <w:t>1</w:t>
      </w:r>
      <w:r>
        <w:t>B: consolidarea legăturilor dintre agricultură, producția alimentară și silvicultură, pe de o parte, și cercetare și inovare, pe de altă parte, inclusiv în scopul unei gestionări mai bune a mediului și al unei performanțe de mediu îmbunătățite.</w:t>
      </w:r>
    </w:p>
    <w:p w:rsidR="00A45935" w:rsidRPr="00E05D08" w:rsidRDefault="00A45935" w:rsidP="00E05D08">
      <w:pPr>
        <w:spacing w:after="120" w:line="280" w:lineRule="atLeast"/>
        <w:mirrorIndents/>
        <w:rPr>
          <w:rFonts w:eastAsia="Times New Roman" w:cs="Times New Roman"/>
          <w:szCs w:val="20"/>
          <w:shd w:val="clear" w:color="auto" w:fill="FFFFFF"/>
        </w:rPr>
      </w:pPr>
      <w:r>
        <w:rPr>
          <w:b/>
          <w:bCs/>
        </w:rPr>
        <w:t>PDR-urile prezintă o flexibilitate considerabilă în utilizarea și combinarea măsurilor</w:t>
      </w:r>
      <w:r>
        <w:t xml:space="preserve"> destinate să răspundă nevoilor teritoriale și de inovare specifice și capacității lor de a realiza sinergii. Măsurile pot fi programate în cadrul diferitor priorități și arii de intervenție, în vederea maximizării contribuțiilor lor la îndeplinirea obiectivelor relevante. </w:t>
      </w:r>
      <w:r>
        <w:rPr>
          <w:szCs w:val="20"/>
          <w:shd w:val="clear" w:color="auto" w:fill="FFFFFF"/>
        </w:rPr>
        <w:t xml:space="preserve">Unele măsuri din cadrul PDR pot avea chiar efecte mai directe asupra inovării, și anume în cadrul ariilor de intervenție </w:t>
      </w:r>
      <w:r w:rsidRPr="00FA63BD">
        <w:rPr>
          <w:szCs w:val="20"/>
          <w:shd w:val="clear" w:color="auto" w:fill="FFFFFF"/>
        </w:rPr>
        <w:t>1</w:t>
      </w:r>
      <w:r>
        <w:rPr>
          <w:szCs w:val="20"/>
          <w:shd w:val="clear" w:color="auto" w:fill="FFFFFF"/>
        </w:rPr>
        <w:t xml:space="preserve">A și </w:t>
      </w:r>
      <w:r w:rsidRPr="00FA63BD">
        <w:rPr>
          <w:szCs w:val="20"/>
          <w:shd w:val="clear" w:color="auto" w:fill="FFFFFF"/>
        </w:rPr>
        <w:t>1</w:t>
      </w:r>
      <w:r>
        <w:rPr>
          <w:szCs w:val="20"/>
          <w:shd w:val="clear" w:color="auto" w:fill="FFFFFF"/>
        </w:rPr>
        <w:t>B:</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w:t>
      </w:r>
      <w:r w:rsidRPr="00FA63BD">
        <w:t>1</w:t>
      </w:r>
      <w:r>
        <w:t xml:space="preserve"> Transfer de cunoștințe și acțiuni de informare</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w:t>
      </w:r>
      <w:r w:rsidRPr="00FA63BD">
        <w:t>2</w:t>
      </w:r>
      <w:r>
        <w:t xml:space="preserve"> Servicii de consiliere</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w:t>
      </w:r>
      <w:r w:rsidRPr="00FA63BD">
        <w:t>16</w:t>
      </w:r>
      <w:r>
        <w:t xml:space="preserve"> Cooperare (sprijină instituirea și funcționarea grupurilor operaționale PEI-AGRI).</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w:t>
      </w:r>
      <w:r w:rsidRPr="00FA63BD">
        <w:t>19</w:t>
      </w:r>
      <w:r>
        <w:t xml:space="preserve"> LEADER/DLRC care promovează inovarea ca unul dintre principiile LEADER și încurajează acțiunile inovatoare la scară mică în toate aspectele vieții rurale (economice, sociale și de mediu)</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Pot fi programate măsuri de promovare a inovării și în cadrul altor arii de intervenție.</w:t>
      </w:r>
      <w:r>
        <w:t xml:space="preserve"> De exemplu, M</w:t>
      </w:r>
      <w:r w:rsidRPr="00FA63BD">
        <w:t>16</w:t>
      </w:r>
      <w:r>
        <w:t xml:space="preserve"> poate fi legată de majoritatea ariilor de intervenție și a priorităților de dezvoltare rurală. Aceasta este principala măsură de dezvoltare rurală menită a sprijini </w:t>
      </w:r>
      <w:r>
        <w:rPr>
          <w:b/>
          <w:bCs/>
          <w:szCs w:val="20"/>
          <w:shd w:val="clear" w:color="auto" w:fill="FFFFFF"/>
        </w:rPr>
        <w:t>parteneriatul european pentru inovare „Productivitatea și durabilitatea agriculturii”</w:t>
      </w:r>
      <w:r>
        <w:rPr>
          <w:szCs w:val="20"/>
          <w:shd w:val="clear" w:color="auto" w:fill="FFFFFF"/>
        </w:rPr>
        <w:t xml:space="preserve"> (PEI-AGRI).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EF035B"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706368" behindDoc="0" locked="0" layoutInCell="1" allowOverlap="1" wp14:anchorId="6746B04B" wp14:editId="1DE623DC">
                <wp:simplePos x="0" y="0"/>
                <wp:positionH relativeFrom="page">
                  <wp:posOffset>923925</wp:posOffset>
                </wp:positionH>
                <wp:positionV relativeFrom="paragraph">
                  <wp:posOffset>411480</wp:posOffset>
                </wp:positionV>
                <wp:extent cx="5671820" cy="4501515"/>
                <wp:effectExtent l="0" t="0" r="24130" b="13335"/>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501515"/>
                        </a:xfrm>
                        <a:prstGeom prst="round2DiagRect">
                          <a:avLst>
                            <a:gd name="adj1" fmla="val 6224"/>
                            <a:gd name="adj2" fmla="val 0"/>
                          </a:avLst>
                        </a:prstGeom>
                        <a:noFill/>
                        <a:ln w="25400" cap="flat" cmpd="sng" algn="ctr">
                          <a:solidFill>
                            <a:srgbClr val="BE4A35"/>
                          </a:solidFill>
                          <a:prstDash val="solid"/>
                        </a:ln>
                        <a:effectLst/>
                      </wps:spPr>
                      <wps:txbx>
                        <w:txbxContent>
                          <w:p w:rsidR="008A60B4" w:rsidRPr="002F0ABF" w:rsidRDefault="008A60B4" w:rsidP="00E05D08">
                            <w:pPr>
                              <w:pStyle w:val="HStandard"/>
                              <w:rPr>
                                <w:sz w:val="18"/>
                                <w:szCs w:val="18"/>
                              </w:rPr>
                            </w:pPr>
                            <w:r>
                              <w:rPr>
                                <w:noProof/>
                                <w:lang w:val="en-GB" w:eastAsia="en-GB"/>
                              </w:rPr>
                              <w:drawing>
                                <wp:inline distT="0" distB="0" distL="0" distR="0" wp14:anchorId="401C977E" wp14:editId="23EC9484">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PEI-AGRI face parte din Strategia Europa 2020 de accelerare a inovării la nivelul UE, încurajând un sector agricol și forestier competitiv și durabil care „realizează mai multe cu mai puține resurse”.</w:t>
                            </w:r>
                            <w:r>
                              <w:rPr>
                                <w:sz w:val="18"/>
                                <w:szCs w:val="18"/>
                              </w:rPr>
                              <w:t xml:space="preserve"> PEI-AGRI contribuie la asigurarea unei aprovizionări constante cu alimente, hrană pentru animale și biomateriale, în armonie cu resursele naturale esențiale de care depinde agricultura. PEI-AGRI reunește actori ai inovării (fermieri, consilieri, cercetători, întreprinderi, ONG-uri etc.) la nivelul UE și în cadrul programelor de dezvoltare rurală, sub formă de grupuri operaționale. Astfel de inovări pot fi tehnologice, dar și non-tehnologice, organizaționale sau sociale. Inovarea se poate baza pe practici noi, dar și tradiționale, într-un context geografic sau de mediu nou. Grupurile operaționale PEI sunt bazate pe proiecte și abordează o anumită problemă sau oportunitate (practică) ce poate duce la o inovație și poate contribui la îndeplinirea obiectivelor programului. Fiecare grup operațional este format din acei actori-cheie (de exemplu fermieri, consilieri, cercetători, întreprinderi, ONG-uri) care se află în cea mai bună poziție pentru a îndeplini obiectivele proiectului, pentru a împărtăși experiențele legate de punerea în aplicare și pentru a difuza rezultatele pe scară largă. Abordarea grupului operațional utilizează în mod optim diferite tipuri de cunoștințe (practice, științifice, tehnice, organizaționale etc.) într-un mod interactiv. O abordare practică ce sprijină acest lucru este „brokerajul inovațional”. Regulamentul oferă patru posibilități de finanțare a brokerajului inovațional</w:t>
                            </w:r>
                            <w:r>
                              <w:rPr>
                                <w:sz w:val="18"/>
                                <w:szCs w:val="18"/>
                                <w:vertAlign w:val="superscript"/>
                              </w:rPr>
                              <w:t>23</w:t>
                            </w:r>
                            <w:r>
                              <w:rPr>
                                <w:sz w:val="18"/>
                                <w:szCs w:val="18"/>
                              </w:rPr>
                              <w:t xml:space="preserve">. Brokerajul inovațional poate avea un rol important în descoperirea unor idei inovatoare, facilitând instituirea grupurilor operaționale, în special acționând ca intermediar, prin conectarea actorilor din domeniul inovării (fermieri, cercetători, consilieri, ONG-uri etc.) în cadrul proiectelor de inovare interactivă. Scopul unui „broker inovațional” este să descopere inițiative ascendente, să contribuie la rafinarea ideilor inovatoare și să ofere sprijin pentru găsirea de parteneri și de finanțare. Sarcina principală a brokerului este de a contribui la pregătirea unei propuneri solide de proiect inovator.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6B04B" id="Rectangle: Diagonal Corners Rounded 58" o:spid="_x0000_s1035" style="position:absolute;left:0;text-align:left;margin-left:72.75pt;margin-top:32.4pt;width:446.6pt;height:354.4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501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" adj="-11796480,,5400" path="m280174,l5671820,r,l5671820,4221341v,154736,-125438,280174,-280174,280174l,4501515r,l,280174c,125438,125438,,280174,xe" filled="f" strokecolor="#be4a35" strokeweight="2pt">
                <v:stroke joinstyle="miter"/>
                <v:formulas/>
                <v:path arrowok="t" o:connecttype="custom" o:connectlocs="280174,0;5671820,0;5671820,0;5671820,4221341;5391646,4501515;0,4501515;0,4501515;0,280174;280174,0" o:connectangles="0,0,0,0,0,0,0,0,0" textboxrect="0,0,5671820,4501515"/>
                <v:textbox inset=",,,0">
                  <w:txbxContent>
                    <w:p w:rsidR="008A60B4" w:rsidRPr="002F0ABF" w:rsidRDefault="008A60B4" w:rsidP="00E05D08">
                      <w:pPr>
                        <w:pStyle w:val="HStandard"/>
                        <w:rPr>
                          <w:sz w:val="18"/>
                          <w:szCs w:val="18"/>
                        </w:rPr>
                      </w:pPr>
                      <w:r>
                        <w:rPr>
                          <w:noProof/>
                          <w:lang w:val="en-GB" w:eastAsia="en-GB"/>
                        </w:rPr>
                        <w:drawing>
                          <wp:inline distT="0" distB="0" distL="0" distR="0" wp14:anchorId="401C977E" wp14:editId="23EC9484">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PEI-AGRI face parte din Strategia Europa 2020 de accelerare a inovării la nivelul UE, încurajând un sector agricol și forestier competitiv și durabil care „realizează mai multe cu mai puține resurse”.</w:t>
                      </w:r>
                      <w:r>
                        <w:rPr>
                          <w:sz w:val="18"/>
                          <w:szCs w:val="18"/>
                        </w:rPr>
                        <w:t xml:space="preserve"> PEI-AGRI contribuie la asigurarea unei aprovizionări constante cu alimente, hrană pentru animale și biomateriale, în armonie cu resursele naturale esențiale de care depinde agricultura. PEI-AGRI reunește actori ai inovării (fermieri, consilieri, cercetători, întreprinderi, ONG-uri etc.) la nivelul UE și în cadrul programelor de dezvoltare rurală, sub formă de grupuri operaționale. Astfel de inovări pot fi tehnologice, dar și non-tehnologice, organizaționale sau sociale. Inovarea se poate baza pe practici noi, dar și tradiționale, într-un context geografic sau de mediu nou. Grupurile operaționale PEI sunt bazate pe proiecte și abordează o anumită problemă sau oportunitate (practică) ce poate duce la o inovație și poate contribui la îndeplinirea obiectivelor programului. Fiecare grup operațional este format din acei actori-cheie (de exemplu fermieri, consilieri, cercetători, întreprinderi, ONG-uri) care se află în cea mai bună poziție pentru a îndeplini obiectivele proiectului, pentru a împărtăși experiențele legate de punerea în aplicare și pentru a difuza rezultatele pe scară largă. Abordarea grupului operațional utilizează în mod optim diferite tipuri de cunoștințe (practice, științifice, tehnice, organizaționale etc.) într-un mod interactiv. O abordare practică ce sprijină acest lucru este „brokerajul inovațional”. Regulamentul oferă patru posibilități de finanțare a brokerajului inovațional</w:t>
                      </w:r>
                      <w:r>
                        <w:rPr>
                          <w:sz w:val="18"/>
                          <w:szCs w:val="18"/>
                          <w:vertAlign w:val="superscript"/>
                        </w:rPr>
                        <w:t>23</w:t>
                      </w:r>
                      <w:r>
                        <w:rPr>
                          <w:sz w:val="18"/>
                          <w:szCs w:val="18"/>
                        </w:rPr>
                        <w:t xml:space="preserve">. Brokerajul inovațional poate avea un rol important în descoperirea unor idei inovatoare, facilitând instituirea grupurilor operaționale, în special acționând ca intermediar, prin conectarea actorilor din domeniul inovării (fermieri, cercetători, consilieri, ONG-uri etc.) în cadrul proiectelor de inovare interactivă. Scopul unui „broker inovațional” este să descopere inițiative ascendente, să contribuie la rafinarea ideilor inovatoare și să ofere sprijin pentru găsirea de parteneri și de finanțare. Sarcina principală a brokerului este de a contribui la pregătirea unei propuneri solide de proiect inovator.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Alte măsuri</w:t>
      </w:r>
      <w:r>
        <w:rPr>
          <w:rFonts w:eastAsia="Times New Roman" w:cs="Times New Roman"/>
          <w:szCs w:val="20"/>
          <w:shd w:val="clear" w:color="auto" w:fill="FFFFFF"/>
          <w:vertAlign w:val="superscript"/>
          <w:lang w:eastAsia="de-DE"/>
        </w:rPr>
        <w:footnoteReference w:id="24"/>
      </w:r>
      <w:r>
        <w:rPr>
          <w:szCs w:val="20"/>
          <w:shd w:val="clear" w:color="auto" w:fill="FFFFFF"/>
        </w:rPr>
        <w:t xml:space="preserve"> care menționează în mod specific inovarea sunt, de exemplu:</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instituirea de grupuri și organizații de producători, caz în care activitățile includ, printre altele, „organizarea și facilitarea proceselor de inovare”</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(M</w:t>
      </w:r>
      <w:r w:rsidRPr="00FA63BD">
        <w:rPr>
          <w:szCs w:val="20"/>
          <w:shd w:val="clear" w:color="auto" w:fill="FFFFFF"/>
        </w:rPr>
        <w:t>9</w:t>
      </w:r>
      <w:r>
        <w:rPr>
          <w:szCs w:val="20"/>
          <w:shd w:val="clear" w:color="auto" w:fill="FFFFFF"/>
        </w:rPr>
        <w:t>);</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inovarea este unul dintre cele șapte principii ale LEADER/DLRC</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(M</w:t>
      </w:r>
      <w:r w:rsidRPr="00FA63BD">
        <w:rPr>
          <w:szCs w:val="20"/>
          <w:shd w:val="clear" w:color="auto" w:fill="FFFFFF"/>
        </w:rPr>
        <w:t>19</w:t>
      </w:r>
      <w:r>
        <w:rPr>
          <w:szCs w:val="20"/>
          <w:shd w:val="clear" w:color="auto" w:fill="FFFFFF"/>
        </w:rPr>
        <w:t>).</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Fiecare măsură/submăsură din cadrul PDR are, în principiu, potențialul de a stimula inovarea. </w:t>
      </w:r>
      <w:r>
        <w:rPr>
          <w:szCs w:val="20"/>
          <w:shd w:val="clear" w:color="auto" w:fill="FFFFFF"/>
        </w:rPr>
        <w:t xml:space="preserve">Abordarea specifică în privința inovării aleasă de PDR este exprimată în criteriile de eligibilitate și de selecție pentru proiectele de inovare și în combinația de măsuri de sprijinire a inovării din cadrul ariilor de intervenție (acțiuni legate de cunoaștere, servicii de consiliere, cooperare, investiții, colaborare în rețea etc.). </w:t>
      </w:r>
      <w:r>
        <w:t xml:space="preserve">Pentru a promova inovarea, autoritățile de management pot utiliza diverse abordări de organizare și combinare a acestor măsuri moderate (de exemplu măsurile </w:t>
      </w:r>
      <w:r w:rsidRPr="00FA63BD">
        <w:t>1</w:t>
      </w:r>
      <w:r>
        <w:t xml:space="preserve">, </w:t>
      </w:r>
      <w:r w:rsidRPr="00FA63BD">
        <w:t>2</w:t>
      </w:r>
      <w:r>
        <w:t xml:space="preserve"> și </w:t>
      </w:r>
      <w:r w:rsidRPr="00FA63BD">
        <w:t>16</w:t>
      </w:r>
      <w:r>
        <w:t xml:space="preserve">) și măsuri radicale </w:t>
      </w:r>
      <w:r>
        <w:rPr>
          <w:szCs w:val="20"/>
          <w:shd w:val="clear" w:color="auto" w:fill="FFFFFF"/>
        </w:rPr>
        <w:t>(sprijinirea investițiilor, dezvoltarea teritorială, marketing, mediu, natură etc.).</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Pot apărea contribuții secundare ale inovațiilor la alte arii de intervenție.</w:t>
      </w:r>
      <w:r>
        <w:rPr>
          <w:szCs w:val="20"/>
          <w:shd w:val="clear" w:color="auto" w:fill="FFFFFF"/>
        </w:rPr>
        <w:t xml:space="preserve"> De exemplu, operațiunile de cooperare programate în cadrul ariei de intervenție </w:t>
      </w:r>
      <w:r w:rsidRPr="00FA63BD">
        <w:rPr>
          <w:szCs w:val="20"/>
          <w:shd w:val="clear" w:color="auto" w:fill="FFFFFF"/>
        </w:rPr>
        <w:t>2</w:t>
      </w:r>
      <w:r>
        <w:rPr>
          <w:szCs w:val="20"/>
          <w:shd w:val="clear" w:color="auto" w:fill="FFFFFF"/>
        </w:rPr>
        <w:t xml:space="preserve">A ar putea genera o abordare inovatoare pentru sporirea biodiversității și, prin urmare, ar putea prezenta contribuții secundare la aria de intervenție </w:t>
      </w:r>
      <w:r w:rsidRPr="00FA63BD">
        <w:rPr>
          <w:szCs w:val="20"/>
          <w:shd w:val="clear" w:color="auto" w:fill="FFFFFF"/>
        </w:rPr>
        <w:t>4</w:t>
      </w:r>
      <w:r>
        <w:rPr>
          <w:szCs w:val="20"/>
          <w:shd w:val="clear" w:color="auto" w:fill="FFFFFF"/>
        </w:rPr>
        <w:t xml:space="preserve">A. De asemenea, acțiunile inovatoare ale unui grup operațional ar putea dezvolta o nouă tehnică ce </w:t>
      </w:r>
      <w:r>
        <w:rPr>
          <w:szCs w:val="20"/>
          <w:shd w:val="clear" w:color="auto" w:fill="FFFFFF"/>
        </w:rPr>
        <w:lastRenderedPageBreak/>
        <w:t xml:space="preserve">contribuie la reducerea daunelor provocate de eroziunea solului cauzată de producția agricolă primară (programată în cadrul ariei de intervenție </w:t>
      </w:r>
      <w:r w:rsidRPr="00FA63BD">
        <w:rPr>
          <w:szCs w:val="20"/>
          <w:shd w:val="clear" w:color="auto" w:fill="FFFFFF"/>
        </w:rPr>
        <w:t>4</w:t>
      </w:r>
      <w:r>
        <w:rPr>
          <w:szCs w:val="20"/>
          <w:shd w:val="clear" w:color="auto" w:fill="FFFFFF"/>
        </w:rPr>
        <w:t xml:space="preserve">C). Însă acest lucru sporește, de asemenea, competitivitatea și accesul pe piețe (o contribuție secundară la aria de intervenție </w:t>
      </w:r>
      <w:r w:rsidRPr="00FA63BD">
        <w:rPr>
          <w:szCs w:val="20"/>
          <w:shd w:val="clear" w:color="auto" w:fill="FFFFFF"/>
        </w:rPr>
        <w:t>2</w:t>
      </w:r>
      <w:r>
        <w:rPr>
          <w:szCs w:val="20"/>
          <w:shd w:val="clear" w:color="auto" w:fill="FFFFFF"/>
        </w:rPr>
        <w:t>A).</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Colaborarea în rețea în contextul politicii de dezvoltare rurală are un rol important în stimularea inovării:</w:t>
      </w:r>
    </w:p>
    <w:p w:rsidR="00A45935" w:rsidRPr="0081188E" w:rsidRDefault="00A45935" w:rsidP="001744D0">
      <w:pPr>
        <w:pStyle w:val="Hlistbullet"/>
      </w:pPr>
      <w:r>
        <w:rPr>
          <w:b/>
          <w:bCs/>
          <w:shd w:val="clear" w:color="auto" w:fill="FFFFFF"/>
        </w:rPr>
        <w:t>Rețeaua PEI</w:t>
      </w:r>
      <w:r>
        <w:rPr>
          <w:shd w:val="clear" w:color="auto" w:fill="FFFFFF"/>
        </w:rPr>
        <w:t xml:space="preserve"> este un nou mecanism de colaborare în rețea pentru perioada </w:t>
      </w:r>
      <w:r w:rsidRPr="00FA63BD">
        <w:rPr>
          <w:shd w:val="clear" w:color="auto" w:fill="FFFFFF"/>
        </w:rPr>
        <w:t>2014</w:t>
      </w:r>
      <w:r>
        <w:rPr>
          <w:shd w:val="clear" w:color="auto" w:fill="FFFFFF"/>
        </w:rPr>
        <w:t>-</w:t>
      </w:r>
      <w:r w:rsidRPr="00FA63BD">
        <w:rPr>
          <w:shd w:val="clear" w:color="auto" w:fill="FFFFFF"/>
        </w:rPr>
        <w:t>2020</w:t>
      </w:r>
      <w:r>
        <w:rPr>
          <w:shd w:val="clear" w:color="auto" w:fill="FFFFFF"/>
        </w:rPr>
        <w:t>, creat în mod specific pentru a sprijini PEI-AGRI</w:t>
      </w:r>
      <w:r>
        <w:rPr>
          <w:rFonts w:cs="Arial"/>
          <w:vertAlign w:val="superscript"/>
        </w:rPr>
        <w:footnoteReference w:id="27"/>
      </w:r>
      <w:r>
        <w:rPr>
          <w:shd w:val="clear" w:color="auto" w:fill="FFFFFF"/>
        </w:rPr>
        <w:t xml:space="preserve"> - Parteneriatul european pentru inovare privind productivitatea și durabilitatea agriculturii. Obiectivele principale ale rețelei PEI sunt de a conecta grupurile operaționale PEI, de a facilita schimbul de cunoștințe, expertiză și bune practici și de a stabili un dialog între comunitățile agricole și de cercetare. Rețeaua PEI-AGRI este gestionată de Comisia Europeană (DG Agricultură și Dezvoltare Rurală) cu sprijinul punctului de servicii. Echipa punctului de servicii facilitează activitățile de colaborare în rețea, sporind comunicarea și partajarea și schimbul de cunoștințe prin intermediul conferințelor, al grupurilor de reflecție, al atelierelor, al seminariilor și al publicațiilor. Scopul principal este de a stimula interacțiunea dintre toți actorii implicați în PEI-AGRI: fermieri, cercetători, consilieri, ONG-uri, întreprinderi, autorități publice etc. O platformă web interactivă PEI sprijină funcțiile de colaborare în rețea. Această platformă permite colaborarea în rețea a tuturor părților interesate în ceea ce privește inovarea, în special a grupurilor operaționale, a serviciilor de consiliere, a cercetătorilor, a fermierilor și a altor părți interesate de procesul de schimb de cunoștințe</w:t>
      </w:r>
      <w:r>
        <w:t>.</w:t>
      </w:r>
    </w:p>
    <w:p w:rsidR="00EA0974" w:rsidRDefault="00A45935" w:rsidP="001744D0">
      <w:pPr>
        <w:pStyle w:val="Hlistbullet"/>
        <w:rPr>
          <w:shd w:val="clear" w:color="auto" w:fill="FFFFFF"/>
        </w:rPr>
      </w:pPr>
      <w:r>
        <w:rPr>
          <w:b/>
          <w:bCs/>
          <w:shd w:val="clear" w:color="auto" w:fill="FFFFFF"/>
        </w:rPr>
        <w:t xml:space="preserve">Rețelele naționale de dezvoltare rurală </w:t>
      </w:r>
      <w:r>
        <w:rPr>
          <w:shd w:val="clear" w:color="auto" w:fill="FFFFFF"/>
        </w:rPr>
        <w:t>(RNDR) încurajează inovarea în agricultură, producția alimentară, silvicultură și zonele rurale</w:t>
      </w:r>
      <w:r>
        <w:rPr>
          <w:rFonts w:cs="Arial"/>
          <w:vertAlign w:val="superscript"/>
        </w:rPr>
        <w:footnoteReference w:id="28"/>
      </w:r>
      <w:r>
        <w:rPr>
          <w:shd w:val="clear" w:color="auto" w:fill="FFFFFF"/>
        </w:rPr>
        <w:t>. Rețelele naționale sunt susținute la nivelul UE de către Rețeaua europeană de dezvoltare rurală (REDR). RNDR-urile pot acționa ca „brokeri inovaționali”</w:t>
      </w:r>
      <w:r>
        <w:rPr>
          <w:rFonts w:cs="Arial"/>
          <w:shd w:val="clear" w:color="auto" w:fill="FFFFFF"/>
          <w:vertAlign w:val="superscript"/>
        </w:rPr>
        <w:footnoteReference w:id="29"/>
      </w:r>
      <w:r>
        <w:rPr>
          <w:shd w:val="clear" w:color="auto" w:fill="FFFFFF"/>
        </w:rPr>
        <w:t>, ceea ce necesită o legătură</w:t>
      </w:r>
      <w:r>
        <w:t xml:space="preserve"> profundă și o înțelegere aprofundată a sectorului agricol, precum și aptitudini de comunicare foarte dezvoltate. </w:t>
      </w:r>
      <w:r>
        <w:rPr>
          <w:shd w:val="clear" w:color="auto" w:fill="FFFFFF"/>
        </w:rPr>
        <w:t>RNDR-urile interacționează cu rețeaua PEI pentru a se inspira și a efectua schimburi de informații și abordări pentru stimularea inovării. Pe lângă colectarea de bune practici și exemple și facilitarea schimburilor tematice între părțile interesate din domeniul dezvoltării rurale, RNDR-urile au, de asemenea, o sarcină dedicată de a conecta într-o rețea serviciile de sprijinire a inovării și serviciile de consiliere</w:t>
      </w:r>
      <w:r>
        <w:rPr>
          <w:rFonts w:eastAsia="Calibri" w:cs="Arial"/>
          <w:shd w:val="clear" w:color="auto" w:fill="FFFFFF"/>
          <w:vertAlign w:val="superscript"/>
        </w:rPr>
        <w:footnoteReference w:id="30"/>
      </w:r>
      <w:r>
        <w:rPr>
          <w:shd w:val="clear" w:color="auto" w:fill="FFFFFF"/>
        </w:rPr>
        <w:t>. Acest lucru contribuie la captarea ideilor inovatoare provenite de la practicieni.</w:t>
      </w:r>
    </w:p>
    <w:p w:rsidR="00A45935" w:rsidRPr="00EA0974" w:rsidRDefault="00A45935" w:rsidP="009B603C">
      <w:pPr>
        <w:pStyle w:val="HHeading3"/>
        <w:spacing w:line="280" w:lineRule="exact"/>
        <w:rPr>
          <w:shd w:val="clear" w:color="auto" w:fill="FFFFFF"/>
        </w:rPr>
      </w:pPr>
      <w:bookmarkStart w:id="24" w:name="_Toc508889174"/>
      <w:r>
        <w:t>Elemente de evaluare comune pentru inovare</w:t>
      </w:r>
      <w:bookmarkEnd w:id="24"/>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bCs/>
          <w:szCs w:val="20"/>
          <w:shd w:val="clear" w:color="auto" w:fill="FFFFFF"/>
        </w:rPr>
        <w:t>Planul de evaluare</w:t>
      </w:r>
      <w:r>
        <w:rPr>
          <w:rFonts w:eastAsia="Times New Roman" w:cs="Times New Roman"/>
          <w:szCs w:val="20"/>
          <w:shd w:val="clear" w:color="auto" w:fill="FFFFFF"/>
          <w:vertAlign w:val="superscript"/>
          <w:lang w:eastAsia="de-DE"/>
        </w:rPr>
        <w:footnoteReference w:id="31"/>
      </w:r>
      <w:r>
        <w:rPr>
          <w:b/>
          <w:bCs/>
          <w:szCs w:val="20"/>
          <w:shd w:val="clear" w:color="auto" w:fill="FFFFFF"/>
        </w:rPr>
        <w:t xml:space="preserve"> inclus în PDR este punctul de plecare al evaluărilor.</w:t>
      </w:r>
      <w:r>
        <w:rPr>
          <w:b/>
          <w:szCs w:val="20"/>
          <w:shd w:val="clear" w:color="auto" w:fill="FFFFFF"/>
        </w:rPr>
        <w:t xml:space="preserve"> </w:t>
      </w:r>
      <w:r>
        <w:rPr>
          <w:szCs w:val="20"/>
          <w:shd w:val="clear" w:color="auto" w:fill="FFFFFF"/>
        </w:rPr>
        <w:t>Planul de evaluare indică evaluarea inovării printre subiectele și activitățile de evaluare legate de aspecte transversale. Raportarea acestor activități și constatări conexe este inclusă în rapoartele anuale de punere în aplicare</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bCs/>
          <w:szCs w:val="20"/>
          <w:shd w:val="clear" w:color="auto" w:fill="FFFFFF"/>
        </w:rPr>
        <w:t>Sistemul comun de monitorizare și evaluare (SCME)</w:t>
      </w:r>
      <w:r>
        <w:rPr>
          <w:szCs w:val="20"/>
          <w:shd w:val="clear" w:color="auto" w:fill="FFFFFF"/>
        </w:rPr>
        <w:t xml:space="preserve"> include elementele de evaluare pentru evaluarea inovării, și anume întrebările de evaluare comune (IEC), criteriile de apreciere și indicatorii:</w:t>
      </w:r>
    </w:p>
    <w:p w:rsidR="00A45935" w:rsidRPr="002E1723" w:rsidRDefault="00A45935" w:rsidP="00624393">
      <w:pPr>
        <w:pStyle w:val="HStandard"/>
      </w:pPr>
      <w:r>
        <w:t xml:space="preserve">La </w:t>
      </w:r>
      <w:r>
        <w:rPr>
          <w:b/>
          <w:bCs/>
        </w:rPr>
        <w:t>nivelul ariei de intervenție</w:t>
      </w:r>
      <w:r>
        <w:t xml:space="preserve">, există două IEC-uri legate de inovare referitoare la obiectivele ariei de intervenție </w:t>
      </w:r>
      <w:r w:rsidRPr="00FA63BD">
        <w:t>1</w:t>
      </w:r>
      <w:r>
        <w:t xml:space="preserve">A și ale ariei de intervenție </w:t>
      </w:r>
      <w:r w:rsidRPr="00FA63BD">
        <w:t>1</w:t>
      </w:r>
      <w:r>
        <w:t>B. Aceste întrebări surprind contribuțiile intervențiilor în ceea ce privește realizările și rezultatele preconizate:</w:t>
      </w:r>
    </w:p>
    <w:p w:rsidR="00A45935" w:rsidRPr="00EA0974" w:rsidRDefault="00A45935" w:rsidP="00624393">
      <w:pPr>
        <w:pStyle w:val="Hlistbullet"/>
      </w:pPr>
      <w:r>
        <w:lastRenderedPageBreak/>
        <w:t xml:space="preserve">IEC nr. </w:t>
      </w:r>
      <w:r w:rsidRPr="00FA63BD">
        <w:t>1</w:t>
      </w:r>
      <w:r>
        <w:t xml:space="preserve">: „În ce măsură au sprijinit intervențiile PDR inovarea, cooperarea și dezvoltarea bazei de cunoștințe în zonele rurale?” </w:t>
      </w:r>
    </w:p>
    <w:p w:rsidR="00A45935" w:rsidRPr="002E1723" w:rsidRDefault="00A45935" w:rsidP="00624393">
      <w:pPr>
        <w:pStyle w:val="Hlistbullet"/>
      </w:pPr>
      <w:r>
        <w:t xml:space="preserve">IEC nr. </w:t>
      </w:r>
      <w:r w:rsidRPr="00FA63BD">
        <w:t>2</w:t>
      </w:r>
      <w:r>
        <w:t xml:space="preserve">: „În ce măsură au sprijinit intervențiile PDR consolidarea legăturilor dintre agricultură, producția alimentară și silvicultură, pe de o parte, și cercetare și inovare, pe de altă parte, inclusiv în scopul unei gestionări mai bune a mediului și al unei performanțe de mediu îmbunătățite?” </w:t>
      </w:r>
    </w:p>
    <w:p w:rsidR="00A45935" w:rsidRPr="002E1723" w:rsidRDefault="00A45935" w:rsidP="00624393">
      <w:pPr>
        <w:pStyle w:val="HStandard"/>
      </w:pPr>
      <w:r>
        <w:t xml:space="preserve">IEC nr. </w:t>
      </w:r>
      <w:r w:rsidRPr="00FA63BD">
        <w:t>21</w:t>
      </w:r>
      <w:r>
        <w:t xml:space="preserve">: „În ce măsură a contribuit rețeaua națională de dezvoltare rurală la îndeplinirea obiectivelor prevăzute la articolul </w:t>
      </w:r>
      <w:r w:rsidRPr="00FA63BD">
        <w:t>54</w:t>
      </w:r>
      <w:r>
        <w:t xml:space="preserve"> alineatul (</w:t>
      </w:r>
      <w:r w:rsidRPr="00FA63BD">
        <w:t>2</w:t>
      </w:r>
      <w:r>
        <w:t xml:space="preserve">) din Regulamentul (UE) nr. </w:t>
      </w:r>
      <w:r w:rsidRPr="00FA63BD">
        <w:t>1305</w:t>
      </w:r>
      <w:r>
        <w:t>/</w:t>
      </w:r>
      <w:r w:rsidRPr="00FA63BD">
        <w:t>2013</w:t>
      </w:r>
      <w:r>
        <w:t xml:space="preserve">?”. Se referă la </w:t>
      </w:r>
      <w:r>
        <w:rPr>
          <w:b/>
          <w:bCs/>
        </w:rPr>
        <w:t>alte aspecte ale PDR</w:t>
      </w:r>
      <w:r>
        <w:t xml:space="preserve">, în special pentru a surprinde realizările și rezultatele preconizate obținute de RNDR-uri. Această IEC este relevantă pentru inovare, deoarece se referă la obiectivul prevăzut la articolul </w:t>
      </w:r>
      <w:r w:rsidRPr="00FA63BD">
        <w:t>54</w:t>
      </w:r>
      <w:r>
        <w:t xml:space="preserve"> alineatul (</w:t>
      </w:r>
      <w:r w:rsidRPr="00FA63BD">
        <w:t>2</w:t>
      </w:r>
      <w:r>
        <w:t>) litera (d), „încurajarea inovării în agricultură, producția alimentară, silvicultură și zonele rurale”.</w:t>
      </w:r>
    </w:p>
    <w:p w:rsidR="00A45935" w:rsidRPr="001A2A93" w:rsidRDefault="00A45935" w:rsidP="00624393">
      <w:pPr>
        <w:pStyle w:val="HStandard"/>
      </w:pPr>
      <w:r>
        <w:t xml:space="preserve">La </w:t>
      </w:r>
      <w:r>
        <w:rPr>
          <w:b/>
          <w:bCs/>
        </w:rPr>
        <w:t>nivelul obiectivelor UE</w:t>
      </w:r>
      <w:r>
        <w:t xml:space="preserve">, există două IEC-uri legate de inovare pentru a surprinde contribuția programelor din punctul de vedere al impacturilor preconizate. </w:t>
      </w:r>
    </w:p>
    <w:p w:rsidR="00A45935" w:rsidRPr="001A2A93" w:rsidRDefault="00A45935" w:rsidP="00624393">
      <w:pPr>
        <w:pStyle w:val="Hlistbullet"/>
      </w:pPr>
      <w:r>
        <w:t xml:space="preserve">IEC nr. </w:t>
      </w:r>
      <w:r w:rsidRPr="00FA63BD">
        <w:t>23</w:t>
      </w:r>
      <w:r>
        <w:t xml:space="preserve"> este legată de îndeplinirea obiectivului principal al UE: „În ce măsură a contribuit PDR la îndeplinirea obiectivului principal al Strategiei </w:t>
      </w:r>
      <w:r w:rsidRPr="00FA63BD">
        <w:t>2020</w:t>
      </w:r>
      <w:r>
        <w:t xml:space="preserve"> a UE de a investi </w:t>
      </w:r>
      <w:r w:rsidRPr="00FA63BD">
        <w:t>3</w:t>
      </w:r>
      <w:r>
        <w:t xml:space="preserve"> % din PIB-ul UE în cercetare și dezvoltare și în inovare?” </w:t>
      </w:r>
    </w:p>
    <w:p w:rsidR="00A45935" w:rsidRPr="001A2A93" w:rsidRDefault="00A45935" w:rsidP="00624393">
      <w:pPr>
        <w:pStyle w:val="Hlistbullet"/>
      </w:pPr>
      <w:r>
        <w:t xml:space="preserve">IEC nr. </w:t>
      </w:r>
      <w:r w:rsidRPr="00FA63BD">
        <w:t>30</w:t>
      </w:r>
      <w:r>
        <w:t xml:space="preserve"> consideră că inovarea este un obiectiv transversal: „În ce măsură a contribuit PDR la încurajarea inovării?” </w:t>
      </w:r>
    </w:p>
    <w:p w:rsidR="00A45935" w:rsidRPr="00E05D08" w:rsidRDefault="00A45935" w:rsidP="00E05D08">
      <w:pPr>
        <w:spacing w:after="120" w:line="280" w:lineRule="atLeast"/>
        <w:mirrorIndents/>
        <w:rPr>
          <w:rFonts w:eastAsia="Times New Roman" w:cs="Times New Roman"/>
          <w:szCs w:val="20"/>
          <w:shd w:val="clear" w:color="auto" w:fill="FFFFFF"/>
        </w:rPr>
      </w:pPr>
      <w:r>
        <w:rPr>
          <w:szCs w:val="20"/>
          <w:shd w:val="clear" w:color="auto" w:fill="FFFFFF"/>
        </w:rPr>
        <w:t xml:space="preserve">Figura următoare prezintă modul în care elementele de evaluare comune (IEC, criteriile de apreciere și indicatorii) sunt corelate cu cadrul politic la diferitele niveluri. Există șapte </w:t>
      </w:r>
      <w:r>
        <w:rPr>
          <w:b/>
          <w:bCs/>
          <w:szCs w:val="20"/>
          <w:shd w:val="clear" w:color="auto" w:fill="FFFFFF"/>
        </w:rPr>
        <w:t>indicatori comuni</w:t>
      </w:r>
      <w:r>
        <w:rPr>
          <w:szCs w:val="20"/>
          <w:shd w:val="clear" w:color="auto" w:fill="FFFFFF"/>
        </w:rPr>
        <w:t xml:space="preserve"> asociați întrebărilor de evaluare comune pentru inovare: cinci indicatori de realizare și doi indicatori țintă</w:t>
      </w:r>
      <w:r>
        <w:rPr>
          <w:rFonts w:eastAsia="Times New Roman" w:cs="Times New Roman"/>
          <w:szCs w:val="20"/>
          <w:shd w:val="clear" w:color="auto" w:fill="FFFFFF"/>
          <w:vertAlign w:val="superscript"/>
          <w:lang w:eastAsia="de-DE"/>
        </w:rPr>
        <w:footnoteReference w:id="33"/>
      </w:r>
      <w:r>
        <w:rPr>
          <w:szCs w:val="20"/>
          <w:shd w:val="clear" w:color="auto" w:fill="FFFFFF"/>
        </w:rPr>
        <w:t>.</w:t>
      </w:r>
    </w:p>
    <w:p w:rsidR="00A45935" w:rsidRPr="00151D94" w:rsidRDefault="00EA0974" w:rsidP="00230C31">
      <w:pPr>
        <w:pStyle w:val="HHeadingfigures"/>
      </w:pPr>
      <w:bookmarkStart w:id="25" w:name="_Toc508889200"/>
      <w:r>
        <w:t>Elemente de evaluare comune pentru evaluarea inovării</w:t>
      </w:r>
      <w:bookmarkEnd w:id="25"/>
      <w:r>
        <w:t xml:space="preserve"> </w:t>
      </w:r>
    </w:p>
    <w:p w:rsidR="00A45935" w:rsidRPr="00E05D08" w:rsidRDefault="005F462B" w:rsidP="00E05D08">
      <w:pPr>
        <w:spacing w:before="60" w:after="140" w:line="220" w:lineRule="atLeast"/>
        <w:jc w:val="center"/>
        <w:rPr>
          <w:rFonts w:eastAsia="Times New Roman" w:cs="Arial"/>
          <w:szCs w:val="20"/>
          <w:shd w:val="clear" w:color="auto" w:fill="FFFFFF"/>
          <w:lang w:eastAsia="de-DE"/>
        </w:rPr>
      </w:pPr>
      <w:r>
        <w:rPr>
          <w:noProof/>
          <w:lang w:val="en-GB" w:eastAsia="en-GB"/>
        </w:rPr>
        <w:drawing>
          <wp:inline distT="0" distB="0" distL="0" distR="0" wp14:anchorId="20FA7701" wp14:editId="43B43129">
            <wp:extent cx="5731510" cy="331301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313015"/>
                    </a:xfrm>
                    <a:prstGeom prst="rect">
                      <a:avLst/>
                    </a:prstGeom>
                  </pic:spPr>
                </pic:pic>
              </a:graphicData>
            </a:graphic>
          </wp:inline>
        </w:drawing>
      </w: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 xml:space="preserve">Sursă: Serviciul european de asistență pentru evaluare în domeniul dezvoltării rurale, </w:t>
      </w:r>
      <w:r w:rsidRPr="00FA63BD">
        <w:rPr>
          <w:i/>
          <w:sz w:val="16"/>
          <w:szCs w:val="16"/>
        </w:rPr>
        <w:t>2017</w:t>
      </w:r>
    </w:p>
    <w:p w:rsidR="00690E70" w:rsidRDefault="00690E70">
      <w:pPr>
        <w:jc w:val="left"/>
        <w:rPr>
          <w:rFonts w:eastAsia="Times New Roman" w:cs="Times New Roman"/>
          <w:b/>
          <w:szCs w:val="20"/>
        </w:rPr>
      </w:pPr>
      <w:bookmarkStart w:id="26" w:name="_Toc493151897"/>
      <w:bookmarkStart w:id="27" w:name="_Toc501382124"/>
      <w:r>
        <w:br w:type="page"/>
      </w:r>
    </w:p>
    <w:p w:rsidR="00A45935" w:rsidRPr="003737FE" w:rsidRDefault="00A45935" w:rsidP="00230C31">
      <w:pPr>
        <w:pStyle w:val="HHeading2"/>
      </w:pPr>
      <w:bookmarkStart w:id="28" w:name="_Toc508889175"/>
      <w:r>
        <w:lastRenderedPageBreak/>
        <w:t>Provocări în ceea ce privește evaluarea inovării</w:t>
      </w:r>
      <w:bookmarkEnd w:id="26"/>
      <w:bookmarkEnd w:id="27"/>
      <w:bookmarkEnd w:id="28"/>
    </w:p>
    <w:p w:rsidR="00A45935" w:rsidRPr="00E05D08" w:rsidRDefault="00A45935" w:rsidP="00E05D08">
      <w:pPr>
        <w:spacing w:after="120" w:line="280" w:lineRule="atLeast"/>
        <w:mirrorIndents/>
        <w:rPr>
          <w:rFonts w:eastAsia="Times New Roman" w:cs="Times New Roman"/>
          <w:szCs w:val="20"/>
        </w:rPr>
      </w:pPr>
      <w:bookmarkStart w:id="29" w:name="_Toc476064466"/>
      <w:bookmarkStart w:id="30" w:name="_Toc476064526"/>
      <w:bookmarkStart w:id="31" w:name="_Toc476064467"/>
      <w:bookmarkStart w:id="32" w:name="_Toc476064527"/>
      <w:bookmarkStart w:id="33" w:name="_Toc476064468"/>
      <w:bookmarkStart w:id="34" w:name="_Toc476064528"/>
      <w:bookmarkStart w:id="35" w:name="_Toc476064469"/>
      <w:bookmarkStart w:id="36" w:name="_Toc476064529"/>
      <w:bookmarkStart w:id="37" w:name="_Toc476064470"/>
      <w:bookmarkStart w:id="38" w:name="_Toc476064530"/>
      <w:bookmarkStart w:id="39" w:name="_Toc476064471"/>
      <w:bookmarkStart w:id="40" w:name="_Toc476064531"/>
      <w:bookmarkStart w:id="41" w:name="_Toc476064472"/>
      <w:bookmarkStart w:id="42" w:name="_Toc476064532"/>
      <w:bookmarkStart w:id="43" w:name="_Toc476064473"/>
      <w:bookmarkStart w:id="44" w:name="_Toc476064533"/>
      <w:bookmarkStart w:id="45" w:name="_Toc476064474"/>
      <w:bookmarkStart w:id="46" w:name="_Toc476064534"/>
      <w:bookmarkStart w:id="47" w:name="_Toc476064475"/>
      <w:bookmarkStart w:id="48" w:name="_Toc476064535"/>
      <w:bookmarkStart w:id="49" w:name="_Toc476064476"/>
      <w:bookmarkStart w:id="50" w:name="_Toc476064536"/>
      <w:bookmarkStart w:id="51" w:name="_Toc476064477"/>
      <w:bookmarkStart w:id="52" w:name="_Toc476064537"/>
      <w:bookmarkStart w:id="53" w:name="_Toc476064478"/>
      <w:bookmarkStart w:id="54" w:name="_Toc476064538"/>
      <w:bookmarkStart w:id="55" w:name="_Toc476064479"/>
      <w:bookmarkStart w:id="56" w:name="_Toc476064539"/>
      <w:bookmarkStart w:id="57" w:name="_Toc476064481"/>
      <w:bookmarkStart w:id="58" w:name="_Toc476064541"/>
      <w:bookmarkStart w:id="59" w:name="_Toc476064482"/>
      <w:bookmarkStart w:id="60" w:name="_Toc476064542"/>
      <w:bookmarkStart w:id="61" w:name="_Toc476064483"/>
      <w:bookmarkStart w:id="62" w:name="_Toc476064543"/>
      <w:bookmarkStart w:id="63" w:name="_Toc476064484"/>
      <w:bookmarkStart w:id="64" w:name="_Toc476064544"/>
      <w:bookmarkStart w:id="65" w:name="_Toc476064485"/>
      <w:bookmarkStart w:id="66" w:name="_Toc476064545"/>
      <w:bookmarkStart w:id="67" w:name="_Toc476064486"/>
      <w:bookmarkStart w:id="68" w:name="_Toc476064546"/>
      <w:bookmarkStart w:id="69" w:name="_Toc476064487"/>
      <w:bookmarkStart w:id="70" w:name="_Toc476064547"/>
      <w:bookmarkStart w:id="71" w:name="_Toc476064488"/>
      <w:bookmarkStart w:id="72" w:name="_Toc476064548"/>
      <w:bookmarkStart w:id="73" w:name="_Toc476064489"/>
      <w:bookmarkStart w:id="74" w:name="_Toc476064549"/>
      <w:bookmarkStart w:id="75" w:name="_Toc476064490"/>
      <w:bookmarkStart w:id="76" w:name="_Toc476064550"/>
      <w:bookmarkStart w:id="77" w:name="_Toc476064491"/>
      <w:bookmarkStart w:id="78" w:name="_Toc47606455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Există mai multe provocări care ar trebui luate în considerare atunci când se realizează evaluarea inovării în PDR-uri.</w:t>
      </w:r>
    </w:p>
    <w:p w:rsidR="00A45935" w:rsidRPr="00E05D08" w:rsidRDefault="00A45935" w:rsidP="00230C31">
      <w:pPr>
        <w:pStyle w:val="HHeading4"/>
        <w:rPr>
          <w:rFonts w:eastAsia="Calibri"/>
        </w:rPr>
      </w:pPr>
      <w:r>
        <w:t xml:space="preserve">Provocări conceptuale </w:t>
      </w:r>
    </w:p>
    <w:p w:rsidR="00A45935" w:rsidRPr="00920CB9" w:rsidRDefault="00A45935" w:rsidP="00576A73">
      <w:pPr>
        <w:pStyle w:val="Hlistbullet"/>
      </w:pPr>
      <w:r>
        <w:rPr>
          <w:b/>
        </w:rPr>
        <w:t>Identificarea clară a subiectului evaluării:</w:t>
      </w:r>
      <w:r>
        <w:t xml:space="preserve"> Pe ce se concentrează evaluarea inovării? </w:t>
      </w:r>
    </w:p>
    <w:p w:rsidR="00A45935" w:rsidRPr="00920CB9" w:rsidRDefault="00A45935" w:rsidP="00576A73">
      <w:pPr>
        <w:pStyle w:val="Hlistbullet"/>
      </w:pPr>
      <w:r>
        <w:rPr>
          <w:b/>
          <w:bCs/>
        </w:rPr>
        <w:t>Cartografierea sistemului de cunoaștere și inovare</w:t>
      </w:r>
      <w:r>
        <w:t>: care sunt componentele, relațiile lor și limitele unui anumit sistem de cunoaștere și inovare din zona rurală care este evaluată? Care este rolul PDR-urilor în cadrul acestui sistem?</w:t>
      </w:r>
      <w:r>
        <w:rPr>
          <w:rFonts w:cs="Arial"/>
          <w:vertAlign w:val="superscript"/>
        </w:rPr>
        <w:footnoteReference w:id="34"/>
      </w:r>
    </w:p>
    <w:p w:rsidR="00A45935" w:rsidRPr="00920CB9" w:rsidRDefault="00A45935" w:rsidP="00576A73">
      <w:pPr>
        <w:pStyle w:val="Hlistbullet"/>
      </w:pPr>
      <w:r>
        <w:rPr>
          <w:b/>
        </w:rPr>
        <w:t>Revizuirea abordării PDR privind inovarea:</w:t>
      </w:r>
      <w:r>
        <w:t xml:space="preserve"> Care este potențialul specific de inovare al unui anumit PDR? Care sunt obiectivele sale? Sunt criteriile de selecție concepute special pentru abordarea inovării?</w:t>
      </w:r>
    </w:p>
    <w:p w:rsidR="00A45935" w:rsidRPr="00B76BA4" w:rsidRDefault="00A45935" w:rsidP="00230C31">
      <w:pPr>
        <w:pStyle w:val="HHeading4"/>
        <w:rPr>
          <w:rFonts w:eastAsia="Calibri"/>
          <w:shd w:val="clear" w:color="auto" w:fill="FFFFFF"/>
        </w:rPr>
      </w:pPr>
      <w:r>
        <w:rPr>
          <w:shd w:val="clear" w:color="auto" w:fill="FFFFFF"/>
        </w:rPr>
        <w:t xml:space="preserve">Provocări legate de sistemul comun de monitorizare și evaluare </w:t>
      </w:r>
    </w:p>
    <w:p w:rsidR="00A45935" w:rsidRPr="000324A5" w:rsidRDefault="00A45935" w:rsidP="00576A73">
      <w:pPr>
        <w:pStyle w:val="Hlistbullet"/>
      </w:pPr>
      <w:r>
        <w:rPr>
          <w:b/>
        </w:rPr>
        <w:t xml:space="preserve">Elaborarea unor elemente de evaluare suplimentare și specifice programului: </w:t>
      </w:r>
      <w:r>
        <w:t xml:space="preserve">cum se concep elementele de evaluare suplimentare și specifice programului legate de evaluarea inovării? </w:t>
      </w:r>
    </w:p>
    <w:p w:rsidR="00A45935" w:rsidRPr="000324A5" w:rsidRDefault="00A45935" w:rsidP="00576A73">
      <w:pPr>
        <w:pStyle w:val="Hlistbullet"/>
        <w:rPr>
          <w:b/>
        </w:rPr>
      </w:pPr>
      <w:r>
        <w:rPr>
          <w:b/>
        </w:rPr>
        <w:t xml:space="preserve">Raportarea rezultatelor: </w:t>
      </w:r>
      <w:r>
        <w:t xml:space="preserve">cum se aliniază procedurile de evaluare la calendarul raportului anual de punere în aplicare din </w:t>
      </w:r>
      <w:r w:rsidRPr="00FA63BD">
        <w:t>2019</w:t>
      </w:r>
      <w:r>
        <w:t xml:space="preserve">, precum și la evaluarea </w:t>
      </w:r>
      <w:r>
        <w:rPr>
          <w:i/>
          <w:iCs/>
        </w:rPr>
        <w:t>ex post</w:t>
      </w:r>
      <w:r>
        <w:t xml:space="preserve"> din </w:t>
      </w:r>
      <w:r w:rsidRPr="00FA63BD">
        <w:t>2024</w:t>
      </w:r>
      <w:r>
        <w:t>?</w:t>
      </w:r>
    </w:p>
    <w:p w:rsidR="00A45935" w:rsidRPr="00E05D08" w:rsidRDefault="00A45935" w:rsidP="00230C31">
      <w:pPr>
        <w:pStyle w:val="HHeading4"/>
        <w:rPr>
          <w:rFonts w:eastAsia="Calibri"/>
          <w:shd w:val="clear" w:color="auto" w:fill="FFFFFF"/>
        </w:rPr>
      </w:pPr>
      <w:r>
        <w:rPr>
          <w:shd w:val="clear" w:color="auto" w:fill="FFFFFF"/>
        </w:rPr>
        <w:t xml:space="preserve">Provocări metodologice </w:t>
      </w:r>
    </w:p>
    <w:p w:rsidR="00A45935" w:rsidRPr="00F8743F" w:rsidRDefault="00A45935" w:rsidP="00576A73">
      <w:pPr>
        <w:pStyle w:val="Hlistbullet"/>
        <w:rPr>
          <w:shd w:val="clear" w:color="auto" w:fill="FFFFFF"/>
        </w:rPr>
      </w:pPr>
      <w:r>
        <w:rPr>
          <w:b/>
          <w:bCs/>
        </w:rPr>
        <w:t>Atribuirea</w:t>
      </w:r>
      <w:r>
        <w:rPr>
          <w:b/>
          <w:bCs/>
          <w:shd w:val="clear" w:color="auto" w:fill="FFFFFF"/>
        </w:rPr>
        <w:t xml:space="preserve"> proceselor de inovare către intervențiile PDR</w:t>
      </w:r>
      <w:r>
        <w:rPr>
          <w:shd w:val="clear" w:color="auto" w:fill="FFFFFF"/>
        </w:rPr>
        <w:t xml:space="preserve">: cum se evaluează măsura în care procesele de inovare generate în zonele rurale pot fi atribuite direct sau indirect intervențiilor PDR? </w:t>
      </w:r>
    </w:p>
    <w:p w:rsidR="00A45935" w:rsidRPr="00F8743F" w:rsidRDefault="00A45935" w:rsidP="00576A73">
      <w:pPr>
        <w:pStyle w:val="Hlistbullet"/>
        <w:rPr>
          <w:shd w:val="clear" w:color="auto" w:fill="FFFFFF"/>
        </w:rPr>
      </w:pPr>
      <w:r>
        <w:rPr>
          <w:b/>
        </w:rPr>
        <w:t>Atribuirea efectelor inovării către rezultatele și impacturile PDR</w:t>
      </w:r>
      <w:r>
        <w:rPr>
          <w:shd w:val="clear" w:color="auto" w:fill="FFFFFF"/>
        </w:rPr>
        <w:t xml:space="preserve">. </w:t>
      </w:r>
    </w:p>
    <w:p w:rsidR="00A45935" w:rsidRPr="00F8743F" w:rsidRDefault="00A45935" w:rsidP="00576A73">
      <w:pPr>
        <w:pStyle w:val="Hlistbullet"/>
        <w:rPr>
          <w:shd w:val="clear" w:color="auto" w:fill="FFFFFF"/>
        </w:rPr>
      </w:pPr>
      <w:r>
        <w:rPr>
          <w:b/>
          <w:bCs/>
          <w:shd w:val="clear" w:color="auto" w:fill="FFFFFF"/>
          <w14:textFill>
            <w14:solidFill>
              <w14:srgbClr w14:val="373737">
                <w14:lumMod w14:val="75000"/>
                <w14:lumMod w14:val="75000"/>
                <w14:lumMod w14:val="75000"/>
              </w14:srgbClr>
            </w14:solidFill>
          </w14:textFill>
        </w:rPr>
        <w:t>Elaborarea unor abordări de evaluare adecvate:</w:t>
      </w:r>
      <w:r>
        <w:rPr>
          <w:shd w:val="clear" w:color="auto" w:fill="FFFFFF"/>
          <w14:textFill>
            <w14:solidFill>
              <w14:srgbClr w14:val="373737">
                <w14:lumMod w14:val="75000"/>
                <w14:lumMod w14:val="75000"/>
                <w14:lumMod w14:val="75000"/>
              </w14:srgbClr>
            </w14:solidFill>
          </w14:textFill>
        </w:rPr>
        <w:t xml:space="preserve"> cum ar trebui triangulate și combinate metodele cantitative și calitative pentru a interpreta constatările evaluării și pentru a contribui cu informații la concluzii și recomandări? </w:t>
      </w:r>
    </w:p>
    <w:p w:rsidR="00A45935" w:rsidRPr="00E05D08" w:rsidRDefault="00A45935" w:rsidP="00230C31">
      <w:pPr>
        <w:pStyle w:val="HHeading4"/>
        <w:rPr>
          <w:rFonts w:eastAsia="Calibri"/>
          <w:shd w:val="clear" w:color="auto" w:fill="FFFFFF"/>
        </w:rPr>
      </w:pPr>
      <w:r>
        <w:rPr>
          <w:shd w:val="clear" w:color="auto" w:fill="FFFFFF"/>
        </w:rPr>
        <w:t>Provocări organizaționale</w:t>
      </w:r>
    </w:p>
    <w:p w:rsidR="00A45935" w:rsidRPr="00D55226" w:rsidRDefault="00A45935" w:rsidP="00576A73">
      <w:pPr>
        <w:pStyle w:val="Hlistbullet"/>
        <w:rPr>
          <w:rFonts w:eastAsia="Calibri"/>
        </w:rPr>
      </w:pPr>
      <w:r>
        <w:rPr>
          <w:b/>
          <w:bCs/>
        </w:rPr>
        <w:t>Asigurarea unei gestionări eficiente și eficace a datelor</w:t>
      </w:r>
      <w:r>
        <w:t xml:space="preserve">: cum ar trebui gestionate, colectate și analizate datele referitoare la indicatorii comuni și suplimentari, mai ales atunci când sarcina gestionării măsurilor de sprijinire a inovării revine diferitor organisme responsabile? </w:t>
      </w:r>
    </w:p>
    <w:p w:rsidR="00A45935" w:rsidRPr="00D55226" w:rsidRDefault="00A45935" w:rsidP="00576A73">
      <w:pPr>
        <w:pStyle w:val="Hlistbullet"/>
        <w:rPr>
          <w:rFonts w:eastAsia="Calibri"/>
        </w:rPr>
      </w:pPr>
      <w:r>
        <w:rPr>
          <w:b/>
        </w:rPr>
        <w:t>Coordonarea părților interesate implicate</w:t>
      </w:r>
      <w:r>
        <w:t>: cum ar trebui instituită o procedură comună și realizată o înțelegere comună între autoritățile de management și diferitele părți interesate implicate în evaluarea inovării (de exemplu, GAL-urile, grupurile operaționale PEI, fermierii/silvicultorii, consilierii, cercetătorii)?</w:t>
      </w:r>
    </w:p>
    <w:p w:rsidR="00A45935" w:rsidRDefault="00A45935" w:rsidP="00576A73">
      <w:pPr>
        <w:pStyle w:val="Hlistbullet"/>
        <w:rPr>
          <w:rFonts w:eastAsia="Calibri"/>
        </w:rPr>
      </w:pPr>
      <w:r>
        <w:rPr>
          <w:b/>
          <w:bCs/>
        </w:rPr>
        <w:t>Utilizarea constatărilor evaluării pentru îmbunătățirea elaborării și punerii în aplicare a politicilor:</w:t>
      </w:r>
      <w:r>
        <w:t xml:space="preserve"> cum ar trebui elaborate concluzii și recomandări de monitorizare pe baza constatărilor </w:t>
      </w:r>
      <w:r>
        <w:lastRenderedPageBreak/>
        <w:t>evaluării, în vederea îmbunătățirii programului PDR, a transparenței acestuia, a asumării răspunderii și a învățării comune în rândul părților interesate din cadrul PDR?</w:t>
      </w:r>
    </w:p>
    <w:p w:rsidR="00230C31" w:rsidRDefault="00230C31" w:rsidP="00626C0C">
      <w:pPr>
        <w:pStyle w:val="HHeading1"/>
        <w:tabs>
          <w:tab w:val="clear" w:pos="567"/>
        </w:tabs>
      </w:pPr>
      <w:bookmarkStart w:id="79" w:name="_Toc508889176"/>
      <w:r>
        <w:lastRenderedPageBreak/>
        <w:t>Cum se evaluează inovarea în PDR-uri</w:t>
      </w:r>
      <w:bookmarkEnd w:id="79"/>
    </w:p>
    <w:p w:rsidR="00A45935" w:rsidRPr="00C84B5B" w:rsidRDefault="00A45935" w:rsidP="00B421B9">
      <w:pPr>
        <w:pStyle w:val="HHeading2"/>
        <w:numPr>
          <w:ilvl w:val="1"/>
          <w:numId w:val="119"/>
        </w:numPr>
        <w:ind w:left="567" w:hanging="567"/>
      </w:pPr>
      <w:bookmarkStart w:id="80" w:name="_Toc476063931"/>
      <w:bookmarkStart w:id="81" w:name="_Toc476064198"/>
      <w:bookmarkStart w:id="82" w:name="_Toc476064493"/>
      <w:bookmarkStart w:id="83" w:name="_Toc476064553"/>
      <w:bookmarkStart w:id="84" w:name="_Toc508889177"/>
      <w:bookmarkStart w:id="85" w:name="_Toc493151899"/>
      <w:bookmarkStart w:id="86" w:name="_Toc501382126"/>
      <w:bookmarkEnd w:id="80"/>
      <w:bookmarkEnd w:id="81"/>
      <w:bookmarkEnd w:id="82"/>
      <w:bookmarkEnd w:id="83"/>
      <w:r>
        <w:t xml:space="preserve">Abordare sugerată de evaluare a inovării în PDR-urile </w:t>
      </w:r>
      <w:r w:rsidRPr="00FA63BD">
        <w:t>2014</w:t>
      </w:r>
      <w:r>
        <w:t>-</w:t>
      </w:r>
      <w:r w:rsidRPr="00FA63BD">
        <w:t>2020</w:t>
      </w:r>
      <w:r>
        <w:t xml:space="preserve"> (prezentare generală)</w:t>
      </w:r>
      <w:bookmarkEnd w:id="84"/>
    </w:p>
    <w:bookmarkEnd w:id="85"/>
    <w:bookmarkEnd w:id="86"/>
    <w:p w:rsidR="00A45935" w:rsidRDefault="00A45935" w:rsidP="00946806">
      <w:pPr>
        <w:pStyle w:val="HHeading4"/>
      </w:pPr>
      <w:r>
        <w:t>Gestionarea evaluării inovării</w:t>
      </w:r>
    </w:p>
    <w:p w:rsidR="00A45935" w:rsidRPr="00E05D08" w:rsidRDefault="00A45935" w:rsidP="00E05D08">
      <w:pPr>
        <w:spacing w:after="120" w:line="280" w:lineRule="atLeast"/>
        <w:mirrorIndents/>
        <w:rPr>
          <w:rFonts w:eastAsia="Times New Roman" w:cs="Times New Roman"/>
          <w:szCs w:val="20"/>
        </w:rPr>
      </w:pPr>
      <w:r>
        <w:rPr>
          <w:b/>
          <w:szCs w:val="20"/>
        </w:rPr>
        <w:t>Evaluarea inovării și găsirea de răspunsuri la întrebările de evaluare legate de inovare fac parte din evaluarea PDR.</w:t>
      </w:r>
      <w:r>
        <w:t xml:space="preserve"> </w:t>
      </w:r>
      <w:r>
        <w:rPr>
          <w:szCs w:val="20"/>
          <w:shd w:val="clear" w:color="auto" w:fill="FFFFFF"/>
        </w:rPr>
        <w:t>Prin urmare, acestea sunt gestionate în mod normal împreună cu celelalte activități de evaluare a PDR</w:t>
      </w:r>
      <w:r>
        <w:rPr>
          <w:rFonts w:eastAsia="Calibri" w:cs="Times New Roman"/>
          <w:szCs w:val="20"/>
          <w:shd w:val="clear" w:color="auto" w:fill="FFFFFF"/>
          <w:vertAlign w:val="superscript"/>
          <w:lang w:eastAsia="de-DE"/>
        </w:rPr>
        <w:footnoteReference w:id="35"/>
      </w:r>
      <w:r>
        <w:rPr>
          <w:szCs w:val="20"/>
          <w:shd w:val="clear" w:color="auto" w:fill="FFFFFF"/>
        </w:rPr>
        <w:t>. Figura de mai jos oferă o prezentare generală a acestui proces.</w:t>
      </w:r>
      <w:r>
        <w:t xml:space="preserve"> </w:t>
      </w:r>
    </w:p>
    <w:p w:rsidR="00A45935" w:rsidRPr="00E05D08" w:rsidRDefault="00A45935" w:rsidP="00E05D08">
      <w:pPr>
        <w:spacing w:after="120" w:line="280" w:lineRule="atLeast"/>
        <w:mirrorIndents/>
        <w:rPr>
          <w:rFonts w:eastAsia="Times New Roman" w:cs="Times New Roman"/>
          <w:szCs w:val="20"/>
        </w:rPr>
      </w:pPr>
      <w:r>
        <w:t xml:space="preserve">Pregătirea, structurarea și conducerea evaluării inovării sunt descrise în detaliu în capitolele </w:t>
      </w:r>
      <w:r w:rsidRPr="00FA63BD">
        <w:t>2</w:t>
      </w:r>
      <w:r>
        <w:t>.</w:t>
      </w:r>
      <w:r w:rsidRPr="00FA63BD">
        <w:t>2</w:t>
      </w:r>
      <w:r>
        <w:t>-</w:t>
      </w:r>
      <w:r w:rsidRPr="00FA63BD">
        <w:t>2</w:t>
      </w:r>
      <w:r>
        <w:t>.</w:t>
      </w:r>
      <w:r w:rsidRPr="00FA63BD">
        <w:t>4</w:t>
      </w:r>
      <w:r>
        <w:t xml:space="preserve">. </w:t>
      </w:r>
    </w:p>
    <w:p w:rsidR="00A45935" w:rsidRPr="0018705F" w:rsidRDefault="00A45935" w:rsidP="00B421B9">
      <w:pPr>
        <w:pStyle w:val="HHeadingfigures"/>
      </w:pPr>
      <w:bookmarkStart w:id="87" w:name="_Toc508889201"/>
      <w:r>
        <w:t xml:space="preserve">Gestionarea evaluării inovării în programele de dezvoltare rurală pentru perioada </w:t>
      </w:r>
      <w:r w:rsidRPr="00FA63BD">
        <w:t>2014</w:t>
      </w:r>
      <w:r>
        <w:t>-</w:t>
      </w:r>
      <w:r w:rsidRPr="00FA63BD">
        <w:t>2020</w:t>
      </w:r>
      <w:bookmarkEnd w:id="87"/>
    </w:p>
    <w:p w:rsidR="00A45935" w:rsidRPr="00E05D08" w:rsidRDefault="00E72051" w:rsidP="00E05D08">
      <w:pPr>
        <w:spacing w:after="120" w:line="280" w:lineRule="atLeast"/>
        <w:mirrorIndents/>
        <w:jc w:val="center"/>
        <w:rPr>
          <w:rFonts w:eastAsia="Times New Roman" w:cs="Times New Roman"/>
          <w:szCs w:val="20"/>
        </w:rPr>
      </w:pPr>
      <w:r>
        <w:rPr>
          <w:noProof/>
          <w:lang w:val="en-GB" w:eastAsia="en-GB"/>
        </w:rPr>
        <w:drawing>
          <wp:inline distT="0" distB="0" distL="0" distR="0" wp14:anchorId="72CEDCE4" wp14:editId="04FCFF5B">
            <wp:extent cx="5731510" cy="3974156"/>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974156"/>
                    </a:xfrm>
                    <a:prstGeom prst="rect">
                      <a:avLst/>
                    </a:prstGeom>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 xml:space="preserve">Sursă: Serviciul european de asistență pentru evaluare în domeniul dezvoltării rurale, </w:t>
      </w:r>
      <w:r w:rsidRPr="00FA63BD">
        <w:rPr>
          <w:bCs/>
          <w:i/>
          <w:sz w:val="16"/>
          <w:szCs w:val="16"/>
        </w:rPr>
        <w:t>2017</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Raportarea privind evaluarea inovării</w:t>
      </w:r>
    </w:p>
    <w:p w:rsidR="00A45935" w:rsidRPr="00E05D08" w:rsidRDefault="00A45935" w:rsidP="00E05D08">
      <w:pPr>
        <w:spacing w:after="120" w:line="280" w:lineRule="atLeast"/>
        <w:mirrorIndents/>
        <w:rPr>
          <w:rFonts w:eastAsia="Times New Roman" w:cs="Times New Roman"/>
          <w:szCs w:val="20"/>
        </w:rPr>
      </w:pPr>
      <w:r>
        <w:rPr>
          <w:b/>
          <w:bCs/>
        </w:rPr>
        <w:t>Raportarea constatărilor evaluării către Comisia Europeană este responsabilitatea</w:t>
      </w:r>
      <w:r>
        <w:rPr>
          <w:b/>
          <w:bCs/>
          <w:shd w:val="clear" w:color="auto" w:fill="FFFFFF"/>
        </w:rPr>
        <w:t xml:space="preserve"> </w:t>
      </w:r>
      <w:r>
        <w:rPr>
          <w:b/>
          <w:bCs/>
        </w:rPr>
        <w:t>autorităților de management</w:t>
      </w:r>
      <w:r>
        <w:rPr>
          <w:rFonts w:eastAsia="Times New Roman" w:cs="Times New Roman"/>
          <w:szCs w:val="20"/>
          <w:vertAlign w:val="superscript"/>
          <w:lang w:eastAsia="de-DE"/>
        </w:rPr>
        <w:footnoteReference w:id="36"/>
      </w:r>
      <w:r>
        <w:rPr>
          <w:b/>
          <w:bCs/>
        </w:rPr>
        <w:t>.</w:t>
      </w:r>
      <w:r>
        <w:t xml:space="preserve"> Figura </w:t>
      </w:r>
      <w:r w:rsidRPr="00FA63BD">
        <w:t>5</w:t>
      </w:r>
      <w:r>
        <w:t xml:space="preserve"> prezintă IEC-urile cărora le răspund constatările evaluării privind inovarea, în rapoartele anuale de punere în aplicare din </w:t>
      </w:r>
      <w:r w:rsidRPr="00FA63BD">
        <w:t>2017</w:t>
      </w:r>
      <w:r>
        <w:t xml:space="preserve">, din </w:t>
      </w:r>
      <w:r w:rsidRPr="00FA63BD">
        <w:t>2019</w:t>
      </w:r>
      <w:r>
        <w:t xml:space="preserve"> și </w:t>
      </w:r>
      <w:r w:rsidRPr="00EF035B">
        <w:rPr>
          <w:i/>
        </w:rPr>
        <w:t>ex post</w:t>
      </w:r>
      <w:r>
        <w:t xml:space="preserve">. </w:t>
      </w:r>
    </w:p>
    <w:p w:rsidR="00A45935" w:rsidRPr="00E05D08" w:rsidRDefault="006B5479" w:rsidP="00E05D08">
      <w:pPr>
        <w:spacing w:after="120" w:line="280" w:lineRule="atLeast"/>
        <w:mirrorIndents/>
        <w:rPr>
          <w:rFonts w:eastAsia="Times New Roman" w:cs="Times New Roman"/>
          <w:szCs w:val="20"/>
        </w:rPr>
      </w:pPr>
      <w:r>
        <w:rPr>
          <w:noProof/>
          <w:lang w:val="en-GB" w:eastAsia="en-GB"/>
        </w:rPr>
        <w:drawing>
          <wp:anchor distT="0" distB="0" distL="114300" distR="114300" simplePos="0" relativeHeight="251756544" behindDoc="0" locked="0" layoutInCell="1" allowOverlap="1" wp14:anchorId="78DD0884" wp14:editId="529CB493">
            <wp:simplePos x="0" y="0"/>
            <wp:positionH relativeFrom="column">
              <wp:posOffset>-48260</wp:posOffset>
            </wp:positionH>
            <wp:positionV relativeFrom="paragraph">
              <wp:posOffset>1061085</wp:posOffset>
            </wp:positionV>
            <wp:extent cx="5858510" cy="4511040"/>
            <wp:effectExtent l="0" t="0" r="8890" b="381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858510" cy="4511040"/>
                    </a:xfrm>
                    <a:prstGeom prst="rect">
                      <a:avLst/>
                    </a:prstGeom>
                  </pic:spPr>
                </pic:pic>
              </a:graphicData>
            </a:graphic>
            <wp14:sizeRelH relativeFrom="margin">
              <wp14:pctWidth>0</wp14:pctWidth>
            </wp14:sizeRelH>
            <wp14:sizeRelV relativeFrom="margin">
              <wp14:pctHeight>0</wp14:pctHeight>
            </wp14:sizeRelV>
          </wp:anchor>
        </w:drawing>
      </w:r>
      <w:r w:rsidR="00A45935">
        <w:rPr>
          <w:b/>
          <w:szCs w:val="20"/>
        </w:rPr>
        <w:t xml:space="preserve">Constatările semnificative ale evaluării inovării sunt preconizate a fi cuprinse în raportul anual de punere în aplicare pentru </w:t>
      </w:r>
      <w:r w:rsidR="00A45935" w:rsidRPr="00FA63BD">
        <w:rPr>
          <w:b/>
          <w:szCs w:val="20"/>
        </w:rPr>
        <w:t>2019</w:t>
      </w:r>
      <w:r w:rsidR="00A45935">
        <w:rPr>
          <w:b/>
          <w:szCs w:val="20"/>
        </w:rPr>
        <w:t xml:space="preserve"> și în evaluarea </w:t>
      </w:r>
      <w:r w:rsidR="00A45935" w:rsidRPr="00EF035B">
        <w:rPr>
          <w:b/>
          <w:i/>
          <w:szCs w:val="20"/>
        </w:rPr>
        <w:t>ex post</w:t>
      </w:r>
      <w:r w:rsidR="00A45935">
        <w:rPr>
          <w:b/>
          <w:szCs w:val="20"/>
        </w:rPr>
        <w:t>.</w:t>
      </w:r>
      <w:r w:rsidR="00A45935">
        <w:t xml:space="preserve"> Deoarece încurajarea inovării este înțeleasă ca un proces, rezultatele sale sunt dificil de observat în primele etape ale punerii în aplicare a programului.</w:t>
      </w:r>
    </w:p>
    <w:p w:rsidR="00A45935" w:rsidRPr="006B72BF" w:rsidRDefault="00533971" w:rsidP="008D178A">
      <w:pPr>
        <w:pStyle w:val="HHeadingfigures"/>
      </w:pPr>
      <w:bookmarkStart w:id="88" w:name="_Toc508889202"/>
      <w:r>
        <w:t>Cerințe de raportare legate de inovare</w:t>
      </w:r>
      <w:bookmarkEnd w:id="88"/>
    </w:p>
    <w:p w:rsidR="00A45935" w:rsidRPr="00E05D08" w:rsidRDefault="00A45935" w:rsidP="00E05D08">
      <w:pPr>
        <w:spacing w:after="120" w:line="280" w:lineRule="atLeast"/>
        <w:mirrorIndents/>
        <w:jc w:val="center"/>
        <w:rPr>
          <w:rFonts w:eastAsia="Times New Roman" w:cs="Times New Roman"/>
          <w:szCs w:val="20"/>
          <w:lang w:eastAsia="de-DE"/>
        </w:rPr>
      </w:pP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 xml:space="preserve">Sursă: Serviciul european de asistență pentru evaluare în domeniul dezvoltării rurale, </w:t>
      </w:r>
      <w:r w:rsidRPr="00FA63BD">
        <w:rPr>
          <w:i/>
          <w:sz w:val="16"/>
          <w:szCs w:val="20"/>
        </w:rPr>
        <w:t>2017</w:t>
      </w:r>
    </w:p>
    <w:p w:rsidR="00A45935" w:rsidRPr="00E05D08" w:rsidRDefault="00A45935" w:rsidP="001744D0">
      <w:r>
        <w:t xml:space="preserve">Prin urmare, prezentul ghid se concentrează asupra modului de abordare a evaluării inovării începând cu anul </w:t>
      </w:r>
      <w:r w:rsidRPr="00FA63BD">
        <w:t>2019</w:t>
      </w:r>
      <w:r>
        <w:t>.</w:t>
      </w:r>
    </w:p>
    <w:p w:rsidR="00A45935" w:rsidRDefault="00A45935" w:rsidP="00804433">
      <w:pPr>
        <w:spacing w:after="120" w:line="280" w:lineRule="atLeast"/>
        <w:mirrorIndents/>
        <w:rPr>
          <w:rFonts w:eastAsia="Times New Roman" w:cs="Times New Roman"/>
          <w:szCs w:val="20"/>
        </w:rPr>
      </w:pPr>
      <w:r>
        <w:rPr>
          <w:b/>
          <w:bCs/>
        </w:rPr>
        <w:t>Alte formate de raportare</w:t>
      </w:r>
      <w:r>
        <w:t xml:space="preserve">, pe lângă cele concepute pentru nivelul UE, ar putea fi utilizate de către autoritatea de management pentru a informa actorii din domeniul inovării, părțile interesate din domeniul dezvoltării rurale și publicul larg cu privire la constatările evaluării PDR (a se vedea, de asemenea, alte </w:t>
      </w:r>
      <w:r>
        <w:lastRenderedPageBreak/>
        <w:t>ghiduri</w:t>
      </w:r>
      <w:r>
        <w:rPr>
          <w:rFonts w:eastAsia="Times New Roman" w:cs="Times New Roman"/>
          <w:szCs w:val="20"/>
          <w:vertAlign w:val="superscript"/>
          <w:lang w:eastAsia="de-DE"/>
        </w:rPr>
        <w:footnoteReference w:id="37"/>
      </w:r>
      <w:r>
        <w:t xml:space="preserve">). Opțional, unele state membre pot decide, de asemenea, să efectueze o evaluare </w:t>
      </w:r>
      <w:r w:rsidR="008A60B4">
        <w:rPr>
          <w:noProof/>
          <w:lang w:val="en-GB" w:eastAsia="en-GB"/>
        </w:rPr>
        <mc:AlternateContent>
          <mc:Choice Requires="wps">
            <w:drawing>
              <wp:anchor distT="180340" distB="0" distL="114300" distR="114300" simplePos="0" relativeHeight="251707392" behindDoc="0" locked="0" layoutInCell="1" allowOverlap="1" wp14:anchorId="60C85892" wp14:editId="00FACBD5">
                <wp:simplePos x="0" y="0"/>
                <wp:positionH relativeFrom="page">
                  <wp:posOffset>768502</wp:posOffset>
                </wp:positionH>
                <wp:positionV relativeFrom="page">
                  <wp:posOffset>1551508</wp:posOffset>
                </wp:positionV>
                <wp:extent cx="5826760" cy="2924070"/>
                <wp:effectExtent l="0" t="0" r="21590" b="10160"/>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2924070"/>
                        </a:xfrm>
                        <a:prstGeom prst="round2DiagRect">
                          <a:avLst>
                            <a:gd name="adj1" fmla="val 8810"/>
                            <a:gd name="adj2" fmla="val 0"/>
                          </a:avLst>
                        </a:prstGeom>
                        <a:noFill/>
                        <a:ln w="25400" cap="flat" cmpd="sng" algn="ctr">
                          <a:solidFill>
                            <a:srgbClr val="F07E31"/>
                          </a:solidFill>
                          <a:prstDash val="solid"/>
                        </a:ln>
                        <a:effectLst/>
                      </wps:spPr>
                      <wps:txbx>
                        <w:txbxContent>
                          <w:p w:rsidR="008A60B4" w:rsidRPr="00E05D08" w:rsidRDefault="008A60B4" w:rsidP="00E05D08">
                            <w:pPr>
                              <w:pStyle w:val="HStandard"/>
                              <w:rPr>
                                <w:b/>
                                <w:color w:val="F07E31"/>
                                <w:sz w:val="18"/>
                                <w:szCs w:val="18"/>
                              </w:rPr>
                            </w:pPr>
                            <w:r>
                              <w:rPr>
                                <w:noProof/>
                                <w:lang w:val="en-GB" w:eastAsia="en-GB"/>
                              </w:rPr>
                              <w:drawing>
                                <wp:inline distT="0" distB="0" distL="0" distR="0" wp14:anchorId="459CE18B" wp14:editId="2E855EFA">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Exemplu: Evaluarea în curs a PEI-AGRI în Suedia</w:t>
                            </w:r>
                          </w:p>
                          <w:p w:rsidR="008A60B4" w:rsidRPr="00275EE5" w:rsidRDefault="008A60B4" w:rsidP="00E05D08">
                            <w:pPr>
                              <w:pStyle w:val="HBox"/>
                            </w:pPr>
                            <w:r>
                              <w:rPr>
                                <w:bCs/>
                                <w14:textFill>
                                  <w14:solidFill>
                                    <w14:srgbClr w14:val="373737">
                                      <w14:lumMod w14:val="75000"/>
                                    </w14:srgbClr>
                                  </w14:solidFill>
                                </w14:textFill>
                              </w:rPr>
                              <w:t>În Suedia, evaluarea inovării se efectuează ca parte a evaluării PDR și constă într-o componentă de evaluare cantitativă și una calitativă. Ambele componente sunt gestionate de Secretariatul pentru evaluare</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 xml:space="preserve">Se preconizează că evaluarea cantitativă va furniza constatări numai pentru raportul anual de punere în aplicare ce trebuie prezentat în 2019 și pentru evaluarea </w:t>
                            </w:r>
                            <w:r w:rsidRPr="00EF035B">
                              <w:rPr>
                                <w:i/>
                              </w:rPr>
                              <w:t>ex post</w:t>
                            </w:r>
                            <w:r>
                              <w:t>.</w:t>
                            </w:r>
                            <w:r>
                              <w:rPr>
                                <w:bCs/>
                                <w14:textFill>
                                  <w14:solidFill>
                                    <w14:srgbClr w14:val="373737">
                                      <w14:lumMod w14:val="75000"/>
                                    </w14:srgbClr>
                                  </w14:solidFill>
                                </w14:textFill>
                              </w:rPr>
                              <w:t xml:space="preserve"> Rata de adoptare a măsurilor legate de inovare a fost încă prea scăzută pentru a permite efectuarea unei evaluări cantitative în 2017. Evaluarea calitativă este concepută ca o evaluare formativă în curs și se axează pe punerea în aplicare a PEI-AGRI. Această evaluare este realizată de o echipă de cercetare și acțiune de la Universitatea din Umeå. Evaluarea în curs are scopul de a oferi feedback continuu și recomandări pentru gestionarea și punerea în aplicare a PEI-AGRI (M16 din PDR). </w:t>
                            </w:r>
                            <w:r>
                              <w:t xml:space="preserve">Se preconizează că vor fi formulate constatări de-a lungul întregii perioade de programare, atât pentru rapoartele anuale de punere în aplicare prezentate în 2017 și 2019, cât și pentru evaluarea </w:t>
                            </w:r>
                            <w:r w:rsidRPr="00EF035B">
                              <w:rPr>
                                <w:i/>
                              </w:rPr>
                              <w:t>ex post</w:t>
                            </w:r>
                            <w:r>
                              <w:t>.</w:t>
                            </w:r>
                            <w:r>
                              <w:rPr>
                                <w:bCs/>
                                <w14:textFill>
                                  <w14:solidFill>
                                    <w14:srgbClr w14:val="373737">
                                      <w14:lumMod w14:val="75000"/>
                                    </w14:srgbClr>
                                  </w14:solidFill>
                                </w14:textFill>
                              </w:rPr>
                              <w:t xml:space="preserve"> Ambele componente ale evaluării sunt gestionate de evaluatori independenți, care sunt selectați printr-o procedură de achiziție în conformitate cu legea privind achizițiile publice.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85892" id="Rectangle: Diagonal Corners Rounded 61" o:spid="_x0000_s1036" style="position:absolute;left:0;text-align:left;margin-left:60.5pt;margin-top:122.15pt;width:458.8pt;height:230.25pt;z-index:251707392;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2924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" adj="-11796480,,5400" path="m257611,l5826760,r,l5826760,2666459v,142275,-115336,257611,-257611,257611l,2924070r,l,257611c,115336,115336,,257611,xe" filled="f" strokecolor="#f07e31" strokeweight="2pt">
                <v:stroke joinstyle="miter"/>
                <v:formulas/>
                <v:path arrowok="t" o:connecttype="custom" o:connectlocs="257611,0;5826760,0;5826760,0;5826760,2666459;5569149,2924070;0,2924070;0,2924070;0,257611;257611,0" o:connectangles="0,0,0,0,0,0,0,0,0" textboxrect="0,0,5826760,2924070"/>
                <v:textbox>
                  <w:txbxContent>
                    <w:p w:rsidR="008A60B4" w:rsidRPr="00E05D08" w:rsidRDefault="008A60B4" w:rsidP="00E05D08">
                      <w:pPr>
                        <w:pStyle w:val="HStandard"/>
                        <w:rPr>
                          <w:b/>
                          <w:color w:val="F07E31"/>
                          <w:sz w:val="18"/>
                          <w:szCs w:val="18"/>
                        </w:rPr>
                      </w:pPr>
                      <w:r>
                        <w:rPr>
                          <w:noProof/>
                          <w:lang w:val="en-GB" w:eastAsia="en-GB"/>
                        </w:rPr>
                        <w:drawing>
                          <wp:inline distT="0" distB="0" distL="0" distR="0" wp14:anchorId="459CE18B" wp14:editId="2E855EFA">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Exemplu: Evaluarea în curs a PEI-AGRI în Suedia</w:t>
                      </w:r>
                    </w:p>
                    <w:p w:rsidR="008A60B4" w:rsidRPr="00275EE5" w:rsidRDefault="008A60B4" w:rsidP="00E05D08">
                      <w:pPr>
                        <w:pStyle w:val="HBox"/>
                      </w:pPr>
                      <w:r>
                        <w:rPr>
                          <w:bCs/>
                          <w14:textFill>
                            <w14:solidFill>
                              <w14:srgbClr w14:val="373737">
                                <w14:lumMod w14:val="75000"/>
                              </w14:srgbClr>
                            </w14:solidFill>
                          </w14:textFill>
                        </w:rPr>
                        <w:t>În Suedia, evaluarea inovării se efectuează ca parte a evaluării PDR și constă într-o componentă de evaluare cantitativă și una calitativă. Ambele componente sunt gestionate de Secretariatul pentru evaluare</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 xml:space="preserve">Se preconizează că evaluarea cantitativă va furniza constatări numai pentru raportul anual de punere în aplicare ce trebuie prezentat în 2019 și pentru evaluarea </w:t>
                      </w:r>
                      <w:r w:rsidRPr="00EF035B">
                        <w:rPr>
                          <w:i/>
                        </w:rPr>
                        <w:t>ex post</w:t>
                      </w:r>
                      <w:r>
                        <w:t>.</w:t>
                      </w:r>
                      <w:r>
                        <w:rPr>
                          <w:bCs/>
                          <w14:textFill>
                            <w14:solidFill>
                              <w14:srgbClr w14:val="373737">
                                <w14:lumMod w14:val="75000"/>
                              </w14:srgbClr>
                            </w14:solidFill>
                          </w14:textFill>
                        </w:rPr>
                        <w:t xml:space="preserve"> Rata de adoptare a măsurilor legate de inovare a fost încă prea scăzută pentru a permite efectuarea unei evaluări cantitative în 2017. Evaluarea calitativă este concepută ca o evaluare formativă în curs și se axează pe punerea în aplicare a PEI-AGRI. Această evaluare este realizată de o echipă de cercetare și acțiune de la Universitatea din Umeå. Evaluarea în curs are scopul de a oferi feedback continuu și recomandări pentru gestionarea și punerea în aplicare a PEI-AGRI (M16 din PDR). </w:t>
                      </w:r>
                      <w:r>
                        <w:t xml:space="preserve">Se preconizează că vor fi formulate constatări de-a lungul întregii perioade de programare, atât pentru rapoartele anuale de punere în aplicare prezentate în 2017 și 2019, cât și pentru evaluarea </w:t>
                      </w:r>
                      <w:r w:rsidRPr="00EF035B">
                        <w:rPr>
                          <w:i/>
                        </w:rPr>
                        <w:t>ex post</w:t>
                      </w:r>
                      <w:r>
                        <w:t>.</w:t>
                      </w:r>
                      <w:r>
                        <w:rPr>
                          <w:bCs/>
                          <w14:textFill>
                            <w14:solidFill>
                              <w14:srgbClr w14:val="373737">
                                <w14:lumMod w14:val="75000"/>
                              </w14:srgbClr>
                            </w14:solidFill>
                          </w14:textFill>
                        </w:rPr>
                        <w:t xml:space="preserve"> Ambele componente ale evaluării sunt gestionate de evaluatori independenți, care sunt selectați printr-o procedură de achiziție în conformitate cu legea privind achizițiile publice.</w:t>
                      </w:r>
                    </w:p>
                  </w:txbxContent>
                </v:textbox>
                <w10:wrap type="topAndBottom" anchorx="page" anchory="page"/>
              </v:shape>
            </w:pict>
          </mc:Fallback>
        </mc:AlternateContent>
      </w:r>
      <w:r>
        <w:t xml:space="preserve">independentă a inovării și să elaboreze rapoarte de evaluare specifice.  </w:t>
      </w:r>
    </w:p>
    <w:p w:rsidR="00583AC8" w:rsidRDefault="00583AC8" w:rsidP="00804433">
      <w:pPr>
        <w:spacing w:after="120" w:line="280" w:lineRule="atLeast"/>
        <w:mirrorIndents/>
        <w:rPr>
          <w:rFonts w:eastAsia="Times New Roman" w:cs="Times New Roman"/>
          <w:b/>
          <w:szCs w:val="20"/>
        </w:rPr>
      </w:pPr>
      <w:r>
        <w:rPr>
          <w:rStyle w:val="FootnoteReference"/>
          <w:rFonts w:eastAsia="Times New Roman" w:cs="Times New Roman"/>
          <w:color w:val="FFFFFF" w:themeColor="background1"/>
          <w:szCs w:val="20"/>
          <w:lang w:eastAsia="de-DE"/>
        </w:rPr>
        <w:footnoteReference w:id="38"/>
      </w:r>
    </w:p>
    <w:p w:rsidR="00A45935" w:rsidRPr="00E05D08" w:rsidRDefault="00626C0C" w:rsidP="00804433">
      <w:pPr>
        <w:spacing w:after="120" w:line="280" w:lineRule="atLeast"/>
        <w:mirrorIndents/>
        <w:rPr>
          <w:rFonts w:eastAsia="Times New Roman" w:cs="Times New Roman"/>
          <w:szCs w:val="20"/>
        </w:rPr>
      </w:pPr>
      <w:r>
        <w:rPr>
          <w:b/>
          <w:bCs/>
        </w:rPr>
        <w:t>Cadrul juridic prevede ca furnizarea de răspunsuri la toate întrebările de evaluare relevante legate de inovare</w:t>
      </w:r>
      <w:r>
        <w:rPr>
          <w:rFonts w:eastAsia="Times New Roman" w:cs="Times New Roman"/>
          <w:szCs w:val="20"/>
          <w:vertAlign w:val="superscript"/>
          <w:lang w:eastAsia="de-DE"/>
        </w:rPr>
        <w:footnoteReference w:id="39"/>
      </w:r>
      <w:r>
        <w:t xml:space="preserve"> să se realizeze prin evaluarea indicatorilor comuni relevanți</w:t>
      </w:r>
      <w:r>
        <w:rPr>
          <w:rFonts w:eastAsia="Times New Roman" w:cs="Times New Roman"/>
          <w:szCs w:val="20"/>
          <w:vertAlign w:val="superscript"/>
          <w:lang w:eastAsia="de-DE"/>
        </w:rPr>
        <w:footnoteReference w:id="40"/>
      </w:r>
      <w:r>
        <w:t xml:space="preserve"> și prin identificarea realizărilor politicii rurale a UE în ceea ce privește încurajarea inovării. </w:t>
      </w:r>
    </w:p>
    <w:p w:rsidR="00576A73" w:rsidRDefault="00A45935" w:rsidP="00576A73">
      <w:pPr>
        <w:spacing w:after="120" w:line="280" w:lineRule="atLeast"/>
        <w:mirrorIndents/>
        <w:rPr>
          <w:rFonts w:eastAsia="Times New Roman" w:cs="Times New Roman"/>
          <w:szCs w:val="20"/>
        </w:rPr>
      </w:pPr>
      <w:r>
        <w:t>Se propun următoarele etape de lucru fără caracter obligatoriu:</w:t>
      </w:r>
    </w:p>
    <w:p w:rsidR="00A45935" w:rsidRPr="00E05D08" w:rsidRDefault="00A45935" w:rsidP="00B421B9">
      <w:pPr>
        <w:pStyle w:val="HHeading4"/>
        <w:rPr>
          <w:rFonts w:eastAsia="Calibri"/>
          <w:shd w:val="clear" w:color="auto" w:fill="FFFFFF"/>
        </w:rPr>
      </w:pPr>
      <w:r>
        <w:rPr>
          <w:shd w:val="clear" w:color="auto" w:fill="FFFFFF"/>
        </w:rPr>
        <w:t>Examinarea potențialului de inovare al măsurilor/submăsurilor din cadrul PDR (recomandată)</w:t>
      </w:r>
    </w:p>
    <w:p w:rsidR="00A45935" w:rsidRPr="00E05D08" w:rsidRDefault="00A45935" w:rsidP="00E05D08">
      <w:pPr>
        <w:spacing w:after="120" w:line="280" w:lineRule="atLeast"/>
        <w:mirrorIndents/>
        <w:rPr>
          <w:rFonts w:eastAsia="Times New Roman" w:cs="Times New Roman"/>
          <w:szCs w:val="20"/>
        </w:rPr>
      </w:pPr>
      <w:r>
        <w:t xml:space="preserve">Înainte de începerea desfășurării activităților de evaluare pentru a răspunde evaluării legate de inovare, autoritățile de management și/sau experții în materie de evaluare ar putea dori să verifice potențialul de inovare al măsurilor/submăsurilor din cadrul PDR (zona albastră din figura </w:t>
      </w:r>
      <w:r w:rsidRPr="00FA63BD">
        <w:t>6</w:t>
      </w:r>
      <w:r>
        <w:t xml:space="preserve">). Această etapă va sprijini evaluatorul și autoritatea de management să înțeleagă modul în care fiecare măsură/submăsură poate contribui la îndeplinirea obiectivelor PDR legate de inovare (a se vedea </w:t>
      </w:r>
      <w:hyperlink w:anchor="Screening_Potential" w:history="1">
        <w:r>
          <w:rPr>
            <w:rStyle w:val="Hyperlink"/>
            <w:sz w:val="20"/>
            <w:szCs w:val="20"/>
          </w:rPr>
          <w:t xml:space="preserve">capitolul </w:t>
        </w:r>
        <w:r w:rsidRPr="00FA63BD">
          <w:rPr>
            <w:rStyle w:val="Hyperlink"/>
            <w:sz w:val="20"/>
            <w:szCs w:val="20"/>
          </w:rPr>
          <w:t>2</w:t>
        </w:r>
        <w:r>
          <w:rPr>
            <w:rStyle w:val="Hyperlink"/>
            <w:sz w:val="20"/>
            <w:szCs w:val="20"/>
          </w:rPr>
          <w:t>.</w:t>
        </w:r>
        <w:r w:rsidRPr="00FA63BD">
          <w:rPr>
            <w:rStyle w:val="Hyperlink"/>
            <w:sz w:val="20"/>
            <w:szCs w:val="20"/>
          </w:rPr>
          <w:t>2</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Completarea elementelor de evaluare comune pentru inovare (recomandată)</w:t>
      </w:r>
    </w:p>
    <w:p w:rsidR="00A45935" w:rsidRPr="00E05D08" w:rsidRDefault="00A45935" w:rsidP="00E05D08">
      <w:pPr>
        <w:spacing w:after="120" w:line="280" w:lineRule="atLeast"/>
        <w:mirrorIndents/>
        <w:rPr>
          <w:rFonts w:eastAsia="Times New Roman" w:cs="Times New Roman"/>
          <w:szCs w:val="20"/>
        </w:rPr>
      </w:pPr>
      <w:r>
        <w:t>SCME furnizează elemente de evaluare de bază pentru a răspunde la întrebările de evaluare comune legate de inovare. În cazul în care elementele de evaluare comune (criteriile de apreciere</w:t>
      </w:r>
      <w:r>
        <w:rPr>
          <w:rFonts w:eastAsia="Times New Roman" w:cs="Times New Roman"/>
          <w:szCs w:val="20"/>
          <w:vertAlign w:val="superscript"/>
          <w:lang w:eastAsia="de-DE"/>
        </w:rPr>
        <w:footnoteReference w:id="41"/>
      </w:r>
      <w:r>
        <w:t xml:space="preserve"> și indicatorii comuni</w:t>
      </w:r>
      <w:r>
        <w:rPr>
          <w:rFonts w:eastAsia="Times New Roman" w:cs="Times New Roman"/>
          <w:szCs w:val="20"/>
          <w:vertAlign w:val="superscript"/>
          <w:lang w:eastAsia="de-DE"/>
        </w:rPr>
        <w:footnoteReference w:id="42"/>
      </w:r>
      <w:r>
        <w:t>) nu sunt suficiente pentru a identifica toate efectele preconizate, elementele lipsă (de exemplu, întrebările de evaluare secundare, criteriile de apreciere suplimentare</w:t>
      </w:r>
      <w:r>
        <w:rPr>
          <w:rFonts w:eastAsia="Times New Roman" w:cs="Times New Roman"/>
          <w:szCs w:val="20"/>
          <w:vertAlign w:val="superscript"/>
          <w:lang w:eastAsia="de-DE"/>
        </w:rPr>
        <w:footnoteReference w:id="43"/>
      </w:r>
      <w:r>
        <w:t xml:space="preserve"> și indicatorii cantitativi </w:t>
      </w:r>
      <w:r>
        <w:lastRenderedPageBreak/>
        <w:t>și calitativi suplimentari</w:t>
      </w:r>
      <w:r>
        <w:rPr>
          <w:rFonts w:eastAsia="Times New Roman" w:cs="Times New Roman"/>
          <w:szCs w:val="20"/>
          <w:vertAlign w:val="superscript"/>
          <w:lang w:eastAsia="de-DE"/>
        </w:rPr>
        <w:footnoteReference w:id="44"/>
      </w:r>
      <w:r>
        <w:t xml:space="preserve">) pot fi elaborate de către autoritățile de management, în mod ideal în colaborare cu experții în materie de evaluare (părțile verzi din figura </w:t>
      </w:r>
      <w:r w:rsidRPr="00FA63BD">
        <w:t>6</w:t>
      </w:r>
      <w:r>
        <w:t xml:space="preserve">) (a se vedea </w:t>
      </w:r>
      <w:hyperlink w:anchor="Complementing" w:history="1">
        <w:r>
          <w:rPr>
            <w:rStyle w:val="Hyperlink"/>
            <w:sz w:val="20"/>
            <w:szCs w:val="20"/>
          </w:rPr>
          <w:t xml:space="preserve">capitolul </w:t>
        </w:r>
        <w:r w:rsidRPr="00FA63BD">
          <w:rPr>
            <w:rStyle w:val="Hyperlink"/>
            <w:sz w:val="20"/>
            <w:szCs w:val="20"/>
          </w:rPr>
          <w:t>2</w:t>
        </w:r>
        <w:r>
          <w:rPr>
            <w:rStyle w:val="Hyperlink"/>
            <w:sz w:val="20"/>
            <w:szCs w:val="20"/>
          </w:rPr>
          <w:t>.</w:t>
        </w:r>
        <w:r w:rsidRPr="00FA63BD">
          <w:rPr>
            <w:rStyle w:val="Hyperlink"/>
            <w:sz w:val="20"/>
            <w:szCs w:val="20"/>
          </w:rPr>
          <w:t>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Furnizarea de răspunsuri la întrebările de evaluare comune relevante (obligatorie)</w:t>
      </w:r>
    </w:p>
    <w:p w:rsidR="00A45935" w:rsidRPr="00E05D08" w:rsidRDefault="00A45935" w:rsidP="00E05D08">
      <w:pPr>
        <w:spacing w:after="120" w:line="280" w:lineRule="atLeast"/>
        <w:mirrorIndents/>
        <w:rPr>
          <w:rFonts w:eastAsia="Times New Roman" w:cs="Times New Roman"/>
          <w:szCs w:val="20"/>
        </w:rPr>
      </w:pPr>
      <w:r>
        <w:t xml:space="preserve">Evaluatorii PDR vor evalua realizările PDR în ceea ce privește încurajarea inovării și contribuțiile PDR la îndeplinirea obiectivelor politicii de dezvoltare rurală la nivel național/regional și la nivelul UE. Evaluatorii vor utiliza constatările evaluării în formularea răspunsurilor la întrebările de evaluare comune, suplimentare și specifice programului (părțile portocalii din figura </w:t>
      </w:r>
      <w:r w:rsidRPr="00FA63BD">
        <w:t>6</w:t>
      </w:r>
      <w:r>
        <w:t xml:space="preserve">). Întrebările de evaluare legate de inovare vor necesita o abordare specifică pentru furnizarea de răspunsuri (a se vedea </w:t>
      </w:r>
      <w:hyperlink w:anchor="Answering" w:history="1">
        <w:r>
          <w:rPr>
            <w:rStyle w:val="Hyperlink"/>
            <w:sz w:val="20"/>
            <w:szCs w:val="20"/>
          </w:rPr>
          <w:t xml:space="preserve">capitolul </w:t>
        </w:r>
        <w:r w:rsidRPr="00FA63BD">
          <w:rPr>
            <w:rStyle w:val="Hyperlink"/>
            <w:sz w:val="20"/>
            <w:szCs w:val="20"/>
          </w:rPr>
          <w:t>2</w:t>
        </w:r>
        <w:r>
          <w:rPr>
            <w:rStyle w:val="Hyperlink"/>
            <w:sz w:val="20"/>
            <w:szCs w:val="20"/>
          </w:rPr>
          <w:t>.</w:t>
        </w:r>
        <w:r w:rsidRPr="00FA63BD">
          <w:rPr>
            <w:rStyle w:val="Hyperlink"/>
            <w:sz w:val="20"/>
            <w:szCs w:val="20"/>
          </w:rPr>
          <w:t>4</w:t>
        </w:r>
      </w:hyperlink>
      <w:r>
        <w:t>).</w:t>
      </w:r>
    </w:p>
    <w:p w:rsidR="00A45935" w:rsidRPr="00EC5172" w:rsidRDefault="00626C0C" w:rsidP="00B421B9">
      <w:pPr>
        <w:pStyle w:val="HHeadingfigures"/>
      </w:pPr>
      <w:bookmarkStart w:id="89" w:name="_Toc508889203"/>
      <w:r>
        <w:t>Abordarea evaluării inovării în programele de dezvoltare rurală</w:t>
      </w:r>
      <w:bookmarkEnd w:id="89"/>
    </w:p>
    <w:p w:rsidR="00A45935" w:rsidRPr="00E05D08" w:rsidRDefault="004408A1" w:rsidP="00E05D08">
      <w:pPr>
        <w:spacing w:after="120" w:line="280" w:lineRule="atLeast"/>
        <w:mirrorIndents/>
        <w:jc w:val="center"/>
        <w:rPr>
          <w:rFonts w:eastAsia="Times New Roman" w:cs="Times New Roman"/>
          <w:szCs w:val="20"/>
          <w:lang w:eastAsia="de-DE"/>
        </w:rPr>
      </w:pPr>
      <w:r>
        <w:rPr>
          <w:noProof/>
          <w:lang w:val="en-GB" w:eastAsia="en-GB"/>
        </w:rPr>
        <w:drawing>
          <wp:inline distT="0" distB="0" distL="0" distR="0" wp14:anchorId="306A6859" wp14:editId="7D31DA1F">
            <wp:extent cx="5939323" cy="3338422"/>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6634" cy="3342532"/>
                    </a:xfrm>
                    <a:prstGeom prst="rect">
                      <a:avLst/>
                    </a:prstGeom>
                  </pic:spPr>
                </pic:pic>
              </a:graphicData>
            </a:graphic>
          </wp:inline>
        </w:drawing>
      </w: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 xml:space="preserve">Sursă: Serviciul european de asistență pentru evaluare în domeniul dezvoltării rurale, </w:t>
      </w:r>
      <w:r w:rsidRPr="00FA63BD">
        <w:rPr>
          <w:i/>
          <w:sz w:val="16"/>
          <w:szCs w:val="20"/>
        </w:rPr>
        <w:t>2017</w:t>
      </w:r>
      <w:bookmarkStart w:id="90" w:name="_Toc493151902"/>
      <w:bookmarkStart w:id="91" w:name="_Toc501382128"/>
    </w:p>
    <w:p w:rsidR="00A45935" w:rsidRPr="002271D9" w:rsidRDefault="00A45935" w:rsidP="00B421B9">
      <w:pPr>
        <w:pStyle w:val="HHeading2"/>
        <w:numPr>
          <w:ilvl w:val="1"/>
          <w:numId w:val="119"/>
        </w:numPr>
        <w:ind w:left="567" w:hanging="567"/>
      </w:pPr>
      <w:bookmarkStart w:id="92" w:name="Screening_Potential"/>
      <w:bookmarkStart w:id="93" w:name="_Toc508889178"/>
      <w:bookmarkEnd w:id="92"/>
      <w:r>
        <w:t>Examinarea potențialului de inovare al măsurilor/submăsurilor din cadrul PDR (recomandată)</w:t>
      </w:r>
      <w:bookmarkEnd w:id="90"/>
      <w:bookmarkEnd w:id="91"/>
      <w:bookmarkEnd w:id="93"/>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De ce ar trebui examinate măsurile PDR în ceea ce privește potențialul lor de inovare? </w:t>
      </w:r>
    </w:p>
    <w:p w:rsidR="00C64B64" w:rsidRPr="00E05D08" w:rsidRDefault="00A45935" w:rsidP="00E05D08">
      <w:pPr>
        <w:spacing w:after="120" w:line="280" w:lineRule="atLeast"/>
        <w:mirrorIndents/>
        <w:rPr>
          <w:rFonts w:eastAsia="Times New Roman" w:cs="Times New Roman"/>
          <w:szCs w:val="20"/>
        </w:rPr>
      </w:pPr>
      <w:r>
        <w:t xml:space="preserve">Autoritățile de management au o flexibilitate considerabilă în a combina și a elabora diferite măsuri de dezvoltare rurală în cadrul ariilor de intervenție, ceea ce a condus la abordări foarte diferite ale PDR în ceea ce privește inovarea. Examinarea selecției și combinării măsurilor/submăsurilor în cadrul PDR contribuie la o mai bună înțelegere a abordării specifice față de inovare, precum și a potențialului de inovare al PDR. Aceasta este o bază utilă pentru a răspunde la întrebările de evaluare comune legate de inovare, în special în etapele ulterioare ale evaluării (de exemplu, raportul anual de punere în </w:t>
      </w:r>
      <w:r>
        <w:lastRenderedPageBreak/>
        <w:t xml:space="preserve">aplicare din </w:t>
      </w:r>
      <w:r w:rsidRPr="00FA63BD">
        <w:t>2019</w:t>
      </w:r>
      <w:r>
        <w:t xml:space="preserve"> sau evaluarea </w:t>
      </w:r>
      <w:r w:rsidRPr="00EF035B">
        <w:rPr>
          <w:i/>
        </w:rPr>
        <w:t>ex post</w:t>
      </w:r>
      <w:r>
        <w:t xml:space="preserve">) în care va fi posibilă identificarea efectelor impacturilor PDR asupra proceselor de inovare. </w:t>
      </w:r>
    </w:p>
    <w:p w:rsidR="00A45935" w:rsidRPr="00E05D08" w:rsidRDefault="00A45935" w:rsidP="00B421B9">
      <w:pPr>
        <w:pStyle w:val="HHeading4"/>
        <w:rPr>
          <w:rFonts w:eastAsia="Calibri"/>
          <w:shd w:val="clear" w:color="auto" w:fill="FFFFFF"/>
        </w:rPr>
      </w:pPr>
      <w:r>
        <w:rPr>
          <w:shd w:val="clear" w:color="auto" w:fill="FFFFFF"/>
        </w:rPr>
        <w:t xml:space="preserve">Care este potențialul de inovare al măsurilor/submăsurilor din cadrul PDR? </w:t>
      </w:r>
    </w:p>
    <w:p w:rsidR="00A45935" w:rsidRPr="00E05D08" w:rsidRDefault="00A45935" w:rsidP="00E05D08">
      <w:pPr>
        <w:spacing w:after="120" w:line="280" w:lineRule="atLeast"/>
        <w:mirrorIndents/>
        <w:rPr>
          <w:rFonts w:eastAsia="Times New Roman" w:cs="Times New Roman"/>
          <w:szCs w:val="20"/>
        </w:rPr>
      </w:pPr>
      <w:r>
        <w:rPr>
          <w:b/>
          <w:bCs/>
        </w:rPr>
        <w:t>Potențialul de inovare al măsurilor/submăsurilor din cadrul PDR</w:t>
      </w:r>
      <w:r>
        <w:t>, luate în considerare individual sau în combinație cu alte măsuri/submăsuri din cadrul ariilor de intervenție, este înțeles ca o capacitate a acestora de a încuraja inovarea în cadrul unui sistem de inovare în zonele rurale prin: a) sprijinirea ideilor inovatoare, b) consolidarea capacităților de inovare într-o manieră colaborativă și c) crearea unui mediu favorizant pentru inovare.</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Care sunt etapele de lucru pentru identificarea potențialului de inovare al PDR? </w:t>
      </w:r>
    </w:p>
    <w:p w:rsidR="00A45935" w:rsidRPr="00E05D08" w:rsidRDefault="00A45935" w:rsidP="00E05D08">
      <w:pPr>
        <w:spacing w:after="120" w:line="280" w:lineRule="atLeast"/>
        <w:mirrorIndents/>
        <w:rPr>
          <w:rFonts w:eastAsia="Times New Roman" w:cs="Times New Roman"/>
          <w:szCs w:val="20"/>
        </w:rPr>
      </w:pPr>
      <w:r>
        <w:rPr>
          <w:b/>
          <w:bCs/>
        </w:rPr>
        <w:t>Examinarea măsurilor și submăsurilor din cadrul PDR</w:t>
      </w:r>
      <w:r>
        <w:t xml:space="preserve"> constă în analizarea modului în care sunt concepute măsurile pentru a sprijini cultivarea de idei noi, pentru a consolida capacitatea de a inova sau pentru a crea un mediu favorabil pentru inovare. Metoda de lucru poate fi o evaluare bazată pe experți sau o metodă participativă care implică mai multe părți interesate importante din cadrul PDR. Un astfel de exercițiu de examinare ar putea fi realizat prin furnizarea de răspunsuri la întrebările-cheie propuse (a se vedea </w:t>
      </w:r>
      <w:hyperlink w:anchor="Steps_of_the_screenig" w:history="1">
        <w:r>
          <w:rPr>
            <w:rStyle w:val="Hyperlink"/>
            <w:sz w:val="20"/>
            <w:szCs w:val="20"/>
          </w:rPr>
          <w:t xml:space="preserve">figura </w:t>
        </w:r>
        <w:r w:rsidRPr="00FA63BD">
          <w:rPr>
            <w:rStyle w:val="Hyperlink"/>
            <w:sz w:val="20"/>
            <w:szCs w:val="20"/>
          </w:rPr>
          <w:t>7</w:t>
        </w:r>
      </w:hyperlink>
      <w:r>
        <w:t>).</w:t>
      </w:r>
    </w:p>
    <w:p w:rsidR="00A45935" w:rsidRPr="00F117CA" w:rsidRDefault="004408A1" w:rsidP="00B421B9">
      <w:pPr>
        <w:pStyle w:val="HHeadingfigures"/>
      </w:pPr>
      <w:bookmarkStart w:id="94" w:name="Steps_of_the_screenig"/>
      <w:bookmarkStart w:id="95" w:name="_Toc508889204"/>
      <w:bookmarkEnd w:id="94"/>
      <w:r>
        <w:rPr>
          <w:noProof/>
          <w:lang w:val="en-GB" w:eastAsia="en-GB"/>
        </w:rPr>
        <w:drawing>
          <wp:anchor distT="0" distB="0" distL="114300" distR="114300" simplePos="0" relativeHeight="251758592" behindDoc="0" locked="0" layoutInCell="1" allowOverlap="1" wp14:anchorId="7C89E104" wp14:editId="508A4160">
            <wp:simplePos x="0" y="0"/>
            <wp:positionH relativeFrom="column">
              <wp:posOffset>-262890</wp:posOffset>
            </wp:positionH>
            <wp:positionV relativeFrom="paragraph">
              <wp:posOffset>362585</wp:posOffset>
            </wp:positionV>
            <wp:extent cx="6136640" cy="2535555"/>
            <wp:effectExtent l="0" t="0" r="0" b="0"/>
            <wp:wrapTopAndBottom/>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136640" cy="2535555"/>
                    </a:xfrm>
                    <a:prstGeom prst="rect">
                      <a:avLst/>
                    </a:prstGeom>
                  </pic:spPr>
                </pic:pic>
              </a:graphicData>
            </a:graphic>
            <wp14:sizeRelH relativeFrom="page">
              <wp14:pctWidth>0</wp14:pctWidth>
            </wp14:sizeRelH>
            <wp14:sizeRelV relativeFrom="page">
              <wp14:pctHeight>0</wp14:pctHeight>
            </wp14:sizeRelV>
          </wp:anchor>
        </w:drawing>
      </w:r>
      <w:r w:rsidR="00626C0C">
        <w:t>Etapele examinării măsurilor/submăsurilor PDR în ceea ce privește potențialul lor de inovare</w:t>
      </w:r>
      <w:bookmarkEnd w:id="95"/>
    </w:p>
    <w:p w:rsidR="00A45935" w:rsidRPr="00E05D08" w:rsidRDefault="00A45935" w:rsidP="00E05D08">
      <w:pPr>
        <w:suppressAutoHyphens/>
        <w:spacing w:before="60" w:after="0" w:line="240" w:lineRule="auto"/>
        <w:ind w:left="1134" w:right="1134"/>
        <w:mirrorIndents/>
        <w:rPr>
          <w:rFonts w:eastAsia="Times New Roman" w:cs="Times New Roman"/>
          <w:i/>
          <w:sz w:val="16"/>
          <w:szCs w:val="20"/>
          <w:lang w:eastAsia="de-DE"/>
        </w:rPr>
      </w:pPr>
    </w:p>
    <w:p w:rsidR="00A45935" w:rsidRDefault="00A45935" w:rsidP="00E05D08">
      <w:pPr>
        <w:suppressAutoHyphens/>
        <w:spacing w:before="60" w:after="0" w:line="240" w:lineRule="auto"/>
        <w:ind w:left="1134" w:right="1134"/>
        <w:mirrorIndents/>
        <w:jc w:val="center"/>
        <w:rPr>
          <w:rFonts w:eastAsia="Times New Roman" w:cs="Times New Roman"/>
          <w:i/>
          <w:sz w:val="16"/>
          <w:szCs w:val="20"/>
        </w:rPr>
      </w:pPr>
      <w:r>
        <w:rPr>
          <w:i/>
          <w:sz w:val="16"/>
          <w:szCs w:val="20"/>
        </w:rPr>
        <w:t xml:space="preserve">Sursă: Serviciul european de asistență pentru evaluare în domeniul dezvoltării rurale, </w:t>
      </w:r>
      <w:r w:rsidRPr="00FA63BD">
        <w:rPr>
          <w:i/>
          <w:sz w:val="16"/>
          <w:szCs w:val="20"/>
        </w:rPr>
        <w:t>2017</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lastRenderedPageBreak/>
        <w:t>Ce aspecte ar trebui să fie examinate în PDR?</w:t>
      </w:r>
    </w:p>
    <w:p w:rsidR="00A45935" w:rsidRPr="00E05D08" w:rsidRDefault="007A450E"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740160" behindDoc="0" locked="0" layoutInCell="1" allowOverlap="1" wp14:anchorId="62FAE181" wp14:editId="4DAA05B4">
                <wp:simplePos x="0" y="0"/>
                <wp:positionH relativeFrom="column">
                  <wp:posOffset>3114675</wp:posOffset>
                </wp:positionH>
                <wp:positionV relativeFrom="paragraph">
                  <wp:posOffset>622935</wp:posOffset>
                </wp:positionV>
                <wp:extent cx="2640965" cy="3446145"/>
                <wp:effectExtent l="0" t="0" r="26035" b="20955"/>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446145"/>
                        </a:xfrm>
                        <a:prstGeom prst="round2DiagRect">
                          <a:avLst>
                            <a:gd name="adj1" fmla="val 6437"/>
                            <a:gd name="adj2" fmla="val 0"/>
                          </a:avLst>
                        </a:prstGeom>
                        <a:noFill/>
                        <a:ln w="25400" cap="flat" cmpd="sng" algn="ctr">
                          <a:solidFill>
                            <a:srgbClr val="BE4A35"/>
                          </a:solidFill>
                          <a:prstDash val="solid"/>
                        </a:ln>
                        <a:effectLst/>
                      </wps:spPr>
                      <wps:txbx>
                        <w:txbxContent>
                          <w:p w:rsidR="008A60B4" w:rsidRPr="00275EE5" w:rsidRDefault="008A60B4" w:rsidP="00626C0C">
                            <w:pPr>
                              <w:pStyle w:val="Normal12PTcouleurgris"/>
                            </w:pPr>
                            <w:r>
                              <w:rPr>
                                <w:noProof/>
                                <w:lang w:val="en-GB" w:eastAsia="en-GB"/>
                              </w:rPr>
                              <w:drawing>
                                <wp:inline distT="0" distB="0" distL="0" distR="0" wp14:anchorId="18C6CF42" wp14:editId="1E09E847">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La articolul 15 din Regulamentul (UE) nr. 1305/2013 se menționează șapte elemente care sunt vizate de </w:t>
                            </w:r>
                            <w:r>
                              <w:rPr>
                                <w:b/>
                                <w:color w:val="BE4A35"/>
                              </w:rPr>
                              <w:t>serviciile de consiliere și de consultanță</w:t>
                            </w:r>
                            <w:r>
                              <w:rPr>
                                <w:vertAlign w:val="superscript"/>
                              </w:rPr>
                              <w:t>45</w:t>
                            </w:r>
                            <w:r>
                              <w:t>.</w:t>
                            </w:r>
                            <w:r>
                              <w:rPr>
                                <w:sz w:val="18"/>
                              </w:rPr>
                              <w:t xml:space="preserve"> Dintre acestea, doar unul [alineatul (4) litera (c)] se referă la inovare în mod explicit. Nu există o cerință sau o certitudine că alte tipuri de servicii de consiliere [de exemplu, alineatul (4) litera (g) - consiliere specifică acordată fermierilor care se stabilesc pentru prima dată] vor încuraja inovarea. Prin urmare, analiza modului în care sunt concepute măsurile din cadrul unui PDR specific poate să arate dacă măsura (sau submăsura, dacă este aplicată) ar putea fi relevantă pentru încurajarea inovării.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FAE181" id="Rectangle: Diagonal Corners Rounded 64" o:spid="_x0000_s1037" style="position:absolute;left:0;text-align:left;margin-left:245.25pt;margin-top:49.05pt;width:207.95pt;height:271.3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446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" adj="-11796480,,5400" path="m169999,l2640965,r,l2640965,3276146v,93888,-76111,169999,-169999,169999l,3446145r,l,169999c,76111,76111,,169999,xe" filled="f" strokecolor="#be4a35" strokeweight="2pt">
                <v:stroke joinstyle="miter"/>
                <v:formulas/>
                <v:path arrowok="t" o:connecttype="custom" o:connectlocs="169999,0;2640965,0;2640965,0;2640965,3276146;2470966,3446145;0,3446145;0,3446145;0,169999;169999,0" o:connectangles="0,0,0,0,0,0,0,0,0" textboxrect="0,0,2640965,3446145"/>
                <v:textbox>
                  <w:txbxContent>
                    <w:p w:rsidR="008A60B4" w:rsidRPr="00275EE5" w:rsidRDefault="008A60B4" w:rsidP="00626C0C">
                      <w:pPr>
                        <w:pStyle w:val="Normal12PTcouleurgris"/>
                      </w:pPr>
                      <w:r>
                        <w:rPr>
                          <w:noProof/>
                          <w:lang w:val="en-GB" w:eastAsia="en-GB"/>
                        </w:rPr>
                        <w:drawing>
                          <wp:inline distT="0" distB="0" distL="0" distR="0" wp14:anchorId="18C6CF42" wp14:editId="1E09E847">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La articolul 15 din Regulamentul (UE) nr. 1305/2013 se menționează șapte elemente care sunt vizate de </w:t>
                      </w:r>
                      <w:r>
                        <w:rPr>
                          <w:b/>
                          <w:color w:val="BE4A35"/>
                        </w:rPr>
                        <w:t>serviciile de consiliere și de consultanță</w:t>
                      </w:r>
                      <w:r>
                        <w:rPr>
                          <w:vertAlign w:val="superscript"/>
                        </w:rPr>
                        <w:t>45</w:t>
                      </w:r>
                      <w:r>
                        <w:t>.</w:t>
                      </w:r>
                      <w:r>
                        <w:rPr>
                          <w:sz w:val="18"/>
                        </w:rPr>
                        <w:t xml:space="preserve"> Dintre acestea, doar unul [alineatul (4) litera (c)] se referă la inovare în mod explicit. Nu există o cerință sau o certitudine că alte tipuri de servicii de consiliere [de exemplu, alineatul (4) litera (g) - consiliere specifică acordată fermierilor care se stabilesc pentru prima dată] vor încuraja inovarea. Prin urmare, analiza modului în care sunt concepute măsurile din cadrul unui PDR specific poate să arate dacă măsura (sau submăsura, dacă este aplicată) ar putea fi relevantă pentru încurajarea inovării.</w:t>
                      </w:r>
                    </w:p>
                  </w:txbxContent>
                </v:textbox>
                <w10:wrap type="square"/>
              </v:shape>
            </w:pict>
          </mc:Fallback>
        </mc:AlternateContent>
      </w:r>
      <w:r>
        <w:rPr>
          <w:b/>
          <w:szCs w:val="20"/>
        </w:rPr>
        <w:t>Examinarea ar trebui să se concentreze asupra capacității atât a măsurilor individuale, cât și a grupurilor de măsuri din ariile de intervenție</w:t>
      </w:r>
      <w:r>
        <w:t xml:space="preserve"> de a încuraja inovarea (de exemplu, capacitatea acestora de a contribui la cele trei modalități de inovare prezentate în </w:t>
      </w:r>
      <w:hyperlink w:anchor="Innovation_RD" w:history="1">
        <w:r>
          <w:rPr>
            <w:rStyle w:val="Hyperlink"/>
            <w:sz w:val="20"/>
            <w:szCs w:val="20"/>
          </w:rPr>
          <w:t xml:space="preserve">capitolul </w:t>
        </w:r>
        <w:r w:rsidRPr="00FA63BD">
          <w:rPr>
            <w:rStyle w:val="Hyperlink"/>
            <w:sz w:val="20"/>
            <w:szCs w:val="20"/>
          </w:rPr>
          <w:t>1</w:t>
        </w:r>
        <w:r>
          <w:rPr>
            <w:rStyle w:val="Hyperlink"/>
            <w:sz w:val="20"/>
            <w:szCs w:val="20"/>
          </w:rPr>
          <w:t>.</w:t>
        </w:r>
        <w:r w:rsidRPr="00FA63BD">
          <w:rPr>
            <w:rStyle w:val="Hyperlink"/>
            <w:sz w:val="20"/>
            <w:szCs w:val="20"/>
          </w:rPr>
          <w:t>1</w:t>
        </w:r>
      </w:hyperlink>
      <w:r>
        <w:t>)</w:t>
      </w:r>
      <w:r>
        <w:rPr>
          <w:rStyle w:val="FootnoteReference"/>
          <w:rFonts w:eastAsia="Times New Roman" w:cs="Times New Roman"/>
          <w:color w:val="FFFFFF" w:themeColor="background1"/>
          <w:szCs w:val="20"/>
          <w:lang w:eastAsia="de-DE"/>
        </w:rPr>
        <w:footnoteReference w:id="45"/>
      </w:r>
      <w:r>
        <w:t xml:space="preserve">. În mod similar, </w:t>
      </w:r>
      <w:r>
        <w:rPr>
          <w:b/>
          <w:bCs/>
        </w:rPr>
        <w:t>potențialul RNDR de a încuraja inovarea</w:t>
      </w:r>
      <w:r>
        <w:t xml:space="preserve"> poate fi identificat, de asemenea, prin examinarea acțiunilor din cadrul RNDR (a se vedea </w:t>
      </w:r>
      <w:hyperlink w:anchor="CEQ_NRN" w:history="1">
        <w:r>
          <w:rPr>
            <w:rStyle w:val="Hyperlink"/>
            <w:sz w:val="20"/>
            <w:szCs w:val="20"/>
          </w:rPr>
          <w:t xml:space="preserve">secțiunea </w:t>
        </w:r>
        <w:r w:rsidRPr="00FA63BD">
          <w:rPr>
            <w:rStyle w:val="Hyperlink"/>
            <w:sz w:val="20"/>
            <w:szCs w:val="20"/>
          </w:rPr>
          <w:t>2</w:t>
        </w:r>
        <w:r>
          <w:rPr>
            <w:rStyle w:val="Hyperlink"/>
            <w:sz w:val="20"/>
            <w:szCs w:val="20"/>
          </w:rPr>
          <w:t>.</w:t>
        </w:r>
        <w:r w:rsidRPr="00FA63BD">
          <w:rPr>
            <w:rStyle w:val="Hyperlink"/>
            <w:sz w:val="20"/>
            <w:szCs w:val="20"/>
          </w:rPr>
          <w:t>4</w:t>
        </w:r>
        <w:r>
          <w:rPr>
            <w:rStyle w:val="Hyperlink"/>
            <w:sz w:val="20"/>
            <w:szCs w:val="20"/>
          </w:rPr>
          <w:t>.</w:t>
        </w:r>
        <w:r w:rsidRPr="00FA63BD">
          <w:rPr>
            <w:rStyle w:val="Hyperlink"/>
            <w:sz w:val="20"/>
            <w:szCs w:val="20"/>
          </w:rPr>
          <w:t>3</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În general, examinarea potențialului de inovare ar trebui să se refere cel puțin la măsurile legate de următoarele IEC-uri: </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 xml:space="preserve">IEC nr. </w:t>
      </w:r>
      <w:r w:rsidRPr="00FA63BD">
        <w:t>1</w:t>
      </w:r>
      <w:r>
        <w:t xml:space="preserve"> este legată de M</w:t>
      </w:r>
      <w:r w:rsidRPr="00FA63BD">
        <w:t>1</w:t>
      </w:r>
      <w:r>
        <w:t>, M</w:t>
      </w:r>
      <w:r w:rsidRPr="00FA63BD">
        <w:t>2</w:t>
      </w:r>
      <w:r>
        <w:t xml:space="preserve"> și M</w:t>
      </w:r>
      <w:r w:rsidRPr="00FA63BD">
        <w:t>16</w:t>
      </w:r>
      <w:r>
        <w:t xml:space="preserve"> [articolele </w:t>
      </w:r>
      <w:r w:rsidRPr="00FA63BD">
        <w:t>14</w:t>
      </w:r>
      <w:r>
        <w:t xml:space="preserve">, </w:t>
      </w:r>
      <w:r w:rsidRPr="00FA63BD">
        <w:t>15</w:t>
      </w:r>
      <w:r>
        <w:t xml:space="preserve"> și, respectiv, </w:t>
      </w:r>
      <w:r w:rsidRPr="00FA63BD">
        <w:t>35</w:t>
      </w:r>
      <w:r>
        <w:t xml:space="preserve"> din Regulamentul (UE) nr </w:t>
      </w:r>
      <w:r w:rsidRPr="00FA63BD">
        <w:t>1305</w:t>
      </w:r>
      <w:r>
        <w:t>/</w:t>
      </w:r>
      <w:r w:rsidRPr="00FA63BD">
        <w:t>2013</w:t>
      </w:r>
      <w:r>
        <w:t>]. Examinarea se va concentra asupra potențialului de inovare al acestor măsuri și va contribui la furnizarea de răspunsuri pentru partea legată de inovare a IEC.</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 xml:space="preserve">IEC nr. </w:t>
      </w:r>
      <w:r w:rsidRPr="00FA63BD">
        <w:t>2</w:t>
      </w:r>
      <w:r>
        <w:t xml:space="preserve"> este legată de M</w:t>
      </w:r>
      <w:r w:rsidRPr="00FA63BD">
        <w:t>16</w:t>
      </w:r>
      <w:r>
        <w:t xml:space="preserve"> (cooperare). Submăsurile M</w:t>
      </w:r>
      <w:r w:rsidRPr="00FA63BD">
        <w:t>16</w:t>
      </w:r>
      <w:r>
        <w:t xml:space="preserve"> vor fi examinate în principal în privința potențialului lor de a contribui la cele trei modalități. Rezultatele vor contribui la furnizarea de răspunsuri pentru partea legată de inovare a IEC.</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 xml:space="preserve">IEC nr. </w:t>
      </w:r>
      <w:r w:rsidRPr="00FA63BD">
        <w:t>21</w:t>
      </w:r>
      <w:r>
        <w:t xml:space="preserve"> vizează cele patru obiective ale RNDR. Examinarea potențialului de inovare al RNDR se va concentra asupra acțiunilor RNDR, care contribuie la îndeplinirea obiectivului comun al RNDR „încurajarea inovării în agricultură, producția alimentară, silvicultură și zonele rurale”. Această examinare va contribui la furnizarea de răspunsuri pentru partea legată de inovare a IEC.</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Pentru IEC nr. </w:t>
      </w:r>
      <w:r w:rsidRPr="00FA63BD">
        <w:t>23</w:t>
      </w:r>
      <w:r>
        <w:t xml:space="preserve">, răspunsul furnizat se va baza pe evaluarea contribuțiilor PDR la îndeplinirea obiectivului principal în materie de cercetare și dezvoltare/inovare de a atinge </w:t>
      </w:r>
      <w:r w:rsidRPr="00FA63BD">
        <w:t>3</w:t>
      </w:r>
      <w:r>
        <w:t> % din PIB-ul UE (public și privat combinat)</w:t>
      </w:r>
      <w:r>
        <w:rPr>
          <w:rFonts w:eastAsia="Times New Roman" w:cs="Times New Roman"/>
          <w:szCs w:val="20"/>
          <w:vertAlign w:val="superscript"/>
          <w:lang w:eastAsia="de-DE"/>
        </w:rPr>
        <w:footnoteReference w:id="46"/>
      </w:r>
      <w:r>
        <w:t xml:space="preserve">, utilizând în același timp indicatorii corespunzători respectivului obiectiv. Examinarea tuturor măsurilor din cadrul PDR în ceea ce privește potențialul de inovare este importantă pentru: a) identificarea măsurilor care contribuie la încurajarea inovării și b) luarea în considerare a cheltuielilor legate de aceste măsuri atunci când se calculează indicatorii utilizați pentru a furniza un răspuns pentru IEC nr. </w:t>
      </w:r>
      <w:r w:rsidRPr="00FA63BD">
        <w:t>23</w:t>
      </w:r>
      <w:r>
        <w:t>.</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IEC nr. </w:t>
      </w:r>
      <w:r w:rsidRPr="00FA63BD">
        <w:t>30</w:t>
      </w:r>
      <w:r>
        <w:t xml:space="preserve"> este legată de obiectivul transversal privind inovarea. În acest caz, toate măsurile/submăsurile și combinația acestora în fiecare arie de intervenție vor fi examinate în vederea identificării celor cu potențial de încurajare a inovării prin cele trei modalități. Această analiză va ajuta evaluatorul să realizeze o evaluare a studiului de caz bazată pe teoria schimbării propuse pentru a fi utilizată atunci când se furnizează un răspuns la IEC nr. </w:t>
      </w:r>
      <w:r w:rsidRPr="00FA63BD">
        <w:t>30</w:t>
      </w:r>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 xml:space="preserve">Care este rezultatul? </w:t>
      </w:r>
    </w:p>
    <w:p w:rsidR="00A45935" w:rsidRDefault="00A45935" w:rsidP="00E05D08">
      <w:pPr>
        <w:spacing w:after="120" w:line="280" w:lineRule="atLeast"/>
        <w:mirrorIndents/>
        <w:rPr>
          <w:rFonts w:eastAsia="Times New Roman" w:cs="Times New Roman"/>
          <w:szCs w:val="20"/>
        </w:rPr>
      </w:pPr>
      <w:r>
        <w:rPr>
          <w:b/>
          <w:szCs w:val="20"/>
        </w:rPr>
        <w:t>Examinarea ajută la explicitarea logicii de intervenție legate de inovare a PDR.</w:t>
      </w:r>
      <w:r>
        <w:t xml:space="preserve"> Examinarea identifică măsurile PDR care au cel mai mare potențial de încurajare a inovării și clarifică, de asemenea, care sunt domeniile (modalitățile) de care se leagă. Pe parcursul evaluării ulterioare a efectelor, rezultatele examinării vor fi luate în considerare pentru compararea potențialului cu realizările reale ale PDR în ceea ce privește încurajarea inovării. Acest lucru contribuie la concentrarea activității evaluatorului asupra acelor măsuri și submăsuri care sunt considerate deosebit de relevante pentru încurajarea inovării. </w:t>
      </w:r>
    </w:p>
    <w:p w:rsidR="007A450E" w:rsidRPr="00E05D08" w:rsidRDefault="007A450E" w:rsidP="00E05D08">
      <w:pPr>
        <w:spacing w:after="120" w:line="280" w:lineRule="atLeast"/>
        <w:mirrorIndents/>
        <w:rPr>
          <w:rFonts w:eastAsia="Times New Roman" w:cs="Times New Roman"/>
          <w:szCs w:val="20"/>
          <w:lang w:eastAsia="de-DE"/>
        </w:rPr>
      </w:pPr>
    </w:p>
    <w:p w:rsidR="00A45935" w:rsidRPr="00E05D08" w:rsidRDefault="004408A1" w:rsidP="009F5AB5">
      <w:pPr>
        <w:pStyle w:val="HStandard"/>
      </w:pPr>
      <w:r>
        <w:rPr>
          <w:b/>
          <w:noProof/>
          <w:lang w:val="en-GB" w:eastAsia="en-GB"/>
        </w:rPr>
        <mc:AlternateContent>
          <mc:Choice Requires="wps">
            <w:drawing>
              <wp:anchor distT="0" distB="0" distL="114300" distR="114300" simplePos="0" relativeHeight="251742208" behindDoc="0" locked="0" layoutInCell="1" allowOverlap="1" wp14:anchorId="0EA99D31" wp14:editId="1C000944">
                <wp:simplePos x="0" y="0"/>
                <wp:positionH relativeFrom="page">
                  <wp:posOffset>2078966</wp:posOffset>
                </wp:positionH>
                <wp:positionV relativeFrom="page">
                  <wp:posOffset>2950234</wp:posOffset>
                </wp:positionV>
                <wp:extent cx="4153535" cy="2147977"/>
                <wp:effectExtent l="0" t="0" r="18415" b="2413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35" cy="2147977"/>
                        </a:xfrm>
                        <a:prstGeom prst="round2DiagRect">
                          <a:avLst>
                            <a:gd name="adj1" fmla="val 9754"/>
                            <a:gd name="adj2" fmla="val 0"/>
                          </a:avLst>
                        </a:prstGeom>
                        <a:noFill/>
                        <a:ln w="25400" cap="flat" cmpd="sng" algn="ctr">
                          <a:solidFill>
                            <a:srgbClr val="8BAB80"/>
                          </a:solidFill>
                          <a:prstDash val="solid"/>
                        </a:ln>
                        <a:effectLst/>
                      </wps:spPr>
                      <wps:txbx>
                        <w:txbxContent>
                          <w:p w:rsidR="008A60B4" w:rsidRPr="00275EE5" w:rsidRDefault="008A60B4"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17"/>
                              <w:gridCol w:w="3102"/>
                            </w:tblGrid>
                            <w:tr w:rsidR="008A60B4" w:rsidRPr="0079762F" w:rsidTr="00E05D08">
                              <w:tc>
                                <w:tcPr>
                                  <w:tcW w:w="3402" w:type="dxa"/>
                                  <w:shd w:val="clear" w:color="auto" w:fill="FFFFFF"/>
                                </w:tcPr>
                                <w:p w:rsidR="008A60B4" w:rsidRPr="00B63DE8" w:rsidRDefault="008A60B4" w:rsidP="007A450E">
                                  <w:pPr>
                                    <w:suppressOverlap/>
                                    <w:jc w:val="left"/>
                                    <w:rPr>
                                      <w:rFonts w:cs="Arial"/>
                                      <w:b/>
                                      <w:color w:val="404040"/>
                                      <w:szCs w:val="18"/>
                                    </w:rPr>
                                  </w:pPr>
                                  <w:r>
                                    <w:rPr>
                                      <w:b/>
                                      <w:color w:val="404040"/>
                                      <w:szCs w:val="18"/>
                                    </w:rPr>
                                    <w:t>Așa da</w:t>
                                  </w:r>
                                </w:p>
                                <w:p w:rsidR="008A60B4" w:rsidRPr="00B63DE8" w:rsidRDefault="008A60B4" w:rsidP="007A450E">
                                  <w:pPr>
                                    <w:pStyle w:val="Hlistbullet"/>
                                    <w:spacing w:line="160" w:lineRule="atLeast"/>
                                    <w:jc w:val="left"/>
                                    <w:rPr>
                                      <w:sz w:val="18"/>
                                      <w:szCs w:val="18"/>
                                    </w:rPr>
                                  </w:pPr>
                                  <w:r>
                                    <w:rPr>
                                      <w:sz w:val="18"/>
                                      <w:szCs w:val="18"/>
                                    </w:rPr>
                                    <w:t xml:space="preserve">Evaluați modul în care sunt concepute măsurile (legătura cu nevoile, obiectivele, criteriile de selecție, beneficiarii) din perspectiva potențialului de încurajare a inovării și a intensității acesteia. </w:t>
                                  </w:r>
                                </w:p>
                                <w:p w:rsidR="008A60B4" w:rsidRPr="00B63DE8" w:rsidRDefault="008A60B4" w:rsidP="007A450E">
                                  <w:pPr>
                                    <w:pStyle w:val="Hlistbullet"/>
                                    <w:spacing w:line="160" w:lineRule="atLeast"/>
                                    <w:jc w:val="left"/>
                                  </w:pPr>
                                  <w:r>
                                    <w:rPr>
                                      <w:sz w:val="18"/>
                                      <w:szCs w:val="18"/>
                                    </w:rPr>
                                    <w:t>Recunoașteți logica de intervenție subiacentă legată de inovare a PDR.</w:t>
                                  </w:r>
                                  <w:r>
                                    <w:t xml:space="preserve"> </w:t>
                                  </w:r>
                                </w:p>
                              </w:tc>
                              <w:tc>
                                <w:tcPr>
                                  <w:tcW w:w="3402" w:type="dxa"/>
                                  <w:shd w:val="clear" w:color="auto" w:fill="auto"/>
                                </w:tcPr>
                                <w:p w:rsidR="008A60B4" w:rsidRPr="00B63DE8" w:rsidRDefault="008A60B4" w:rsidP="007A450E">
                                  <w:pPr>
                                    <w:suppressOverlap/>
                                    <w:jc w:val="left"/>
                                    <w:rPr>
                                      <w:rFonts w:cs="Arial"/>
                                      <w:b/>
                                      <w:color w:val="404040"/>
                                      <w:szCs w:val="18"/>
                                    </w:rPr>
                                  </w:pPr>
                                  <w:r>
                                    <w:rPr>
                                      <w:b/>
                                      <w:color w:val="404040"/>
                                      <w:szCs w:val="18"/>
                                    </w:rPr>
                                    <w:t>Așa nu</w:t>
                                  </w:r>
                                </w:p>
                                <w:p w:rsidR="008A60B4" w:rsidRPr="00B63DE8" w:rsidRDefault="008A60B4" w:rsidP="007A450E">
                                  <w:pPr>
                                    <w:pStyle w:val="Hlistbullet"/>
                                    <w:spacing w:line="160" w:lineRule="atLeast"/>
                                    <w:jc w:val="left"/>
                                    <w:rPr>
                                      <w:sz w:val="18"/>
                                      <w:szCs w:val="18"/>
                                    </w:rPr>
                                  </w:pPr>
                                  <w:r>
                                    <w:rPr>
                                      <w:sz w:val="18"/>
                                      <w:szCs w:val="18"/>
                                    </w:rPr>
                                    <w:t xml:space="preserve">Limitați examinarea potențialului de inovare al PDR numai la menționarea cuvântului „inovator/inovatoare” în criteriile de selecție și în măsuri. </w:t>
                                  </w:r>
                                </w:p>
                                <w:p w:rsidR="008A60B4" w:rsidRPr="00B63DE8" w:rsidRDefault="008A60B4" w:rsidP="007A450E">
                                  <w:pPr>
                                    <w:suppressOverlap/>
                                    <w:jc w:val="left"/>
                                    <w:rPr>
                                      <w:rFonts w:cs="Arial"/>
                                      <w:color w:val="1A1A1A"/>
                                      <w:szCs w:val="18"/>
                                    </w:rPr>
                                  </w:pPr>
                                </w:p>
                              </w:tc>
                            </w:tr>
                          </w:tbl>
                          <w:p w:rsidR="008A60B4" w:rsidRPr="00275EE5" w:rsidRDefault="008A60B4"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99D31" id="Rectangle: Diagonal Corners Rounded 67" o:spid="_x0000_s1038" style="position:absolute;left:0;text-align:left;margin-left:163.7pt;margin-top:232.3pt;width:327.05pt;height:169.1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35,21479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" adj="-11796480,,5400" path="m209514,l4153535,r,l4153535,1938463v,115711,-93803,209514,-209514,209514l,2147977r,l,209514c,93803,93803,,209514,xe" filled="f" strokecolor="#8bab80" strokeweight="2pt">
                <v:stroke joinstyle="miter"/>
                <v:formulas/>
                <v:path arrowok="t" o:connecttype="custom" o:connectlocs="209514,0;4153535,0;4153535,0;4153535,1938463;3944021,2147977;0,2147977;0,2147977;0,209514;209514,0" o:connectangles="0,0,0,0,0,0,0,0,0" textboxrect="0,0,4153535,2147977"/>
                <v:textbox>
                  <w:txbxContent>
                    <w:p w:rsidR="008A60B4" w:rsidRPr="00275EE5" w:rsidRDefault="008A60B4"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17"/>
                        <w:gridCol w:w="3102"/>
                      </w:tblGrid>
                      <w:tr w:rsidR="008A60B4" w:rsidRPr="0079762F" w:rsidTr="00E05D08">
                        <w:tc>
                          <w:tcPr>
                            <w:tcW w:w="3402" w:type="dxa"/>
                            <w:shd w:val="clear" w:color="auto" w:fill="FFFFFF"/>
                          </w:tcPr>
                          <w:p w:rsidR="008A60B4" w:rsidRPr="00B63DE8" w:rsidRDefault="008A60B4" w:rsidP="007A450E">
                            <w:pPr>
                              <w:suppressOverlap/>
                              <w:jc w:val="left"/>
                              <w:rPr>
                                <w:rFonts w:cs="Arial"/>
                                <w:b/>
                                <w:color w:val="404040"/>
                                <w:szCs w:val="18"/>
                              </w:rPr>
                            </w:pPr>
                            <w:r>
                              <w:rPr>
                                <w:b/>
                                <w:color w:val="404040"/>
                                <w:szCs w:val="18"/>
                              </w:rPr>
                              <w:t>Așa da</w:t>
                            </w:r>
                          </w:p>
                          <w:p w:rsidR="008A60B4" w:rsidRPr="00B63DE8" w:rsidRDefault="008A60B4" w:rsidP="007A450E">
                            <w:pPr>
                              <w:pStyle w:val="Hlistbullet"/>
                              <w:spacing w:line="160" w:lineRule="atLeast"/>
                              <w:jc w:val="left"/>
                              <w:rPr>
                                <w:sz w:val="18"/>
                                <w:szCs w:val="18"/>
                              </w:rPr>
                            </w:pPr>
                            <w:r>
                              <w:rPr>
                                <w:sz w:val="18"/>
                                <w:szCs w:val="18"/>
                              </w:rPr>
                              <w:t xml:space="preserve">Evaluați modul în care sunt concepute măsurile (legătura cu nevoile, obiectivele, criteriile de selecție, beneficiarii) din perspectiva potențialului de încurajare a inovării și a intensității acesteia. </w:t>
                            </w:r>
                          </w:p>
                          <w:p w:rsidR="008A60B4" w:rsidRPr="00B63DE8" w:rsidRDefault="008A60B4" w:rsidP="007A450E">
                            <w:pPr>
                              <w:pStyle w:val="Hlistbullet"/>
                              <w:spacing w:line="160" w:lineRule="atLeast"/>
                              <w:jc w:val="left"/>
                            </w:pPr>
                            <w:r>
                              <w:rPr>
                                <w:sz w:val="18"/>
                                <w:szCs w:val="18"/>
                              </w:rPr>
                              <w:t>Recunoașteți logica de intervenție subiacentă legată de inovare a PDR.</w:t>
                            </w:r>
                            <w:r>
                              <w:t xml:space="preserve"> </w:t>
                            </w:r>
                          </w:p>
                        </w:tc>
                        <w:tc>
                          <w:tcPr>
                            <w:tcW w:w="3402" w:type="dxa"/>
                            <w:shd w:val="clear" w:color="auto" w:fill="auto"/>
                          </w:tcPr>
                          <w:p w:rsidR="008A60B4" w:rsidRPr="00B63DE8" w:rsidRDefault="008A60B4" w:rsidP="007A450E">
                            <w:pPr>
                              <w:suppressOverlap/>
                              <w:jc w:val="left"/>
                              <w:rPr>
                                <w:rFonts w:cs="Arial"/>
                                <w:b/>
                                <w:color w:val="404040"/>
                                <w:szCs w:val="18"/>
                              </w:rPr>
                            </w:pPr>
                            <w:r>
                              <w:rPr>
                                <w:b/>
                                <w:color w:val="404040"/>
                                <w:szCs w:val="18"/>
                              </w:rPr>
                              <w:t>Așa nu</w:t>
                            </w:r>
                          </w:p>
                          <w:p w:rsidR="008A60B4" w:rsidRPr="00B63DE8" w:rsidRDefault="008A60B4" w:rsidP="007A450E">
                            <w:pPr>
                              <w:pStyle w:val="Hlistbullet"/>
                              <w:spacing w:line="160" w:lineRule="atLeast"/>
                              <w:jc w:val="left"/>
                              <w:rPr>
                                <w:sz w:val="18"/>
                                <w:szCs w:val="18"/>
                              </w:rPr>
                            </w:pPr>
                            <w:r>
                              <w:rPr>
                                <w:sz w:val="18"/>
                                <w:szCs w:val="18"/>
                              </w:rPr>
                              <w:t xml:space="preserve">Limitați examinarea potențialului de inovare al PDR numai la menționarea cuvântului „inovator/inovatoare” în criteriile de selecție și în măsuri. </w:t>
                            </w:r>
                          </w:p>
                          <w:p w:rsidR="008A60B4" w:rsidRPr="00B63DE8" w:rsidRDefault="008A60B4" w:rsidP="007A450E">
                            <w:pPr>
                              <w:suppressOverlap/>
                              <w:jc w:val="left"/>
                              <w:rPr>
                                <w:rFonts w:cs="Arial"/>
                                <w:color w:val="1A1A1A"/>
                                <w:szCs w:val="18"/>
                              </w:rPr>
                            </w:pPr>
                          </w:p>
                        </w:tc>
                      </w:tr>
                    </w:tbl>
                    <w:p w:rsidR="008A60B4" w:rsidRPr="00275EE5" w:rsidRDefault="008A60B4" w:rsidP="007A450E">
                      <w:pPr>
                        <w:pStyle w:val="Normal12PTcouleurgris"/>
                      </w:pPr>
                    </w:p>
                  </w:txbxContent>
                </v:textbox>
                <w10:wrap type="square" anchorx="page" anchory="page"/>
              </v:shape>
            </w:pict>
          </mc:Fallback>
        </mc:AlternateContent>
      </w:r>
    </w:p>
    <w:p w:rsidR="00A45935" w:rsidRPr="00E05D08" w:rsidRDefault="00A45935" w:rsidP="009F5AB5">
      <w:pPr>
        <w:pStyle w:val="HStandard"/>
      </w:pPr>
    </w:p>
    <w:p w:rsidR="00A45935" w:rsidRDefault="00A45935" w:rsidP="009F5AB5">
      <w:pPr>
        <w:pStyle w:val="HStandard"/>
      </w:pPr>
    </w:p>
    <w:p w:rsidR="000A43B7" w:rsidRDefault="000A43B7" w:rsidP="009F5AB5">
      <w:pPr>
        <w:pStyle w:val="HStandard"/>
      </w:pPr>
    </w:p>
    <w:p w:rsidR="000A43B7" w:rsidRDefault="000A43B7" w:rsidP="009F5AB5">
      <w:pPr>
        <w:pStyle w:val="HStandard"/>
      </w:pPr>
    </w:p>
    <w:p w:rsidR="007A450E" w:rsidRDefault="007A450E">
      <w:pPr>
        <w:jc w:val="left"/>
        <w:rPr>
          <w:rFonts w:eastAsia="Times New Roman" w:cs="Times New Roman"/>
          <w:b/>
          <w:szCs w:val="20"/>
        </w:rPr>
      </w:pPr>
      <w:bookmarkStart w:id="96" w:name="_Toc493151903"/>
      <w:bookmarkStart w:id="97" w:name="_Toc501382129"/>
      <w:r>
        <w:br w:type="page"/>
      </w:r>
    </w:p>
    <w:p w:rsidR="00A45935" w:rsidRPr="00FC7364" w:rsidRDefault="00A45935" w:rsidP="00B421B9">
      <w:pPr>
        <w:pStyle w:val="HHeading2"/>
        <w:numPr>
          <w:ilvl w:val="1"/>
          <w:numId w:val="119"/>
        </w:numPr>
        <w:ind w:left="567" w:hanging="567"/>
      </w:pPr>
      <w:bookmarkStart w:id="98" w:name="Complementing"/>
      <w:bookmarkStart w:id="99" w:name="_Toc508889179"/>
      <w:bookmarkEnd w:id="98"/>
      <w:r>
        <w:lastRenderedPageBreak/>
        <w:t>Completarea elementelor de evaluare comune pentru inovare (recomandată)</w:t>
      </w:r>
      <w:bookmarkEnd w:id="96"/>
      <w:bookmarkEnd w:id="97"/>
      <w:bookmarkEnd w:id="99"/>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De ce și când ar trebui completat SCME? </w:t>
      </w:r>
    </w:p>
    <w:p w:rsidR="00A45935" w:rsidRPr="00E05D08" w:rsidRDefault="00A45935" w:rsidP="00E05D08">
      <w:pPr>
        <w:spacing w:after="120" w:line="280" w:lineRule="atLeast"/>
        <w:mirrorIndents/>
        <w:rPr>
          <w:rFonts w:eastAsia="Times New Roman" w:cs="Times New Roman"/>
          <w:szCs w:val="20"/>
        </w:rPr>
      </w:pPr>
      <w:r>
        <w:rPr>
          <w:b/>
          <w:bCs/>
        </w:rPr>
        <w:t>SCME furnizează un set de elemente de evaluare de bază</w:t>
      </w:r>
      <w:r>
        <w:t xml:space="preserve"> (indicatori de realizare comuni) pentru a furniza răspunsuri la întrebările de evaluare comune relevante nr. </w:t>
      </w:r>
      <w:r w:rsidRPr="00FA63BD">
        <w:t>1</w:t>
      </w:r>
      <w:r>
        <w:t xml:space="preserve">, </w:t>
      </w:r>
      <w:r w:rsidRPr="00FA63BD">
        <w:t>2</w:t>
      </w:r>
      <w:r>
        <w:t xml:space="preserve"> și </w:t>
      </w:r>
      <w:r w:rsidRPr="00FA63BD">
        <w:t>21</w:t>
      </w:r>
      <w:r>
        <w:t xml:space="preserve"> (a se vedea </w:t>
      </w:r>
      <w:hyperlink w:anchor="Policy_framework" w:history="1">
        <w:r>
          <w:rPr>
            <w:rStyle w:val="Hyperlink"/>
            <w:sz w:val="20"/>
            <w:szCs w:val="20"/>
          </w:rPr>
          <w:t xml:space="preserve">secțiunea </w:t>
        </w:r>
        <w:r w:rsidRPr="00FA63BD">
          <w:rPr>
            <w:rStyle w:val="Hyperlink"/>
            <w:sz w:val="20"/>
            <w:szCs w:val="20"/>
          </w:rPr>
          <w:t>1</w:t>
        </w:r>
        <w:r>
          <w:rPr>
            <w:rStyle w:val="Hyperlink"/>
            <w:sz w:val="20"/>
            <w:szCs w:val="20"/>
          </w:rPr>
          <w:t>.</w:t>
        </w:r>
        <w:r w:rsidRPr="00FA63BD">
          <w:rPr>
            <w:rStyle w:val="Hyperlink"/>
            <w:sz w:val="20"/>
            <w:szCs w:val="20"/>
          </w:rPr>
          <w:t>2</w:t>
        </w:r>
        <w:r>
          <w:rPr>
            <w:rStyle w:val="Hyperlink"/>
            <w:sz w:val="20"/>
            <w:szCs w:val="20"/>
          </w:rPr>
          <w:t>.</w:t>
        </w:r>
        <w:r w:rsidRPr="00FA63BD">
          <w:rPr>
            <w:rStyle w:val="Hyperlink"/>
            <w:sz w:val="20"/>
            <w:szCs w:val="20"/>
          </w:rPr>
          <w:t>1</w:t>
        </w:r>
      </w:hyperlink>
      <w:r>
        <w:t xml:space="preserve">). Mai mult, criteriile de apreciere pentru toate IEC-urile legate de inovare și unii indicatori suplimentari sunt propuși în documentul de lucru, </w:t>
      </w:r>
      <w:hyperlink r:id="rId32" w:history="1">
        <w:r>
          <w:rPr>
            <w:rStyle w:val="Hyperlink"/>
            <w:sz w:val="20"/>
            <w:szCs w:val="20"/>
          </w:rPr>
          <w:t xml:space="preserve">Întrebări de evaluare comune pentru programele de dezvoltare rurală în perioada </w:t>
        </w:r>
        <w:r w:rsidRPr="00FA63BD">
          <w:rPr>
            <w:rStyle w:val="Hyperlink"/>
            <w:sz w:val="20"/>
            <w:szCs w:val="20"/>
          </w:rPr>
          <w:t>2014</w:t>
        </w:r>
        <w:r>
          <w:rPr>
            <w:rStyle w:val="Hyperlink"/>
            <w:sz w:val="20"/>
            <w:szCs w:val="20"/>
          </w:rPr>
          <w:t>-</w:t>
        </w:r>
        <w:r w:rsidRPr="00FA63BD">
          <w:rPr>
            <w:rStyle w:val="Hyperlink"/>
            <w:sz w:val="20"/>
            <w:szCs w:val="20"/>
          </w:rPr>
          <w:t>2020</w:t>
        </w:r>
      </w:hyperlink>
      <w:r>
        <w:t xml:space="preserve">. De exemplu, IEC nr. </w:t>
      </w:r>
      <w:r w:rsidRPr="00FA63BD">
        <w:t>23</w:t>
      </w:r>
      <w:r>
        <w:t xml:space="preserve"> este legată de obiectivul principal al Strategiei </w:t>
      </w:r>
      <w:r w:rsidRPr="00FA63BD">
        <w:t>2020</w:t>
      </w:r>
      <w:r>
        <w:t xml:space="preserve"> a UE, care poate fi folosit ca bază pentru a răspunde la această întrebare. IEC nr. </w:t>
      </w:r>
      <w:r w:rsidRPr="00FA63BD">
        <w:t>30</w:t>
      </w:r>
      <w:r>
        <w:t xml:space="preserve"> este singura întrebare însoțită de indicatori suplimentari</w:t>
      </w:r>
      <w:r>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rPr>
          <w:b/>
          <w:bCs/>
        </w:rPr>
        <w:t xml:space="preserve">Elementele de evaluare comune sunt revizuite înainte de începerea evaluării </w:t>
      </w:r>
      <w:r>
        <w:t xml:space="preserve">și sunt completate, dacă este necesar. Această examinare poate lua în considerare constatările verificării potențialului de inovare al PDR în ceea ce privește încurajarea inovării (a se vedea </w:t>
      </w:r>
      <w:hyperlink w:anchor="Screening_Potential" w:history="1">
        <w:r>
          <w:rPr>
            <w:rStyle w:val="Hyperlink"/>
            <w:sz w:val="20"/>
            <w:szCs w:val="20"/>
          </w:rPr>
          <w:t xml:space="preserve">capitolul </w:t>
        </w:r>
        <w:r w:rsidRPr="00FA63BD">
          <w:rPr>
            <w:rStyle w:val="Hyperlink"/>
            <w:sz w:val="20"/>
            <w:szCs w:val="20"/>
          </w:rPr>
          <w:t>2</w:t>
        </w:r>
        <w:r>
          <w:rPr>
            <w:rStyle w:val="Hyperlink"/>
            <w:sz w:val="20"/>
            <w:szCs w:val="20"/>
          </w:rPr>
          <w:t>.</w:t>
        </w:r>
        <w:r w:rsidRPr="00FA63BD">
          <w:rPr>
            <w:rStyle w:val="Hyperlink"/>
            <w:sz w:val="20"/>
            <w:szCs w:val="20"/>
          </w:rPr>
          <w:t>2</w:t>
        </w:r>
      </w:hyperlink>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Care sunt etapele pentru elaborarea elementelor de evaluare suplimentare și specifice programului?</w:t>
      </w:r>
    </w:p>
    <w:p w:rsidR="00A45935" w:rsidRPr="00E05D08" w:rsidRDefault="00A45935" w:rsidP="00E05D08">
      <w:pPr>
        <w:spacing w:after="120" w:line="280" w:lineRule="atLeast"/>
        <w:mirrorIndents/>
        <w:rPr>
          <w:rFonts w:eastAsia="Calibri" w:cs="Times New Roman"/>
          <w:szCs w:val="20"/>
        </w:rPr>
      </w:pPr>
      <w:r>
        <w:t xml:space="preserve">Elaborarea elementelor de evaluare suplimentare (descrise în detaliu în ghidul </w:t>
      </w:r>
      <w:hyperlink r:id="rId33" w:history="1">
        <w:r>
          <w:rPr>
            <w:rStyle w:val="Hyperlink"/>
            <w:sz w:val="20"/>
            <w:szCs w:val="20"/>
          </w:rPr>
          <w:t xml:space="preserve">Evaluarea rezultatelor PDR: pregătirea raportării cu privire la evaluare în </w:t>
        </w:r>
        <w:r w:rsidRPr="00FA63BD">
          <w:rPr>
            <w:rStyle w:val="Hyperlink"/>
            <w:sz w:val="20"/>
            <w:szCs w:val="20"/>
          </w:rPr>
          <w:t>2017</w:t>
        </w:r>
      </w:hyperlink>
      <w:r>
        <w:t xml:space="preserve">) poate fi rezumată după cum urmează: </w:t>
      </w:r>
    </w:p>
    <w:p w:rsidR="00A45935" w:rsidRPr="00B10B3C" w:rsidRDefault="00576A73" w:rsidP="00B421B9">
      <w:pPr>
        <w:pStyle w:val="Hlistbullet"/>
        <w:rPr>
          <w:rFonts w:eastAsia="Calibri"/>
        </w:rPr>
      </w:pPr>
      <w:r>
        <w:rPr>
          <w:noProof/>
          <w:highlight w:val="yellow"/>
          <w:lang w:val="en-GB" w:eastAsia="en-GB"/>
        </w:rPr>
        <mc:AlternateContent>
          <mc:Choice Requires="wps">
            <w:drawing>
              <wp:anchor distT="0" distB="0" distL="114300" distR="114300" simplePos="0" relativeHeight="251710464" behindDoc="0" locked="0" layoutInCell="1" allowOverlap="1" wp14:anchorId="48702C7A" wp14:editId="126715B2">
                <wp:simplePos x="0" y="0"/>
                <wp:positionH relativeFrom="column">
                  <wp:posOffset>2833370</wp:posOffset>
                </wp:positionH>
                <wp:positionV relativeFrom="paragraph">
                  <wp:posOffset>73025</wp:posOffset>
                </wp:positionV>
                <wp:extent cx="2832735" cy="2170430"/>
                <wp:effectExtent l="0" t="0" r="24765" b="20320"/>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2170430"/>
                        </a:xfrm>
                        <a:prstGeom prst="round2DiagRect">
                          <a:avLst>
                            <a:gd name="adj1" fmla="val 7843"/>
                            <a:gd name="adj2" fmla="val 0"/>
                          </a:avLst>
                        </a:prstGeom>
                        <a:noFill/>
                        <a:ln w="25400" cap="flat" cmpd="sng" algn="ctr">
                          <a:solidFill>
                            <a:srgbClr val="BE4A35"/>
                          </a:solidFill>
                          <a:prstDash val="solid"/>
                        </a:ln>
                        <a:effectLst/>
                      </wps:spPr>
                      <wps:txbx>
                        <w:txbxContent>
                          <w:p w:rsidR="008A60B4" w:rsidRPr="00D450FE" w:rsidRDefault="008A60B4" w:rsidP="00E05D08">
                            <w:pPr>
                              <w:pStyle w:val="HStandard"/>
                              <w:rPr>
                                <w:sz w:val="18"/>
                                <w:szCs w:val="18"/>
                              </w:rPr>
                            </w:pPr>
                            <w:r>
                              <w:rPr>
                                <w:noProof/>
                                <w:lang w:val="en-GB" w:eastAsia="en-GB"/>
                              </w:rPr>
                              <w:drawing>
                                <wp:inline distT="0" distB="0" distL="0" distR="0" wp14:anchorId="3A805B24" wp14:editId="69354BAB">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Elementele de evaluare suplimentare (întrebări de evaluare suplimentare, criterii de apreciere suplimentare și indicatori suplimentari) sugerate în capitolul 2.4 din prezentul ghid </w:t>
                            </w:r>
                            <w:r>
                              <w:rPr>
                                <w:b/>
                                <w:sz w:val="18"/>
                                <w:szCs w:val="18"/>
                              </w:rPr>
                              <w:t xml:space="preserve">NU SUNT OBLIGATORII! </w:t>
                            </w:r>
                            <w:r>
                              <w:rPr>
                                <w:sz w:val="18"/>
                                <w:szCs w:val="18"/>
                              </w:rPr>
                              <w:t xml:space="preserve">Fiecare autoritate de management poate decide să elaboreze și să utilizeze propriile elemente de evaluare suplimentare și specifice ale programului.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2C7A" id="Rectangle: Diagonal Corners Rounded 34" o:spid="_x0000_s1039" style="position:absolute;left:0;text-align:left;margin-left:223.1pt;margin-top:5.75pt;width:223.05pt;height:17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2170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" adj="-11796480,,5400" path="m170227,l2832735,r,l2832735,2000203v,94014,-76213,170227,-170227,170227l,2170430r,l,170227c,76213,76213,,170227,xe" filled="f" strokecolor="#be4a35" strokeweight="2pt">
                <v:stroke joinstyle="miter"/>
                <v:formulas/>
                <v:path arrowok="t" o:connecttype="custom" o:connectlocs="170227,0;2832735,0;2832735,0;2832735,2000203;2662508,2170430;0,2170430;0,2170430;0,170227;170227,0" o:connectangles="0,0,0,0,0,0,0,0,0" textboxrect="0,0,2832735,2170430"/>
                <v:textbox>
                  <w:txbxContent>
                    <w:p w:rsidR="008A60B4" w:rsidRPr="00D450FE" w:rsidRDefault="008A60B4" w:rsidP="00E05D08">
                      <w:pPr>
                        <w:pStyle w:val="HStandard"/>
                        <w:rPr>
                          <w:sz w:val="18"/>
                          <w:szCs w:val="18"/>
                        </w:rPr>
                      </w:pPr>
                      <w:r>
                        <w:rPr>
                          <w:noProof/>
                          <w:lang w:val="en-GB" w:eastAsia="en-GB"/>
                        </w:rPr>
                        <w:drawing>
                          <wp:inline distT="0" distB="0" distL="0" distR="0" wp14:anchorId="3A805B24" wp14:editId="69354BAB">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Elementele de evaluare suplimentare (întrebări de evaluare suplimentare, criterii de apreciere suplimentare și indicatori suplimentari) sugerate în capitolul 2.4 din prezentul ghid </w:t>
                      </w:r>
                      <w:r>
                        <w:rPr>
                          <w:b/>
                          <w:sz w:val="18"/>
                          <w:szCs w:val="18"/>
                        </w:rPr>
                        <w:t xml:space="preserve">NU SUNT OBLIGATORII! </w:t>
                      </w:r>
                      <w:r>
                        <w:rPr>
                          <w:sz w:val="18"/>
                          <w:szCs w:val="18"/>
                        </w:rPr>
                        <w:t xml:space="preserve">Fiecare autoritate de management poate decide să elaboreze și să utilizeze propriile elemente de evaluare suplimentare și specifice ale programului. </w:t>
                      </w:r>
                    </w:p>
                  </w:txbxContent>
                </v:textbox>
                <w10:wrap type="square"/>
              </v:shape>
            </w:pict>
          </mc:Fallback>
        </mc:AlternateContent>
      </w:r>
      <w:r>
        <w:t xml:space="preserve">revizuirea logicii de intervenție subiacente legate de inovare a PDR (a se vedea </w:t>
      </w:r>
      <w:hyperlink w:anchor="Screening_Potential" w:history="1">
        <w:r>
          <w:rPr>
            <w:rStyle w:val="Hyperlink"/>
            <w:sz w:val="20"/>
          </w:rPr>
          <w:t xml:space="preserve">capitolul </w:t>
        </w:r>
        <w:r w:rsidRPr="00FA63BD">
          <w:rPr>
            <w:rStyle w:val="Hyperlink"/>
            <w:sz w:val="20"/>
          </w:rPr>
          <w:t>2</w:t>
        </w:r>
        <w:r>
          <w:rPr>
            <w:rStyle w:val="Hyperlink"/>
            <w:sz w:val="20"/>
          </w:rPr>
          <w:t>.</w:t>
        </w:r>
        <w:r w:rsidRPr="00FA63BD">
          <w:rPr>
            <w:rStyle w:val="Hyperlink"/>
            <w:sz w:val="20"/>
          </w:rPr>
          <w:t>2</w:t>
        </w:r>
      </w:hyperlink>
      <w:r>
        <w:t>);</w:t>
      </w:r>
    </w:p>
    <w:p w:rsidR="00A45935" w:rsidRPr="00B10B3C" w:rsidRDefault="00A45935" w:rsidP="00B421B9">
      <w:pPr>
        <w:pStyle w:val="Hlistbullet"/>
        <w:rPr>
          <w:rFonts w:eastAsia="Calibri"/>
        </w:rPr>
      </w:pPr>
      <w:r>
        <w:t xml:space="preserve">analizarea întrebărilor de evaluare comune, a criteriilor de apreciere și a indicatorilor legați de inovare și verificarea măsurii în care acestea sunt suficiente pentru a răspunde la IEC-urile legate de inovare; </w:t>
      </w:r>
    </w:p>
    <w:p w:rsidR="00576A73" w:rsidRPr="00576A73" w:rsidRDefault="00A45935" w:rsidP="00B421B9">
      <w:pPr>
        <w:pStyle w:val="Hlistbullet"/>
        <w:rPr>
          <w:rFonts w:eastAsia="Calibri"/>
        </w:rPr>
      </w:pPr>
      <w:r>
        <w:t>completarea SCME cu elemente de evaluare suplimentare legate de inovare, în cazul în care elementele comune nu sunt suficiente pentru a răspunde la IEC-urile legate de inovare;</w:t>
      </w:r>
    </w:p>
    <w:p w:rsidR="00576A73" w:rsidRPr="00576A73" w:rsidRDefault="00E208E4" w:rsidP="00B421B9">
      <w:pPr>
        <w:pStyle w:val="Hlistbullet"/>
        <w:rPr>
          <w:rFonts w:eastAsia="Calibri"/>
        </w:rPr>
      </w:pPr>
      <w:r>
        <w:rPr>
          <w:rFonts w:cs="Arial"/>
          <w:b/>
          <w:noProof/>
          <w:color w:val="F07E31"/>
          <w:lang w:val="en-GB" w:eastAsia="en-GB"/>
        </w:rPr>
        <w:lastRenderedPageBreak/>
        <mc:AlternateContent>
          <mc:Choice Requires="wps">
            <w:drawing>
              <wp:anchor distT="0" distB="0" distL="114300" distR="114300" simplePos="0" relativeHeight="251738112" behindDoc="0" locked="0" layoutInCell="1" allowOverlap="1" wp14:anchorId="17B80B2F" wp14:editId="0A91C26D">
                <wp:simplePos x="0" y="0"/>
                <wp:positionH relativeFrom="column">
                  <wp:posOffset>749935</wp:posOffset>
                </wp:positionH>
                <wp:positionV relativeFrom="paragraph">
                  <wp:posOffset>568325</wp:posOffset>
                </wp:positionV>
                <wp:extent cx="4154170" cy="2132965"/>
                <wp:effectExtent l="0" t="0" r="17780" b="19685"/>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2132965"/>
                        </a:xfrm>
                        <a:prstGeom prst="round2DiagRect">
                          <a:avLst>
                            <a:gd name="adj1" fmla="val 7630"/>
                            <a:gd name="adj2" fmla="val 0"/>
                          </a:avLst>
                        </a:prstGeom>
                        <a:noFill/>
                        <a:ln w="25400" cap="flat" cmpd="sng" algn="ctr">
                          <a:solidFill>
                            <a:srgbClr val="8BAB80"/>
                          </a:solidFill>
                          <a:prstDash val="solid"/>
                        </a:ln>
                        <a:effec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8A60B4" w:rsidRPr="0079762F" w:rsidTr="00E05D08">
                              <w:tc>
                                <w:tcPr>
                                  <w:tcW w:w="2991" w:type="dxa"/>
                                  <w:shd w:val="clear" w:color="auto" w:fill="FFFFFF"/>
                                </w:tcPr>
                                <w:p w:rsidR="008A60B4" w:rsidRPr="00654F10" w:rsidRDefault="008A60B4" w:rsidP="001744D0">
                                  <w:pPr>
                                    <w:pStyle w:val="Normal12PTcouleurgris"/>
                                    <w:rPr>
                                      <w:b/>
                                      <w:color w:val="404040"/>
                                      <w:sz w:val="18"/>
                                    </w:rPr>
                                  </w:pPr>
                                  <w:r w:rsidRPr="00171202">
                                    <w:rPr>
                                      <w:noProof/>
                                      <w:lang w:val="en-GB" w:eastAsia="en-GB"/>
                                    </w:rPr>
                                    <w:drawing>
                                      <wp:inline distT="0" distB="0" distL="0" distR="0" wp14:anchorId="44F9E30A" wp14:editId="4187CFCC">
                                        <wp:extent cx="881227" cy="540000"/>
                                        <wp:effectExtent l="0" t="0" r="0" b="0"/>
                                        <wp:docPr id="735"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81227" cy="540000"/>
                                                </a:xfrm>
                                                <a:prstGeom prst="rect">
                                                  <a:avLst/>
                                                </a:prstGeom>
                                              </pic:spPr>
                                            </pic:pic>
                                          </a:graphicData>
                                        </a:graphic>
                                      </wp:inline>
                                    </w:drawing>
                                  </w:r>
                                  <w:r>
                                    <w:rPr>
                                      <w:b/>
                                      <w:color w:val="404040"/>
                                      <w:sz w:val="18"/>
                                    </w:rPr>
                                    <w:t>Așa da</w:t>
                                  </w:r>
                                </w:p>
                                <w:p w:rsidR="008A60B4" w:rsidRPr="00654F10" w:rsidRDefault="008A60B4" w:rsidP="00E208E4">
                                  <w:pPr>
                                    <w:pStyle w:val="Hlistbullet"/>
                                    <w:spacing w:after="0" w:line="160" w:lineRule="atLeast"/>
                                    <w:jc w:val="left"/>
                                    <w:rPr>
                                      <w:sz w:val="18"/>
                                      <w:szCs w:val="18"/>
                                    </w:rPr>
                                  </w:pPr>
                                  <w:r>
                                    <w:rPr>
                                      <w:sz w:val="18"/>
                                      <w:szCs w:val="18"/>
                                    </w:rPr>
                                    <w:t>Examinați criteriile de apreciere și indicatorii SCME pentru a vă asigura că pot răspunde în mod satisfăcător la IEC-uri.</w:t>
                                  </w:r>
                                </w:p>
                                <w:p w:rsidR="008A60B4" w:rsidRPr="00654F10" w:rsidRDefault="008A60B4" w:rsidP="007A450E">
                                  <w:pPr>
                                    <w:pStyle w:val="Hlistbullet"/>
                                    <w:spacing w:line="160" w:lineRule="atLeast"/>
                                    <w:jc w:val="left"/>
                                    <w:rPr>
                                      <w:sz w:val="18"/>
                                      <w:szCs w:val="18"/>
                                    </w:rPr>
                                  </w:pPr>
                                  <w:r>
                                    <w:rPr>
                                      <w:sz w:val="18"/>
                                      <w:szCs w:val="18"/>
                                    </w:rPr>
                                    <w:t>Elaborați criterii de apreciere și indicatori suplimentari dacă cei comuni nu sunt suficienți pentru a colecta dovezi în scopul de a răspunde la IEC-uri.</w:t>
                                  </w:r>
                                </w:p>
                              </w:tc>
                              <w:tc>
                                <w:tcPr>
                                  <w:tcW w:w="2960" w:type="dxa"/>
                                  <w:shd w:val="clear" w:color="auto" w:fill="auto"/>
                                </w:tcPr>
                                <w:p w:rsidR="008A60B4" w:rsidRPr="00654F10" w:rsidRDefault="008A60B4" w:rsidP="001744D0">
                                  <w:pPr>
                                    <w:pStyle w:val="Normal12PTcouleurgris"/>
                                    <w:rPr>
                                      <w:b/>
                                      <w:color w:val="404040"/>
                                      <w:sz w:val="18"/>
                                    </w:rPr>
                                  </w:pPr>
                                  <w:r>
                                    <w:rPr>
                                      <w:b/>
                                      <w:color w:val="404040"/>
                                      <w:sz w:val="18"/>
                                    </w:rPr>
                                    <w:t>Așa nu</w:t>
                                  </w:r>
                                </w:p>
                                <w:p w:rsidR="008A60B4" w:rsidRPr="00654F10" w:rsidRDefault="008A60B4" w:rsidP="007A450E">
                                  <w:pPr>
                                    <w:pStyle w:val="Hlistbullet"/>
                                    <w:spacing w:line="160" w:lineRule="atLeast"/>
                                    <w:jc w:val="left"/>
                                    <w:rPr>
                                      <w:sz w:val="18"/>
                                      <w:szCs w:val="18"/>
                                    </w:rPr>
                                  </w:pPr>
                                  <w:r>
                                    <w:rPr>
                                      <w:sz w:val="18"/>
                                      <w:szCs w:val="18"/>
                                    </w:rPr>
                                    <w:t>Utilizați numai indicatori de realizare pentru a răspunde la IEC-uri (care nu pot să demonstreze pe deplin dacă politica și-a atins scopul).</w:t>
                                  </w:r>
                                </w:p>
                                <w:p w:rsidR="008A60B4" w:rsidRPr="00654F10" w:rsidRDefault="008A60B4" w:rsidP="001744D0">
                                  <w:pPr>
                                    <w:pStyle w:val="Normal12PTcouleurgris"/>
                                    <w:rPr>
                                      <w:color w:val="1A1A1A"/>
                                      <w:sz w:val="18"/>
                                    </w:rPr>
                                  </w:pPr>
                                </w:p>
                              </w:tc>
                            </w:tr>
                          </w:tbl>
                          <w:p w:rsidR="008A60B4" w:rsidRPr="00275EE5" w:rsidRDefault="008A60B4"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80B2F" id="Rectangle: Diagonal Corners Rounded 70" o:spid="_x0000_s1040" style="position:absolute;left:0;text-align:left;margin-left:59.05pt;margin-top:44.75pt;width:327.1pt;height:167.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132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" adj="-11796480,,5400" path="m162745,l4154170,r,l4154170,1970220v,89882,-72863,162745,-162745,162745l,2132965r,l,162745c,72863,72863,,162745,xe" filled="f" strokecolor="#8bab80" strokeweight="2pt">
                <v:stroke joinstyle="miter"/>
                <v:formulas/>
                <v:path arrowok="t" o:connecttype="custom" o:connectlocs="162745,0;4154170,0;4154170,0;4154170,1970220;3991425,2132965;0,2132965;0,2132965;0,162745;162745,0" o:connectangles="0,0,0,0,0,0,0,0,0" textboxrect="0,0,4154170,2132965"/>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8A60B4" w:rsidRPr="0079762F" w:rsidTr="00E05D08">
                        <w:tc>
                          <w:tcPr>
                            <w:tcW w:w="2991" w:type="dxa"/>
                            <w:shd w:val="clear" w:color="auto" w:fill="FFFFFF"/>
                          </w:tcPr>
                          <w:p w:rsidR="008A60B4" w:rsidRPr="00654F10" w:rsidRDefault="008A60B4" w:rsidP="001744D0">
                            <w:pPr>
                              <w:pStyle w:val="Normal12PTcouleurgris"/>
                              <w:rPr>
                                <w:b/>
                                <w:color w:val="404040"/>
                                <w:sz w:val="18"/>
                              </w:rPr>
                            </w:pPr>
                            <w:r w:rsidRPr="00171202">
                              <w:rPr>
                                <w:noProof/>
                                <w:lang w:val="en-GB" w:eastAsia="en-GB"/>
                              </w:rPr>
                              <w:drawing>
                                <wp:inline distT="0" distB="0" distL="0" distR="0" wp14:anchorId="44F9E30A" wp14:editId="4187CFCC">
                                  <wp:extent cx="881227" cy="540000"/>
                                  <wp:effectExtent l="0" t="0" r="0" b="0"/>
                                  <wp:docPr id="735"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81227" cy="540000"/>
                                          </a:xfrm>
                                          <a:prstGeom prst="rect">
                                            <a:avLst/>
                                          </a:prstGeom>
                                        </pic:spPr>
                                      </pic:pic>
                                    </a:graphicData>
                                  </a:graphic>
                                </wp:inline>
                              </w:drawing>
                            </w:r>
                            <w:r>
                              <w:rPr>
                                <w:b/>
                                <w:color w:val="404040"/>
                                <w:sz w:val="18"/>
                              </w:rPr>
                              <w:t>Așa da</w:t>
                            </w:r>
                          </w:p>
                          <w:p w:rsidR="008A60B4" w:rsidRPr="00654F10" w:rsidRDefault="008A60B4" w:rsidP="00E208E4">
                            <w:pPr>
                              <w:pStyle w:val="Hlistbullet"/>
                              <w:spacing w:after="0" w:line="160" w:lineRule="atLeast"/>
                              <w:jc w:val="left"/>
                              <w:rPr>
                                <w:sz w:val="18"/>
                                <w:szCs w:val="18"/>
                              </w:rPr>
                            </w:pPr>
                            <w:r>
                              <w:rPr>
                                <w:sz w:val="18"/>
                                <w:szCs w:val="18"/>
                              </w:rPr>
                              <w:t>Examinați criteriile de apreciere și indicatorii SCME pentru a vă asigura că pot răspunde în mod satisfăcător la IEC-uri.</w:t>
                            </w:r>
                          </w:p>
                          <w:p w:rsidR="008A60B4" w:rsidRPr="00654F10" w:rsidRDefault="008A60B4" w:rsidP="007A450E">
                            <w:pPr>
                              <w:pStyle w:val="Hlistbullet"/>
                              <w:spacing w:line="160" w:lineRule="atLeast"/>
                              <w:jc w:val="left"/>
                              <w:rPr>
                                <w:sz w:val="18"/>
                                <w:szCs w:val="18"/>
                              </w:rPr>
                            </w:pPr>
                            <w:r>
                              <w:rPr>
                                <w:sz w:val="18"/>
                                <w:szCs w:val="18"/>
                              </w:rPr>
                              <w:t>Elaborați criterii de apreciere și indicatori suplimentari dacă cei comuni nu sunt suficienți pentru a colecta dovezi în scopul de a răspunde la IEC-uri.</w:t>
                            </w:r>
                          </w:p>
                        </w:tc>
                        <w:tc>
                          <w:tcPr>
                            <w:tcW w:w="2960" w:type="dxa"/>
                            <w:shd w:val="clear" w:color="auto" w:fill="auto"/>
                          </w:tcPr>
                          <w:p w:rsidR="008A60B4" w:rsidRPr="00654F10" w:rsidRDefault="008A60B4" w:rsidP="001744D0">
                            <w:pPr>
                              <w:pStyle w:val="Normal12PTcouleurgris"/>
                              <w:rPr>
                                <w:b/>
                                <w:color w:val="404040"/>
                                <w:sz w:val="18"/>
                              </w:rPr>
                            </w:pPr>
                            <w:r>
                              <w:rPr>
                                <w:b/>
                                <w:color w:val="404040"/>
                                <w:sz w:val="18"/>
                              </w:rPr>
                              <w:t>Așa nu</w:t>
                            </w:r>
                          </w:p>
                          <w:p w:rsidR="008A60B4" w:rsidRPr="00654F10" w:rsidRDefault="008A60B4" w:rsidP="007A450E">
                            <w:pPr>
                              <w:pStyle w:val="Hlistbullet"/>
                              <w:spacing w:line="160" w:lineRule="atLeast"/>
                              <w:jc w:val="left"/>
                              <w:rPr>
                                <w:sz w:val="18"/>
                                <w:szCs w:val="18"/>
                              </w:rPr>
                            </w:pPr>
                            <w:r>
                              <w:rPr>
                                <w:sz w:val="18"/>
                                <w:szCs w:val="18"/>
                              </w:rPr>
                              <w:t>Utilizați numai indicatori de realizare pentru a răspunde la IEC-uri (care nu pot să demonstreze pe deplin dacă politica și-a atins scopul).</w:t>
                            </w:r>
                          </w:p>
                          <w:p w:rsidR="008A60B4" w:rsidRPr="00654F10" w:rsidRDefault="008A60B4" w:rsidP="001744D0">
                            <w:pPr>
                              <w:pStyle w:val="Normal12PTcouleurgris"/>
                              <w:rPr>
                                <w:color w:val="1A1A1A"/>
                                <w:sz w:val="18"/>
                              </w:rPr>
                            </w:pPr>
                          </w:p>
                        </w:tc>
                      </w:tr>
                    </w:tbl>
                    <w:p w:rsidR="008A60B4" w:rsidRPr="00275EE5" w:rsidRDefault="008A60B4" w:rsidP="007A450E">
                      <w:pPr>
                        <w:pStyle w:val="Normal12PTcouleurgris"/>
                      </w:pPr>
                    </w:p>
                  </w:txbxContent>
                </v:textbox>
                <w10:wrap type="square"/>
              </v:shape>
            </w:pict>
          </mc:Fallback>
        </mc:AlternateContent>
      </w:r>
      <w:r w:rsidR="00A45935">
        <w:t>elaborarea unor elemente de evaluare specifice programului pentru evaluarea inovării, legate de ariile de intervenție specifice programului și de întrebările de evaluare de interes specific pentru autoritățile de management.</w:t>
      </w:r>
      <w:r w:rsidR="00A45935">
        <w:rPr>
          <w:highlight w:val="yellow"/>
        </w:rPr>
        <w:t xml:space="preserve"> </w:t>
      </w:r>
    </w:p>
    <w:p w:rsidR="000A43B7" w:rsidRDefault="000A43B7" w:rsidP="000A43B7">
      <w:pPr>
        <w:rPr>
          <w:noProof/>
          <w:szCs w:val="20"/>
          <w:highlight w:val="yellow"/>
        </w:rPr>
      </w:pPr>
    </w:p>
    <w:p w:rsidR="00A92E91" w:rsidRPr="00A92E91" w:rsidRDefault="00A45935" w:rsidP="00B421B9">
      <w:pPr>
        <w:pStyle w:val="HHeading2"/>
        <w:numPr>
          <w:ilvl w:val="1"/>
          <w:numId w:val="119"/>
        </w:numPr>
        <w:ind w:left="567" w:hanging="567"/>
        <w:rPr>
          <w:noProof/>
          <w:snapToGrid w:val="0"/>
        </w:rPr>
      </w:pPr>
      <w:bookmarkStart w:id="100" w:name="Answering"/>
      <w:bookmarkStart w:id="101" w:name="_Toc493151904"/>
      <w:bookmarkStart w:id="102" w:name="_Toc501382130"/>
      <w:bookmarkStart w:id="103" w:name="_Toc508889180"/>
      <w:bookmarkEnd w:id="11"/>
      <w:bookmarkEnd w:id="100"/>
      <w:r>
        <w:t>Furnizarea de răspunsuri la întrebările de evaluare comune relevante (obligatorie)</w:t>
      </w:r>
      <w:bookmarkEnd w:id="101"/>
      <w:bookmarkEnd w:id="102"/>
      <w:bookmarkEnd w:id="103"/>
    </w:p>
    <w:p w:rsidR="007A450E" w:rsidRDefault="007A450E" w:rsidP="00725801">
      <w:pPr>
        <w:spacing w:after="120" w:line="280" w:lineRule="atLeast"/>
        <w:mirrorIndents/>
        <w:rPr>
          <w:rFonts w:eastAsia="Times New Roman" w:cs="Times New Roman"/>
          <w:szCs w:val="20"/>
          <w:shd w:val="clear" w:color="auto" w:fill="FFFFFF"/>
        </w:rPr>
      </w:pPr>
      <w:r>
        <w:rPr>
          <w:noProof/>
          <w:color w:val="F07E31"/>
          <w:highlight w:val="yellow"/>
          <w:lang w:val="en-GB" w:eastAsia="en-GB"/>
        </w:rPr>
        <mc:AlternateContent>
          <mc:Choice Requires="wps">
            <w:drawing>
              <wp:anchor distT="0" distB="0" distL="114300" distR="114300" simplePos="0" relativeHeight="251717632" behindDoc="0" locked="0" layoutInCell="1" allowOverlap="1" wp14:anchorId="4F29D0FB" wp14:editId="12430B4C">
                <wp:simplePos x="0" y="0"/>
                <wp:positionH relativeFrom="page">
                  <wp:posOffset>914400</wp:posOffset>
                </wp:positionH>
                <wp:positionV relativeFrom="paragraph">
                  <wp:posOffset>936625</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rsidR="008A60B4" w:rsidRPr="00AC3522" w:rsidRDefault="008A60B4" w:rsidP="00E05D08">
                            <w:pPr>
                              <w:pStyle w:val="Normal12PTcouleurgris"/>
                              <w:rPr>
                                <w:shd w:val="clear" w:color="auto" w:fill="FFFFFF"/>
                              </w:rPr>
                            </w:pPr>
                            <w:r>
                              <w:rPr>
                                <w:noProof/>
                                <w:lang w:val="en-GB" w:eastAsia="en-GB"/>
                              </w:rPr>
                              <w:drawing>
                                <wp:inline distT="0" distB="0" distL="0" distR="0" wp14:anchorId="677B2845" wp14:editId="7AC4CDE2">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Următoarea structură este păstrată pentru fiecare IEC:</w:t>
                            </w:r>
                          </w:p>
                          <w:p w:rsidR="008A60B4" w:rsidRPr="00A92E91" w:rsidRDefault="008A60B4" w:rsidP="008C0B17">
                            <w:pPr>
                              <w:pStyle w:val="Normal12PTcouleurgris"/>
                              <w:numPr>
                                <w:ilvl w:val="0"/>
                                <w:numId w:val="78"/>
                              </w:numPr>
                              <w:ind w:left="284" w:hanging="284"/>
                              <w:jc w:val="left"/>
                              <w:rPr>
                                <w:b/>
                                <w:shd w:val="clear" w:color="auto" w:fill="FFFFFF"/>
                              </w:rPr>
                            </w:pPr>
                            <w:r>
                              <w:rPr>
                                <w:b/>
                                <w:shd w:val="clear" w:color="auto" w:fill="FFFFFF"/>
                              </w:rPr>
                              <w:t>Înțelegerea IEC</w:t>
                            </w:r>
                          </w:p>
                          <w:p w:rsidR="008A60B4" w:rsidRPr="00A92E91" w:rsidRDefault="008A60B4" w:rsidP="008C0B17">
                            <w:pPr>
                              <w:pStyle w:val="Normal12PTcouleurgris"/>
                              <w:numPr>
                                <w:ilvl w:val="0"/>
                                <w:numId w:val="78"/>
                              </w:numPr>
                              <w:ind w:left="284" w:hanging="284"/>
                              <w:jc w:val="left"/>
                              <w:rPr>
                                <w:b/>
                                <w:shd w:val="clear" w:color="auto" w:fill="FFFFFF"/>
                              </w:rPr>
                            </w:pPr>
                            <w:r>
                              <w:rPr>
                                <w:b/>
                                <w:shd w:val="clear" w:color="auto" w:fill="FFFFFF"/>
                              </w:rPr>
                              <w:t xml:space="preserve">Provocări specifice </w:t>
                            </w:r>
                          </w:p>
                          <w:p w:rsidR="008A60B4" w:rsidRPr="00A92E91" w:rsidRDefault="008A60B4" w:rsidP="008C0B17">
                            <w:pPr>
                              <w:pStyle w:val="Normal12PTcouleurgris"/>
                              <w:numPr>
                                <w:ilvl w:val="0"/>
                                <w:numId w:val="78"/>
                              </w:numPr>
                              <w:ind w:left="284" w:hanging="284"/>
                              <w:jc w:val="left"/>
                              <w:rPr>
                                <w:shd w:val="clear" w:color="auto" w:fill="FFFFFF"/>
                              </w:rPr>
                            </w:pPr>
                            <w:r>
                              <w:rPr>
                                <w:b/>
                                <w:bCs/>
                                <w:shd w:val="clear" w:color="auto" w:fill="FFFFFF"/>
                              </w:rPr>
                              <w:t>Abordare sugerată pentru a răspunde la IEC:</w:t>
                            </w:r>
                            <w:r>
                              <w:rPr>
                                <w:shd w:val="clear" w:color="auto" w:fill="FFFFFF"/>
                              </w:rPr>
                              <w:t xml:space="preserve"> </w:t>
                            </w:r>
                            <w:r>
                              <w:rPr>
                                <w:i/>
                                <w:shd w:val="clear" w:color="auto" w:fill="FFFFFF"/>
                              </w:rPr>
                              <w:t xml:space="preserve">Acest capitol propune etape, metode și sfaturi privind modul de utilizare a indicatorilor comuni și suplimentari pentru a răspunde la IEC. </w:t>
                            </w:r>
                          </w:p>
                          <w:p w:rsidR="008A60B4" w:rsidRPr="00A92E91" w:rsidRDefault="008A60B4" w:rsidP="008C0B17">
                            <w:pPr>
                              <w:pStyle w:val="Hlistabc2"/>
                              <w:numPr>
                                <w:ilvl w:val="0"/>
                                <w:numId w:val="54"/>
                              </w:numPr>
                              <w:spacing w:before="120" w:after="120"/>
                              <w:rPr>
                                <w:sz w:val="18"/>
                                <w:szCs w:val="18"/>
                              </w:rPr>
                            </w:pPr>
                            <w:r>
                              <w:rPr>
                                <w:sz w:val="18"/>
                                <w:szCs w:val="18"/>
                              </w:rPr>
                              <w:t xml:space="preserve">Logica de intervenție </w:t>
                            </w:r>
                          </w:p>
                          <w:p w:rsidR="008A60B4" w:rsidRPr="00A92E91" w:rsidRDefault="008A60B4" w:rsidP="008C0B17">
                            <w:pPr>
                              <w:pStyle w:val="Hlistabc2"/>
                              <w:numPr>
                                <w:ilvl w:val="0"/>
                                <w:numId w:val="54"/>
                              </w:numPr>
                              <w:spacing w:before="120" w:after="120"/>
                              <w:rPr>
                                <w:sz w:val="18"/>
                                <w:szCs w:val="18"/>
                              </w:rPr>
                            </w:pPr>
                            <w:r>
                              <w:rPr>
                                <w:sz w:val="18"/>
                                <w:szCs w:val="18"/>
                              </w:rPr>
                              <w:t xml:space="preserve">Elemente de evaluare </w:t>
                            </w:r>
                          </w:p>
                          <w:p w:rsidR="008A60B4" w:rsidRPr="00A92E91" w:rsidRDefault="008A60B4" w:rsidP="008C0B17">
                            <w:pPr>
                              <w:pStyle w:val="Hlistabc2"/>
                              <w:numPr>
                                <w:ilvl w:val="0"/>
                                <w:numId w:val="54"/>
                              </w:numPr>
                              <w:spacing w:before="120" w:after="120"/>
                              <w:rPr>
                                <w:sz w:val="18"/>
                                <w:szCs w:val="18"/>
                              </w:rPr>
                            </w:pPr>
                            <w:r>
                              <w:rPr>
                                <w:sz w:val="18"/>
                                <w:szCs w:val="18"/>
                              </w:rPr>
                              <w:t xml:space="preserve">Metodologia de evaluare propusă </w:t>
                            </w:r>
                          </w:p>
                          <w:p w:rsidR="008A60B4" w:rsidRPr="00A92E91" w:rsidRDefault="008A60B4" w:rsidP="008C0B17">
                            <w:pPr>
                              <w:pStyle w:val="Hlistabc2"/>
                              <w:numPr>
                                <w:ilvl w:val="0"/>
                                <w:numId w:val="54"/>
                              </w:numPr>
                              <w:spacing w:before="120" w:after="120"/>
                              <w:rPr>
                                <w:sz w:val="18"/>
                                <w:szCs w:val="18"/>
                              </w:rPr>
                            </w:pPr>
                            <w:r>
                              <w:rPr>
                                <w:sz w:val="18"/>
                                <w:szCs w:val="18"/>
                              </w:rPr>
                              <w:t xml:space="preserve">Riscuri și soluții </w:t>
                            </w:r>
                          </w:p>
                          <w:p w:rsidR="008A60B4" w:rsidRPr="00A92E91" w:rsidRDefault="008A60B4" w:rsidP="008C0B17">
                            <w:pPr>
                              <w:pStyle w:val="Hlistabc2"/>
                              <w:numPr>
                                <w:ilvl w:val="0"/>
                                <w:numId w:val="54"/>
                              </w:numPr>
                              <w:spacing w:before="120" w:after="120"/>
                              <w:rPr>
                                <w:sz w:val="18"/>
                                <w:szCs w:val="18"/>
                              </w:rPr>
                            </w:pPr>
                            <w:r>
                              <w:rPr>
                                <w:sz w:val="18"/>
                                <w:szCs w:val="18"/>
                              </w:rPr>
                              <w:t>Concluzii și recomandări</w:t>
                            </w:r>
                          </w:p>
                          <w:p w:rsidR="008A60B4" w:rsidRPr="00A92E91" w:rsidRDefault="008A60B4" w:rsidP="007372CD">
                            <w:pPr>
                              <w:pStyle w:val="Normal12PTcouleurgris"/>
                              <w:numPr>
                                <w:ilvl w:val="0"/>
                                <w:numId w:val="78"/>
                              </w:numPr>
                              <w:ind w:left="284" w:hanging="284"/>
                              <w:jc w:val="left"/>
                              <w:rPr>
                                <w:b/>
                                <w:shd w:val="clear" w:color="auto" w:fill="FFFFFF"/>
                              </w:rPr>
                            </w:pPr>
                            <w:r>
                              <w:rPr>
                                <w:b/>
                                <w:shd w:val="clear" w:color="auto" w:fill="FFFFFF"/>
                              </w:rPr>
                              <w:t>Informații suplimentare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9D0FB" id="Rectangle: Diagonal Corners Rounded 19" o:spid="_x0000_s1041" style="position:absolute;left:0;text-align:left;margin-left:1in;margin-top:73.75pt;width:456.35pt;height:259.3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rsidR="008A60B4" w:rsidRPr="00AC3522" w:rsidRDefault="008A60B4" w:rsidP="00E05D08">
                      <w:pPr>
                        <w:pStyle w:val="Normal12PTcouleurgris"/>
                        <w:rPr>
                          <w:shd w:val="clear" w:color="auto" w:fill="FFFFFF"/>
                        </w:rPr>
                      </w:pPr>
                      <w:r>
                        <w:rPr>
                          <w:noProof/>
                          <w:lang w:val="en-GB" w:eastAsia="en-GB"/>
                        </w:rPr>
                        <w:drawing>
                          <wp:inline distT="0" distB="0" distL="0" distR="0" wp14:anchorId="677B2845" wp14:editId="7AC4CDE2">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Următoarea structură este păstrată pentru fiecare IEC:</w:t>
                      </w:r>
                    </w:p>
                    <w:p w:rsidR="008A60B4" w:rsidRPr="00A92E91" w:rsidRDefault="008A60B4" w:rsidP="008C0B17">
                      <w:pPr>
                        <w:pStyle w:val="Normal12PTcouleurgris"/>
                        <w:numPr>
                          <w:ilvl w:val="0"/>
                          <w:numId w:val="78"/>
                        </w:numPr>
                        <w:ind w:left="284" w:hanging="284"/>
                        <w:jc w:val="left"/>
                        <w:rPr>
                          <w:b/>
                          <w:shd w:val="clear" w:color="auto" w:fill="FFFFFF"/>
                        </w:rPr>
                      </w:pPr>
                      <w:r>
                        <w:rPr>
                          <w:b/>
                          <w:shd w:val="clear" w:color="auto" w:fill="FFFFFF"/>
                        </w:rPr>
                        <w:t>Înțelegerea IEC</w:t>
                      </w:r>
                    </w:p>
                    <w:p w:rsidR="008A60B4" w:rsidRPr="00A92E91" w:rsidRDefault="008A60B4" w:rsidP="008C0B17">
                      <w:pPr>
                        <w:pStyle w:val="Normal12PTcouleurgris"/>
                        <w:numPr>
                          <w:ilvl w:val="0"/>
                          <w:numId w:val="78"/>
                        </w:numPr>
                        <w:ind w:left="284" w:hanging="284"/>
                        <w:jc w:val="left"/>
                        <w:rPr>
                          <w:b/>
                          <w:shd w:val="clear" w:color="auto" w:fill="FFFFFF"/>
                        </w:rPr>
                      </w:pPr>
                      <w:r>
                        <w:rPr>
                          <w:b/>
                          <w:shd w:val="clear" w:color="auto" w:fill="FFFFFF"/>
                        </w:rPr>
                        <w:t xml:space="preserve">Provocări specifice </w:t>
                      </w:r>
                    </w:p>
                    <w:p w:rsidR="008A60B4" w:rsidRPr="00A92E91" w:rsidRDefault="008A60B4" w:rsidP="008C0B17">
                      <w:pPr>
                        <w:pStyle w:val="Normal12PTcouleurgris"/>
                        <w:numPr>
                          <w:ilvl w:val="0"/>
                          <w:numId w:val="78"/>
                        </w:numPr>
                        <w:ind w:left="284" w:hanging="284"/>
                        <w:jc w:val="left"/>
                        <w:rPr>
                          <w:shd w:val="clear" w:color="auto" w:fill="FFFFFF"/>
                        </w:rPr>
                      </w:pPr>
                      <w:r>
                        <w:rPr>
                          <w:b/>
                          <w:bCs/>
                          <w:shd w:val="clear" w:color="auto" w:fill="FFFFFF"/>
                        </w:rPr>
                        <w:t>Abordare sugerată pentru a răspunde la IEC:</w:t>
                      </w:r>
                      <w:r>
                        <w:rPr>
                          <w:shd w:val="clear" w:color="auto" w:fill="FFFFFF"/>
                        </w:rPr>
                        <w:t xml:space="preserve"> </w:t>
                      </w:r>
                      <w:r>
                        <w:rPr>
                          <w:i/>
                          <w:shd w:val="clear" w:color="auto" w:fill="FFFFFF"/>
                        </w:rPr>
                        <w:t xml:space="preserve">Acest capitol propune etape, metode și sfaturi privind modul de utilizare a indicatorilor comuni și suplimentari pentru a răspunde la IEC. </w:t>
                      </w:r>
                    </w:p>
                    <w:p w:rsidR="008A60B4" w:rsidRPr="00A92E91" w:rsidRDefault="008A60B4" w:rsidP="008C0B17">
                      <w:pPr>
                        <w:pStyle w:val="Hlistabc2"/>
                        <w:numPr>
                          <w:ilvl w:val="0"/>
                          <w:numId w:val="54"/>
                        </w:numPr>
                        <w:spacing w:before="120" w:after="120"/>
                        <w:rPr>
                          <w:sz w:val="18"/>
                          <w:szCs w:val="18"/>
                        </w:rPr>
                      </w:pPr>
                      <w:r>
                        <w:rPr>
                          <w:sz w:val="18"/>
                          <w:szCs w:val="18"/>
                        </w:rPr>
                        <w:t xml:space="preserve">Logica de intervenție </w:t>
                      </w:r>
                    </w:p>
                    <w:p w:rsidR="008A60B4" w:rsidRPr="00A92E91" w:rsidRDefault="008A60B4" w:rsidP="008C0B17">
                      <w:pPr>
                        <w:pStyle w:val="Hlistabc2"/>
                        <w:numPr>
                          <w:ilvl w:val="0"/>
                          <w:numId w:val="54"/>
                        </w:numPr>
                        <w:spacing w:before="120" w:after="120"/>
                        <w:rPr>
                          <w:sz w:val="18"/>
                          <w:szCs w:val="18"/>
                        </w:rPr>
                      </w:pPr>
                      <w:r>
                        <w:rPr>
                          <w:sz w:val="18"/>
                          <w:szCs w:val="18"/>
                        </w:rPr>
                        <w:t xml:space="preserve">Elemente de evaluare </w:t>
                      </w:r>
                    </w:p>
                    <w:p w:rsidR="008A60B4" w:rsidRPr="00A92E91" w:rsidRDefault="008A60B4" w:rsidP="008C0B17">
                      <w:pPr>
                        <w:pStyle w:val="Hlistabc2"/>
                        <w:numPr>
                          <w:ilvl w:val="0"/>
                          <w:numId w:val="54"/>
                        </w:numPr>
                        <w:spacing w:before="120" w:after="120"/>
                        <w:rPr>
                          <w:sz w:val="18"/>
                          <w:szCs w:val="18"/>
                        </w:rPr>
                      </w:pPr>
                      <w:r>
                        <w:rPr>
                          <w:sz w:val="18"/>
                          <w:szCs w:val="18"/>
                        </w:rPr>
                        <w:t xml:space="preserve">Metodologia de evaluare propusă </w:t>
                      </w:r>
                    </w:p>
                    <w:p w:rsidR="008A60B4" w:rsidRPr="00A92E91" w:rsidRDefault="008A60B4" w:rsidP="008C0B17">
                      <w:pPr>
                        <w:pStyle w:val="Hlistabc2"/>
                        <w:numPr>
                          <w:ilvl w:val="0"/>
                          <w:numId w:val="54"/>
                        </w:numPr>
                        <w:spacing w:before="120" w:after="120"/>
                        <w:rPr>
                          <w:sz w:val="18"/>
                          <w:szCs w:val="18"/>
                        </w:rPr>
                      </w:pPr>
                      <w:r>
                        <w:rPr>
                          <w:sz w:val="18"/>
                          <w:szCs w:val="18"/>
                        </w:rPr>
                        <w:t xml:space="preserve">Riscuri și soluții </w:t>
                      </w:r>
                    </w:p>
                    <w:p w:rsidR="008A60B4" w:rsidRPr="00A92E91" w:rsidRDefault="008A60B4" w:rsidP="008C0B17">
                      <w:pPr>
                        <w:pStyle w:val="Hlistabc2"/>
                        <w:numPr>
                          <w:ilvl w:val="0"/>
                          <w:numId w:val="54"/>
                        </w:numPr>
                        <w:spacing w:before="120" w:after="120"/>
                        <w:rPr>
                          <w:sz w:val="18"/>
                          <w:szCs w:val="18"/>
                        </w:rPr>
                      </w:pPr>
                      <w:r>
                        <w:rPr>
                          <w:sz w:val="18"/>
                          <w:szCs w:val="18"/>
                        </w:rPr>
                        <w:t>Concluzii și recomandări</w:t>
                      </w:r>
                    </w:p>
                    <w:p w:rsidR="008A60B4" w:rsidRPr="00A92E91" w:rsidRDefault="008A60B4" w:rsidP="007372CD">
                      <w:pPr>
                        <w:pStyle w:val="Normal12PTcouleurgris"/>
                        <w:numPr>
                          <w:ilvl w:val="0"/>
                          <w:numId w:val="78"/>
                        </w:numPr>
                        <w:ind w:left="284" w:hanging="284"/>
                        <w:jc w:val="left"/>
                        <w:rPr>
                          <w:b/>
                          <w:shd w:val="clear" w:color="auto" w:fill="FFFFFF"/>
                        </w:rPr>
                      </w:pPr>
                      <w:r>
                        <w:rPr>
                          <w:b/>
                          <w:shd w:val="clear" w:color="auto" w:fill="FFFFFF"/>
                        </w:rPr>
                        <w:t>Informații suplimentare</w:t>
                      </w:r>
                    </w:p>
                  </w:txbxContent>
                </v:textbox>
                <w10:wrap type="square" anchorx="page"/>
              </v:shape>
            </w:pict>
          </mc:Fallback>
        </mc:AlternateContent>
      </w:r>
      <w:r>
        <w:rPr>
          <w:szCs w:val="20"/>
          <w:shd w:val="clear" w:color="auto" w:fill="FFFFFF"/>
        </w:rPr>
        <w:t xml:space="preserve">Deși furnizarea de răspunsuri la IEC-uri este obligatorie, acest capitol oferă îndrumări fără caracter obligatoriu cu privire la modul de furnizare a răspunsurilor la IEC-urile legate de inovare nr. </w:t>
      </w:r>
      <w:r w:rsidRPr="00FA63BD">
        <w:rPr>
          <w:szCs w:val="20"/>
          <w:shd w:val="clear" w:color="auto" w:fill="FFFFFF"/>
        </w:rPr>
        <w:t>1</w:t>
      </w:r>
      <w:r>
        <w:rPr>
          <w:szCs w:val="20"/>
          <w:shd w:val="clear" w:color="auto" w:fill="FFFFFF"/>
        </w:rPr>
        <w:t xml:space="preserve">, </w:t>
      </w:r>
      <w:r w:rsidRPr="00FA63BD">
        <w:rPr>
          <w:szCs w:val="20"/>
          <w:shd w:val="clear" w:color="auto" w:fill="FFFFFF"/>
        </w:rPr>
        <w:t>2</w:t>
      </w:r>
      <w:r>
        <w:rPr>
          <w:szCs w:val="20"/>
          <w:shd w:val="clear" w:color="auto" w:fill="FFFFFF"/>
        </w:rPr>
        <w:t xml:space="preserve">, </w:t>
      </w:r>
      <w:r w:rsidRPr="00FA63BD">
        <w:rPr>
          <w:szCs w:val="20"/>
          <w:shd w:val="clear" w:color="auto" w:fill="FFFFFF"/>
        </w:rPr>
        <w:t>21</w:t>
      </w:r>
      <w:r>
        <w:rPr>
          <w:szCs w:val="20"/>
          <w:shd w:val="clear" w:color="auto" w:fill="FFFFFF"/>
        </w:rPr>
        <w:t xml:space="preserve">, </w:t>
      </w:r>
      <w:r w:rsidRPr="00FA63BD">
        <w:rPr>
          <w:szCs w:val="20"/>
          <w:shd w:val="clear" w:color="auto" w:fill="FFFFFF"/>
        </w:rPr>
        <w:t>23</w:t>
      </w:r>
      <w:r>
        <w:rPr>
          <w:szCs w:val="20"/>
          <w:shd w:val="clear" w:color="auto" w:fill="FFFFFF"/>
        </w:rPr>
        <w:t xml:space="preserve"> și </w:t>
      </w:r>
      <w:r w:rsidRPr="00FA63BD">
        <w:rPr>
          <w:szCs w:val="20"/>
          <w:shd w:val="clear" w:color="auto" w:fill="FFFFFF"/>
        </w:rPr>
        <w:t>30</w:t>
      </w:r>
      <w:r>
        <w:rPr>
          <w:szCs w:val="20"/>
          <w:shd w:val="clear" w:color="auto" w:fill="FFFFFF"/>
        </w:rPr>
        <w:t xml:space="preserve">. La aceste întrebări trebuie să se răspundă în raportul anual de punere în aplicare îmbunătățit, care urmează să fie prezentat în </w:t>
      </w:r>
      <w:r w:rsidRPr="00FA63BD">
        <w:rPr>
          <w:szCs w:val="20"/>
          <w:shd w:val="clear" w:color="auto" w:fill="FFFFFF"/>
        </w:rPr>
        <w:t>2019</w:t>
      </w:r>
      <w:r>
        <w:rPr>
          <w:szCs w:val="20"/>
          <w:shd w:val="clear" w:color="auto" w:fill="FFFFFF"/>
        </w:rPr>
        <w:t xml:space="preserve">, și în evaluarea </w:t>
      </w:r>
      <w:r w:rsidRPr="00EF035B">
        <w:rPr>
          <w:i/>
          <w:szCs w:val="20"/>
          <w:shd w:val="clear" w:color="auto" w:fill="FFFFFF"/>
        </w:rPr>
        <w:t>ex post</w:t>
      </w:r>
      <w:r>
        <w:rPr>
          <w:szCs w:val="20"/>
          <w:shd w:val="clear" w:color="auto" w:fill="FFFFFF"/>
        </w:rPr>
        <w:t>.</w:t>
      </w:r>
    </w:p>
    <w:p w:rsidR="00A45935" w:rsidRPr="00E05D08" w:rsidRDefault="00A45935" w:rsidP="00582F60">
      <w:pPr>
        <w:spacing w:after="120" w:line="280" w:lineRule="atLeast"/>
        <w:mirrorIndents/>
        <w:rPr>
          <w:rFonts w:eastAsia="Times New Roman" w:cs="Times New Roman"/>
          <w:color w:val="F07E31"/>
          <w:szCs w:val="20"/>
        </w:rPr>
        <w:sectPr w:rsidR="00A45935" w:rsidRPr="00E05D08" w:rsidSect="00055039">
          <w:headerReference w:type="even" r:id="rId35"/>
          <w:footerReference w:type="even" r:id="rId36"/>
          <w:footerReference w:type="default" r:id="rId37"/>
          <w:footerReference w:type="first" r:id="rId38"/>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rPr>
        <w:t xml:space="preserve"> </w:t>
      </w:r>
      <w:bookmarkStart w:id="104" w:name="_Toc501382131"/>
      <w:r>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5" w:name="_Toc508889181"/>
      <w:r>
        <w:lastRenderedPageBreak/>
        <w:t xml:space="preserve">IEC nr. </w:t>
      </w:r>
      <w:r w:rsidRPr="00FA63BD">
        <w:t>1</w:t>
      </w:r>
      <w:r>
        <w:t>: „În ce măsură au sprijinit intervențiile PDR inovarea, cooperarea și dezvoltarea bazei de cunoștințe în zonele rurale?”</w:t>
      </w:r>
      <w:bookmarkEnd w:id="104"/>
      <w:bookmarkEnd w:id="105"/>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Înțelegerea IEC</w:t>
      </w:r>
    </w:p>
    <w:p w:rsidR="00A45935" w:rsidRPr="00E05D08" w:rsidRDefault="00A45935" w:rsidP="00E05D08">
      <w:pPr>
        <w:spacing w:after="120" w:line="280" w:lineRule="atLeast"/>
        <w:mirrorIndents/>
        <w:rPr>
          <w:rFonts w:eastAsia="Times New Roman" w:cs="Times New Roman"/>
          <w:szCs w:val="20"/>
        </w:rPr>
      </w:pPr>
      <w:r>
        <w:t xml:space="preserve">Există trei măsuri care contribuie cel mai mult la îndeplinirea obiectivului legat de IEC nr. </w:t>
      </w:r>
      <w:r w:rsidRPr="00FA63BD">
        <w:t>1</w:t>
      </w:r>
      <w:r>
        <w:t xml:space="preserve"> (și anume, sprijinirea inovării): M</w:t>
      </w:r>
      <w:r w:rsidRPr="00FA63BD">
        <w:t>1</w:t>
      </w:r>
      <w:r>
        <w:t xml:space="preserve"> (articolul </w:t>
      </w:r>
      <w:r w:rsidRPr="00FA63BD">
        <w:t>14</w:t>
      </w:r>
      <w:r>
        <w:t xml:space="preserve"> „Transfer de cunoștințe și acțiuni de informare”), M</w:t>
      </w:r>
      <w:r w:rsidRPr="00FA63BD">
        <w:t>2</w:t>
      </w:r>
      <w:r>
        <w:t xml:space="preserve"> (articolul </w:t>
      </w:r>
      <w:r w:rsidRPr="00FA63BD">
        <w:t>15</w:t>
      </w:r>
      <w:r>
        <w:t xml:space="preserve"> „Servicii de consiliere, servicii de gestionare a exploatației și servicii de înlocuire în cadrul exploatației”) și M</w:t>
      </w:r>
      <w:r w:rsidRPr="00FA63BD">
        <w:t>16</w:t>
      </w:r>
      <w:r>
        <w:t xml:space="preserve"> (articolul </w:t>
      </w:r>
      <w:r w:rsidRPr="00FA63BD">
        <w:t>35</w:t>
      </w:r>
      <w:r>
        <w:t xml:space="preserve"> „Cooperare”)</w:t>
      </w:r>
      <w:r>
        <w:rPr>
          <w:rFonts w:eastAsia="Times New Roman" w:cs="Times New Roman"/>
          <w:szCs w:val="20"/>
          <w:vertAlign w:val="superscript"/>
          <w:lang w:eastAsia="de-DE"/>
        </w:rPr>
        <w:footnoteReference w:id="48"/>
      </w:r>
      <w:r>
        <w:t>. În plus, M</w:t>
      </w:r>
      <w:r w:rsidRPr="00FA63BD">
        <w:t>19</w:t>
      </w:r>
      <w:r>
        <w:t xml:space="preserve"> [articolul </w:t>
      </w:r>
      <w:r w:rsidRPr="00FA63BD">
        <w:t>42</w:t>
      </w:r>
      <w:r>
        <w:t xml:space="preserve"> și articolul </w:t>
      </w:r>
      <w:r w:rsidRPr="00FA63BD">
        <w:t>35</w:t>
      </w:r>
      <w:r>
        <w:t xml:space="preserve"> din Regulamentul (UE) nr. </w:t>
      </w:r>
      <w:r w:rsidRPr="00FA63BD">
        <w:t>1303</w:t>
      </w:r>
      <w:r>
        <w:t>/</w:t>
      </w:r>
      <w:r w:rsidRPr="00FA63BD">
        <w:t>2013</w:t>
      </w:r>
      <w:r>
        <w:t>] poate fi considerată, de asemenea, o contribuție importantă în ceea ce privește aspectul legat de inovare al obiectivului sus-menționat.</w:t>
      </w:r>
    </w:p>
    <w:p w:rsidR="00A45935" w:rsidRPr="00E05D08" w:rsidRDefault="00A45935" w:rsidP="00E05D08">
      <w:pPr>
        <w:spacing w:after="120" w:line="280" w:lineRule="atLeast"/>
        <w:mirrorIndents/>
        <w:rPr>
          <w:rFonts w:eastAsia="Times New Roman" w:cs="Times New Roman"/>
          <w:szCs w:val="20"/>
        </w:rPr>
      </w:pPr>
      <w:r>
        <w:t xml:space="preserve">Este esențial să se examineze ce aspecte ale măsurilor sprijină inovarea. De exemplu, o anumită logică de intervenție a priorității </w:t>
      </w:r>
      <w:r w:rsidRPr="00FA63BD">
        <w:t>1</w:t>
      </w:r>
      <w:r>
        <w:t xml:space="preserve"> ar putea arăta că M</w:t>
      </w:r>
      <w:r w:rsidRPr="00FA63BD">
        <w:t>1</w:t>
      </w:r>
      <w:r>
        <w:t xml:space="preserve"> și M</w:t>
      </w:r>
      <w:r w:rsidRPr="00FA63BD">
        <w:t>16</w:t>
      </w:r>
      <w:r>
        <w:t xml:space="preserve"> contribuie, de asemenea, în mod direct la aria de intervenție </w:t>
      </w:r>
      <w:r w:rsidRPr="00FA63BD">
        <w:t>1</w:t>
      </w:r>
      <w:r>
        <w:t>B (M</w:t>
      </w:r>
      <w:r w:rsidRPr="00FA63BD">
        <w:t>16</w:t>
      </w:r>
      <w:r>
        <w:t xml:space="preserve">) sau la aria de intervenție </w:t>
      </w:r>
      <w:r w:rsidRPr="00FA63BD">
        <w:t>1</w:t>
      </w:r>
      <w:r>
        <w:t>C (M</w:t>
      </w:r>
      <w:r w:rsidRPr="00FA63BD">
        <w:t>1</w:t>
      </w:r>
      <w:r>
        <w:t xml:space="preserve">), nu numai la aria de intervenție </w:t>
      </w:r>
      <w:r w:rsidRPr="00FA63BD">
        <w:t>1</w:t>
      </w:r>
      <w:r>
        <w:t xml:space="preserve">A. </w:t>
      </w:r>
    </w:p>
    <w:p w:rsidR="00A45935" w:rsidRPr="00E05D08" w:rsidRDefault="00654F10" w:rsidP="00E05D08">
      <w:pPr>
        <w:spacing w:after="120" w:line="280" w:lineRule="atLeast"/>
        <w:mirrorIndents/>
        <w:rPr>
          <w:rFonts w:eastAsia="Times New Roman" w:cs="Times New Roman"/>
          <w:szCs w:val="20"/>
        </w:rPr>
      </w:pPr>
      <w:r>
        <w:t xml:space="preserve">Elementele legate de inovare ale acestor măsuri pot fi delimitate după cum urmează: </w:t>
      </w:r>
    </w:p>
    <w:p w:rsidR="00A45935" w:rsidRDefault="00A45935" w:rsidP="00E05D08">
      <w:pPr>
        <w:spacing w:after="120" w:line="280" w:lineRule="atLeast"/>
        <w:mirrorIndents/>
        <w:rPr>
          <w:rFonts w:eastAsia="Times New Roman" w:cs="Times New Roman"/>
          <w:szCs w:val="20"/>
        </w:rPr>
      </w:pPr>
      <w:r>
        <w:rPr>
          <w:b/>
          <w:bCs/>
        </w:rPr>
        <w:t>M</w:t>
      </w:r>
      <w:r w:rsidRPr="00FA63BD">
        <w:rPr>
          <w:b/>
          <w:bCs/>
        </w:rPr>
        <w:t>1</w:t>
      </w:r>
      <w:r>
        <w:t xml:space="preserve"> (articolul </w:t>
      </w:r>
      <w:r w:rsidRPr="00FA63BD">
        <w:t>14</w:t>
      </w:r>
      <w:r>
        <w:t>) vizează formarea profesională și dobândirea de competențe, activitățile demonstrative și acțiunile de informare. În plus, M</w:t>
      </w:r>
      <w:r w:rsidRPr="00FA63BD">
        <w:t>1</w:t>
      </w:r>
      <w:r>
        <w:t xml:space="preserve"> poate, de asemenea, să includă schimburi la nivelul conducerii exploatațiilor și a pădurilor și vizite în exploatații și în păduri. Deși inovarea nu este menționată explicit la articolul </w:t>
      </w:r>
      <w:r w:rsidRPr="00FA63BD">
        <w:t>14</w:t>
      </w:r>
      <w:r>
        <w:t xml:space="preserve">, aceste acțiuni pot avea un rol important în </w:t>
      </w:r>
      <w:r>
        <w:rPr>
          <w:b/>
          <w:bCs/>
        </w:rPr>
        <w:t>consolidarea capacității de inovare</w:t>
      </w:r>
      <w:r>
        <w:t>.</w:t>
      </w:r>
    </w:p>
    <w:p w:rsidR="00A45935" w:rsidRPr="00E05D08" w:rsidRDefault="00A45935" w:rsidP="00E05D08">
      <w:pPr>
        <w:spacing w:after="120" w:line="280" w:lineRule="atLeast"/>
        <w:mirrorIndents/>
        <w:rPr>
          <w:rFonts w:eastAsia="Times New Roman" w:cs="Times New Roman"/>
          <w:szCs w:val="20"/>
        </w:rPr>
      </w:pPr>
      <w:r>
        <w:rPr>
          <w:b/>
          <w:szCs w:val="20"/>
        </w:rPr>
        <w:t>M</w:t>
      </w:r>
      <w:r w:rsidRPr="00FA63BD">
        <w:rPr>
          <w:b/>
          <w:szCs w:val="20"/>
        </w:rPr>
        <w:t>2</w:t>
      </w:r>
      <w:r>
        <w:rPr>
          <w:b/>
          <w:szCs w:val="20"/>
        </w:rPr>
        <w:t xml:space="preserve"> </w:t>
      </w:r>
      <w:r>
        <w:t xml:space="preserve">(articolul </w:t>
      </w:r>
      <w:r w:rsidRPr="00FA63BD">
        <w:t>15</w:t>
      </w:r>
      <w:r>
        <w:t>) include servicii de consiliere destinate fermierilor individuali, tinerilor fermieri și altor administratori de terenuri, precum și formarea consilierilor sau a furnizorilor de servicii de sprijinire a inovării. M</w:t>
      </w:r>
      <w:r w:rsidRPr="00FA63BD">
        <w:t>2</w:t>
      </w:r>
      <w:r>
        <w:t xml:space="preserve"> cuprinde mai multe elemente, cum ar fi consilierea privind măsurile PDR la nivel de exploatație care vizează, printre altele, inovarea</w:t>
      </w:r>
      <w:r>
        <w:rPr>
          <w:rFonts w:eastAsia="Times New Roman" w:cs="Times New Roman"/>
          <w:szCs w:val="20"/>
          <w:vertAlign w:val="superscript"/>
          <w:lang w:eastAsia="de-DE"/>
        </w:rPr>
        <w:footnoteReference w:id="49"/>
      </w:r>
      <w:r>
        <w:t xml:space="preserve">. Furnizarea de servicii de consiliere este o modalitate de a </w:t>
      </w:r>
      <w:r>
        <w:rPr>
          <w:b/>
          <w:bCs/>
        </w:rPr>
        <w:t>consolida capacitatea de inovare</w:t>
      </w:r>
      <w:r>
        <w:t xml:space="preserve"> (a se vedea </w:t>
      </w:r>
      <w:hyperlink w:anchor="Innovation_RD" w:history="1">
        <w:r>
          <w:rPr>
            <w:rStyle w:val="Hyperlink"/>
            <w:sz w:val="20"/>
            <w:szCs w:val="20"/>
          </w:rPr>
          <w:t xml:space="preserve">capitolul </w:t>
        </w:r>
        <w:r w:rsidRPr="00FA63BD">
          <w:rPr>
            <w:rStyle w:val="Hyperlink"/>
            <w:sz w:val="20"/>
            <w:szCs w:val="20"/>
          </w:rPr>
          <w:t>1</w:t>
        </w:r>
        <w:r>
          <w:rPr>
            <w:rStyle w:val="Hyperlink"/>
            <w:sz w:val="20"/>
            <w:szCs w:val="20"/>
          </w:rPr>
          <w:t>.</w:t>
        </w:r>
        <w:r w:rsidRPr="00FA63BD">
          <w:rPr>
            <w:rStyle w:val="Hyperlink"/>
            <w:sz w:val="20"/>
            <w:szCs w:val="20"/>
          </w:rPr>
          <w:t>1</w:t>
        </w:r>
      </w:hyperlink>
      <w:r>
        <w:t>), prin oferirea oportunității de a transfera cunoștințe. În plus, în contextul PEI, serviciile de consiliere/de sprijinire a inovării dobândesc un rol de „îndrumare” în procesele de inovare interactivă în contextul grupurilor operaționale.</w:t>
      </w:r>
    </w:p>
    <w:p w:rsidR="00A45935" w:rsidRDefault="00A45935" w:rsidP="00E05D08">
      <w:pPr>
        <w:spacing w:after="120" w:line="280" w:lineRule="atLeast"/>
        <w:mirrorIndents/>
        <w:rPr>
          <w:rFonts w:eastAsia="Times New Roman" w:cs="Times New Roman"/>
          <w:szCs w:val="20"/>
        </w:rPr>
      </w:pPr>
      <w:r>
        <w:rPr>
          <w:b/>
          <w:szCs w:val="20"/>
        </w:rPr>
        <w:t>M</w:t>
      </w:r>
      <w:r w:rsidRPr="00FA63BD">
        <w:rPr>
          <w:b/>
          <w:szCs w:val="20"/>
        </w:rPr>
        <w:t>16</w:t>
      </w:r>
      <w:r>
        <w:rPr>
          <w:b/>
          <w:szCs w:val="20"/>
        </w:rPr>
        <w:t xml:space="preserve"> </w:t>
      </w:r>
      <w:r>
        <w:t xml:space="preserve">(articolul </w:t>
      </w:r>
      <w:r w:rsidRPr="00FA63BD">
        <w:t>35</w:t>
      </w:r>
      <w:r>
        <w:t>) sprijină (a) cooperarea între o gamă largă de actori care contribuie la îndeplinirea obiectivelor politicii de dezvoltare rurală (sectorul agricol și cel forestier, lanțul alimentar, grupurile de producători, cooperativele, organizațiile interprofesionale și alții); (b) crearea de clustere și rețele și (c) înființarea și funcționarea grupurilor operaționale PEI-AGRI. M</w:t>
      </w:r>
      <w:r w:rsidRPr="00FA63BD">
        <w:t>16</w:t>
      </w:r>
      <w:r>
        <w:t xml:space="preserve"> include </w:t>
      </w:r>
      <w:r w:rsidRPr="00FA63BD">
        <w:t>10</w:t>
      </w:r>
      <w:r>
        <w:t xml:space="preserve"> submăsuri și sprijină inovarea în raport cu </w:t>
      </w:r>
      <w:r>
        <w:rPr>
          <w:b/>
          <w:bCs/>
        </w:rPr>
        <w:t>toate cele trei modalități</w:t>
      </w:r>
      <w:r>
        <w:t xml:space="preserve"> descrise în capitolul </w:t>
      </w:r>
      <w:r w:rsidRPr="00FA63BD">
        <w:t>1</w:t>
      </w:r>
      <w:r>
        <w:t>.</w:t>
      </w:r>
      <w:r w:rsidRPr="00FA63BD">
        <w:t>1</w:t>
      </w:r>
      <w:r>
        <w:t xml:space="preserve"> (a se vedea caseta de mai jos).</w:t>
      </w:r>
    </w:p>
    <w:p w:rsidR="006F1601" w:rsidRDefault="00A45935" w:rsidP="00E05D08">
      <w:pPr>
        <w:spacing w:after="120" w:line="280" w:lineRule="atLeast"/>
        <w:mirrorIndents/>
        <w:rPr>
          <w:rFonts w:eastAsia="Times New Roman" w:cs="Times New Roman"/>
          <w:szCs w:val="20"/>
        </w:rPr>
      </w:pPr>
      <w:r>
        <w:rPr>
          <w:b/>
          <w:szCs w:val="20"/>
        </w:rPr>
        <w:t>M</w:t>
      </w:r>
      <w:r w:rsidRPr="00FA63BD">
        <w:rPr>
          <w:b/>
          <w:szCs w:val="20"/>
        </w:rPr>
        <w:t>19</w:t>
      </w:r>
      <w:r>
        <w:rPr>
          <w:b/>
          <w:szCs w:val="20"/>
        </w:rPr>
        <w:t xml:space="preserve"> </w:t>
      </w:r>
      <w:r>
        <w:t xml:space="preserve">(articolul </w:t>
      </w:r>
      <w:r w:rsidRPr="00FA63BD">
        <w:t>42</w:t>
      </w:r>
      <w:r>
        <w:t>) sprijină dezvoltarea rurală locală prin aplicarea principiilor LEADER</w:t>
      </w:r>
      <w:r>
        <w:rPr>
          <w:rFonts w:eastAsia="Calibri" w:cs="Times New Roman"/>
          <w:szCs w:val="20"/>
          <w:vertAlign w:val="superscript"/>
          <w:lang w:eastAsia="de-DE"/>
        </w:rPr>
        <w:footnoteReference w:id="50"/>
      </w:r>
      <w:r>
        <w:t>. Unul dintre aceste principii se concentrează asupra încurajării inovărilor prin activitățile grupurilor de acțiune locală și ale beneficiarilor strategiilor DLRC. M</w:t>
      </w:r>
      <w:r w:rsidRPr="00FA63BD">
        <w:t>19</w:t>
      </w:r>
      <w:r>
        <w:t xml:space="preserve"> include </w:t>
      </w:r>
      <w:r w:rsidRPr="00FA63BD">
        <w:t>5</w:t>
      </w:r>
      <w:r>
        <w:t xml:space="preserve"> submăsuri, care pot sprijini inovările printr-o modalitate, prin două modalități sau prin toate cele trei modalități descrise în capitolul </w:t>
      </w:r>
      <w:r w:rsidRPr="00FA63BD">
        <w:t>1</w:t>
      </w:r>
      <w:r>
        <w:t>.</w:t>
      </w:r>
      <w:r w:rsidRPr="00FA63BD">
        <w:t>1</w:t>
      </w:r>
      <w:r>
        <w:t xml:space="preserve"> (a se vedea caseta de mai jos).</w:t>
      </w:r>
    </w:p>
    <w:p w:rsidR="006F1601" w:rsidRDefault="006F1601" w:rsidP="00E05D08">
      <w:pPr>
        <w:spacing w:after="120" w:line="280" w:lineRule="atLeast"/>
        <w:mirrorIndents/>
        <w:rPr>
          <w:rFonts w:eastAsia="Calibri" w:cs="Times New Roman"/>
          <w:szCs w:val="20"/>
          <w:lang w:eastAsia="de-DE"/>
        </w:rPr>
      </w:pPr>
    </w:p>
    <w:p w:rsidR="00A66F3C" w:rsidRDefault="00C3092C" w:rsidP="00A66F3C">
      <w:pPr>
        <w:spacing w:after="120" w:line="280" w:lineRule="atLeast"/>
        <w:mirrorIndents/>
        <w:rPr>
          <w:rFonts w:eastAsia="Calibri" w:cs="Times New Roman"/>
          <w:b/>
          <w:color w:val="57825E"/>
          <w:szCs w:val="20"/>
          <w:shd w:val="clear" w:color="auto" w:fill="FFFFFF"/>
        </w:rPr>
      </w:pPr>
      <w:r>
        <w:rPr>
          <w:rStyle w:val="FootnoteReference"/>
          <w:rFonts w:eastAsia="Calibri" w:cs="Times New Roman"/>
          <w:b/>
          <w:color w:val="FFFFFF" w:themeColor="background1"/>
          <w:szCs w:val="20"/>
          <w:shd w:val="clear" w:color="auto" w:fill="FFFFFF"/>
        </w:rPr>
        <w:lastRenderedPageBreak/>
        <w:footnoteReference w:id="51"/>
      </w:r>
      <w:r>
        <w:rPr>
          <w:rFonts w:eastAsia="Times New Roman" w:cs="Times New Roman"/>
          <w:noProof/>
          <w:szCs w:val="20"/>
          <w:lang w:val="en-GB" w:eastAsia="en-GB"/>
        </w:rPr>
        <mc:AlternateContent>
          <mc:Choice Requires="wps">
            <w:drawing>
              <wp:anchor distT="0" distB="0" distL="114300" distR="114300" simplePos="0" relativeHeight="251736064" behindDoc="1" locked="0" layoutInCell="1" allowOverlap="1" wp14:anchorId="7662A6BF" wp14:editId="41A3F41C">
                <wp:simplePos x="0" y="0"/>
                <wp:positionH relativeFrom="column">
                  <wp:posOffset>0</wp:posOffset>
                </wp:positionH>
                <wp:positionV relativeFrom="paragraph">
                  <wp:posOffset>285750</wp:posOffset>
                </wp:positionV>
                <wp:extent cx="5913755" cy="7505700"/>
                <wp:effectExtent l="0" t="0" r="10795" b="19050"/>
                <wp:wrapTight wrapText="bothSides">
                  <wp:wrapPolygon edited="0">
                    <wp:start x="765" y="0"/>
                    <wp:lineTo x="0" y="274"/>
                    <wp:lineTo x="0" y="21600"/>
                    <wp:lineTo x="20874" y="21600"/>
                    <wp:lineTo x="21013" y="21600"/>
                    <wp:lineTo x="21570" y="21161"/>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7505700"/>
                        </a:xfrm>
                        <a:prstGeom prst="round2DiagRect">
                          <a:avLst>
                            <a:gd name="adj1" fmla="val 5642"/>
                            <a:gd name="adj2" fmla="val 0"/>
                          </a:avLst>
                        </a:prstGeom>
                        <a:noFill/>
                        <a:ln w="25400" cap="flat" cmpd="sng" algn="ctr">
                          <a:solidFill>
                            <a:srgbClr val="F07E31"/>
                          </a:solidFill>
                          <a:prstDash val="solid"/>
                        </a:ln>
                        <a:effectLst/>
                      </wps:spPr>
                      <wps:txbx>
                        <w:txbxContent>
                          <w:p w:rsidR="008A60B4" w:rsidRDefault="008A60B4" w:rsidP="00C3334D">
                            <w:pPr>
                              <w:pStyle w:val="HStandard"/>
                              <w:ind w:left="284" w:right="23"/>
                            </w:pPr>
                            <w:r>
                              <w:rPr>
                                <w:noProof/>
                                <w:lang w:val="en-GB" w:eastAsia="en-GB"/>
                              </w:rPr>
                              <w:drawing>
                                <wp:inline distT="0" distB="0" distL="0" distR="0" wp14:anchorId="3573ECC3" wp14:editId="3B4EBF05">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8A60B4" w:rsidRPr="00A66F3C" w:rsidRDefault="008A60B4" w:rsidP="00A66F3C">
                            <w:pPr>
                              <w:pStyle w:val="HStandard"/>
                              <w:ind w:right="23"/>
                              <w:rPr>
                                <w:b/>
                                <w:color w:val="F07E31"/>
                                <w:sz w:val="18"/>
                                <w:szCs w:val="18"/>
                              </w:rPr>
                            </w:pPr>
                            <w:r>
                              <w:rPr>
                                <w:b/>
                                <w:color w:val="F07E31"/>
                                <w:sz w:val="18"/>
                                <w:szCs w:val="18"/>
                              </w:rPr>
                              <w:t>Exemple de moduri în care M1 poate consolida capacitatea de inovare</w:t>
                            </w:r>
                          </w:p>
                          <w:p w:rsidR="008A60B4" w:rsidRPr="00A66F3C" w:rsidRDefault="008A60B4" w:rsidP="00A66F3C">
                            <w:pPr>
                              <w:pStyle w:val="Hlistbullet"/>
                              <w:rPr>
                                <w:sz w:val="18"/>
                                <w:szCs w:val="18"/>
                              </w:rPr>
                            </w:pPr>
                            <w:r>
                              <w:rPr>
                                <w:sz w:val="18"/>
                                <w:szCs w:val="18"/>
                              </w:rPr>
                              <w:t>Noi competențe pentru fermieri/IMM-uri pentru aplicarea proceselor/tehnicilor inovatoare sau noi competențe organizaționale</w:t>
                            </w:r>
                          </w:p>
                          <w:p w:rsidR="008A60B4" w:rsidRPr="00A66F3C" w:rsidRDefault="008A60B4" w:rsidP="00A66F3C">
                            <w:pPr>
                              <w:pStyle w:val="Hlistbullet"/>
                              <w:rPr>
                                <w:sz w:val="18"/>
                                <w:szCs w:val="18"/>
                              </w:rPr>
                            </w:pPr>
                            <w:r>
                              <w:rPr>
                                <w:sz w:val="18"/>
                                <w:szCs w:val="18"/>
                              </w:rPr>
                              <w:t>Schimburi și vizite care contribuie la transferul de cunoștințe de la o exploatație/regiune la alta.</w:t>
                            </w:r>
                          </w:p>
                          <w:p w:rsidR="008A60B4" w:rsidRPr="00A66F3C" w:rsidRDefault="008A60B4" w:rsidP="00C3334D">
                            <w:pPr>
                              <w:pStyle w:val="HStandard"/>
                              <w:ind w:right="54"/>
                              <w:rPr>
                                <w:b/>
                                <w:color w:val="F07E31"/>
                                <w:sz w:val="18"/>
                                <w:szCs w:val="18"/>
                              </w:rPr>
                            </w:pPr>
                            <w:r>
                              <w:rPr>
                                <w:b/>
                                <w:color w:val="F07E31"/>
                                <w:sz w:val="18"/>
                                <w:szCs w:val="18"/>
                              </w:rPr>
                              <w:t>Exemple de moduri în care M16 sprijină inovarea:</w:t>
                            </w:r>
                          </w:p>
                          <w:p w:rsidR="008A60B4" w:rsidRPr="00A66F3C" w:rsidRDefault="008A60B4" w:rsidP="00A66F3C">
                            <w:pPr>
                              <w:pStyle w:val="Hlistbullet"/>
                              <w:rPr>
                                <w:sz w:val="18"/>
                                <w:szCs w:val="18"/>
                              </w:rPr>
                            </w:pPr>
                            <w:r>
                              <w:rPr>
                                <w:sz w:val="18"/>
                                <w:szCs w:val="18"/>
                              </w:rPr>
                              <w:t>Dezvoltarea de noi produse, practici, tehnologii în sectorul agricol, în cel alimentar și în cel forestier (submăsura M16.2</w:t>
                            </w:r>
                            <w:r>
                              <w:rPr>
                                <w:sz w:val="18"/>
                                <w:szCs w:val="18"/>
                                <w:vertAlign w:val="superscript"/>
                              </w:rPr>
                              <w:t>51</w:t>
                            </w:r>
                            <w:r>
                              <w:rPr>
                                <w:sz w:val="18"/>
                                <w:szCs w:val="18"/>
                              </w:rPr>
                              <w:t xml:space="preserve">) este legată de identificarea și sprijinirea inovării într-o manieră colaborativă. </w:t>
                            </w:r>
                          </w:p>
                          <w:p w:rsidR="008A60B4" w:rsidRPr="00A66F3C" w:rsidRDefault="008A60B4" w:rsidP="00A66F3C">
                            <w:pPr>
                              <w:pStyle w:val="Hlistbullet"/>
                              <w:rPr>
                                <w:sz w:val="18"/>
                                <w:szCs w:val="18"/>
                              </w:rPr>
                            </w:pPr>
                            <w:r>
                              <w:rPr>
                                <w:sz w:val="18"/>
                                <w:szCs w:val="18"/>
                              </w:rPr>
                              <w:t xml:space="preserve">Toate celelalte submăsuri au potențialul de a </w:t>
                            </w:r>
                            <w:r>
                              <w:rPr>
                                <w:b/>
                                <w:bCs/>
                                <w:sz w:val="18"/>
                                <w:szCs w:val="18"/>
                              </w:rPr>
                              <w:t>consolida capacitatea de inovare</w:t>
                            </w:r>
                            <w:r>
                              <w:rPr>
                                <w:sz w:val="18"/>
                                <w:szCs w:val="18"/>
                              </w:rPr>
                              <w:t>, dat fiind faptul că procesul de cooperare implică identificarea în mod colectiv a noilor oportunități, producerea de noi idei, experimentarea cu tehnologii noi sau identificarea de noi modalități de a întreprinde acțiuni.</w:t>
                            </w:r>
                          </w:p>
                          <w:p w:rsidR="008A60B4" w:rsidRPr="00A66F3C" w:rsidRDefault="008A60B4" w:rsidP="00A66F3C">
                            <w:pPr>
                              <w:pStyle w:val="Hlistbullet"/>
                              <w:rPr>
                                <w:sz w:val="18"/>
                                <w:szCs w:val="18"/>
                              </w:rPr>
                            </w:pPr>
                            <w:r>
                              <w:rPr>
                                <w:sz w:val="18"/>
                                <w:szCs w:val="18"/>
                              </w:rPr>
                              <w:t xml:space="preserve">în plus, sprijinul oferit proiectelor de cooperare de către serviciile de consiliere/de sprijinire a inovării, inclusiv sprijinul oferit de RNDR-uri în acest scop, poate contribui la </w:t>
                            </w:r>
                            <w:r>
                              <w:rPr>
                                <w:b/>
                                <w:bCs/>
                                <w:sz w:val="18"/>
                                <w:szCs w:val="18"/>
                              </w:rPr>
                              <w:t>consolidarea capacității de inovare</w:t>
                            </w:r>
                            <w:r>
                              <w:rPr>
                                <w:sz w:val="18"/>
                                <w:szCs w:val="18"/>
                              </w:rPr>
                              <w:t>.</w:t>
                            </w:r>
                          </w:p>
                          <w:p w:rsidR="008A60B4" w:rsidRPr="00A66F3C" w:rsidRDefault="008A60B4" w:rsidP="00A66F3C">
                            <w:pPr>
                              <w:pStyle w:val="Hlistbullet"/>
                              <w:rPr>
                                <w:sz w:val="18"/>
                                <w:szCs w:val="18"/>
                              </w:rPr>
                            </w:pPr>
                            <w:r>
                              <w:rPr>
                                <w:sz w:val="18"/>
                                <w:szCs w:val="18"/>
                              </w:rPr>
                              <w:t xml:space="preserve">Implicarea părților interesate din domeniul inovării în proiectele de cooperare (de exemplu, servicii de sprijinire a inovării, departamente de inovare, centre de cercetare și dezvoltare sau centre de inovare și tehnologice) poate contribui la </w:t>
                            </w:r>
                            <w:r>
                              <w:rPr>
                                <w:b/>
                                <w:bCs/>
                                <w:sz w:val="18"/>
                                <w:szCs w:val="18"/>
                              </w:rPr>
                              <w:t>crearea unui mediu care favorizează inovarea</w:t>
                            </w:r>
                            <w:r>
                              <w:rPr>
                                <w:sz w:val="18"/>
                                <w:szCs w:val="18"/>
                              </w:rPr>
                              <w:t>. De exemplu, realizarea unui proiect de cercetare colectiv poate produce un rezultat care ar putea influența legislația (de exemplu, legislația privind mediul).</w:t>
                            </w:r>
                          </w:p>
                          <w:p w:rsidR="008A60B4" w:rsidRPr="00A66F3C" w:rsidRDefault="008A60B4" w:rsidP="00A66F3C">
                            <w:pPr>
                              <w:pStyle w:val="Hlistbullet"/>
                              <w:rPr>
                                <w:sz w:val="18"/>
                                <w:szCs w:val="18"/>
                              </w:rPr>
                            </w:pPr>
                            <w:r>
                              <w:rPr>
                                <w:sz w:val="18"/>
                                <w:szCs w:val="18"/>
                              </w:rPr>
                              <w:t xml:space="preserve">Înființarea și funcționarea grupurilor operaționale poate aduce o abordare mai pronunțat holistică în sprijinirea inovării prin combinarea </w:t>
                            </w:r>
                            <w:r>
                              <w:rPr>
                                <w:b/>
                                <w:bCs/>
                                <w:sz w:val="18"/>
                                <w:szCs w:val="18"/>
                              </w:rPr>
                              <w:t>tuturor celor trei modalități</w:t>
                            </w:r>
                            <w:r>
                              <w:rPr>
                                <w:sz w:val="18"/>
                                <w:szCs w:val="18"/>
                              </w:rPr>
                              <w:t>: identificarea de idei noi (punctul de plecare pentru grupurile operaționale), consolidarea capacității de inovare (sprijinul acordat de serviciile de consiliere/de sprijinire a inovării) și crearea unui mediu favorizant pentru inovare (rezultatele proiectelor grupului operațional).</w:t>
                            </w:r>
                          </w:p>
                          <w:p w:rsidR="008A60B4" w:rsidRPr="00A66F3C" w:rsidRDefault="008A60B4" w:rsidP="00C3334D">
                            <w:pPr>
                              <w:pStyle w:val="Normal12PTcouleurgris"/>
                              <w:ind w:left="284"/>
                              <w:rPr>
                                <w:color w:val="F07E31"/>
                                <w:sz w:val="18"/>
                              </w:rPr>
                            </w:pPr>
                            <w:r>
                              <w:rPr>
                                <w:b/>
                                <w:color w:val="F07E31"/>
                                <w:sz w:val="18"/>
                              </w:rPr>
                              <w:t>Exemple ale modului în care M19 sprijină inovarea:</w:t>
                            </w:r>
                          </w:p>
                          <w:p w:rsidR="008A60B4" w:rsidRPr="00A66F3C" w:rsidRDefault="008A60B4" w:rsidP="00A66F3C">
                            <w:pPr>
                              <w:pStyle w:val="Hlistbullet"/>
                              <w:rPr>
                                <w:sz w:val="18"/>
                                <w:szCs w:val="18"/>
                              </w:rPr>
                            </w:pPr>
                            <w:r>
                              <w:rPr>
                                <w:sz w:val="18"/>
                                <w:szCs w:val="18"/>
                              </w:rPr>
                              <w:t xml:space="preserve">Aplicarea unor noi moduri de elaborare a strategiei, inclusiv diferite forme unice de asigurare a participării populației locale la deciziile strategice (de exemplu, diverse activități de animare legate de colectarea de informații, diverse ateliere și platforme de discuții etc.) contribuie astfel </w:t>
                            </w:r>
                            <w:r>
                              <w:rPr>
                                <w:b/>
                                <w:bCs/>
                                <w:sz w:val="18"/>
                                <w:szCs w:val="18"/>
                              </w:rPr>
                              <w:t>la crearea unui mediu favorizant pentru inovare (modalitatea 3)</w:t>
                            </w:r>
                            <w:r>
                              <w:rPr>
                                <w:sz w:val="18"/>
                                <w:szCs w:val="18"/>
                              </w:rPr>
                              <w:t>.</w:t>
                            </w:r>
                          </w:p>
                          <w:p w:rsidR="008A60B4" w:rsidRPr="00A66F3C" w:rsidRDefault="008A60B4" w:rsidP="00A66F3C">
                            <w:pPr>
                              <w:pStyle w:val="Hlistbullet"/>
                              <w:rPr>
                                <w:sz w:val="18"/>
                                <w:szCs w:val="18"/>
                              </w:rPr>
                            </w:pPr>
                            <w:r>
                              <w:rPr>
                                <w:sz w:val="18"/>
                                <w:szCs w:val="18"/>
                              </w:rPr>
                              <w:t xml:space="preserve">Punerea în aplicare a unor activități inovatoare de animare, care nu se limitează la etapa de elaborare și de punere în aplicare a strategiei și asigură implicarea publicului larg în diferite acțiuni inovatoare ale GAL-ului (de exemplu, acțiuni axate pe construirea unei identități teritoriale puternice, cum ar fi prin implicarea patrimoniului natural și cultural) care sprijină și mai puternic </w:t>
                            </w:r>
                            <w:r>
                              <w:rPr>
                                <w:b/>
                                <w:bCs/>
                                <w:sz w:val="18"/>
                                <w:szCs w:val="18"/>
                              </w:rPr>
                              <w:t>crearea unui</w:t>
                            </w:r>
                            <w:r>
                              <w:rPr>
                                <w:sz w:val="18"/>
                                <w:szCs w:val="18"/>
                              </w:rPr>
                              <w:t xml:space="preserve"> </w:t>
                            </w:r>
                            <w:r>
                              <w:rPr>
                                <w:b/>
                                <w:bCs/>
                                <w:sz w:val="18"/>
                                <w:szCs w:val="18"/>
                              </w:rPr>
                              <w:t>mediu favorizant și stimulează potențialele idei inovatoare (modalitățile 3 și 1).</w:t>
                            </w:r>
                          </w:p>
                          <w:p w:rsidR="008A60B4" w:rsidRPr="00A66F3C" w:rsidRDefault="008A60B4" w:rsidP="00A66F3C">
                            <w:pPr>
                              <w:pStyle w:val="Hlistbullet"/>
                              <w:rPr>
                                <w:sz w:val="18"/>
                                <w:szCs w:val="18"/>
                              </w:rPr>
                            </w:pPr>
                            <w:r>
                              <w:rPr>
                                <w:sz w:val="18"/>
                                <w:szCs w:val="18"/>
                              </w:rPr>
                              <w:t xml:space="preserve">Inițierea unor proiecte de cooperare inovatoare care să permită transferul de noi cunoștințe, experiențe și tehnologii pe teritoriul GAL și care să ofere un spațiu pentru </w:t>
                            </w:r>
                            <w:r>
                              <w:rPr>
                                <w:b/>
                                <w:bCs/>
                                <w:sz w:val="18"/>
                                <w:szCs w:val="18"/>
                              </w:rPr>
                              <w:t>stimularea unor idei potențial inovatoare (modalitatea 1)</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2A6BF" id="Rectangle: Diagonal Corners Rounded 11" o:spid="_x0000_s1042" style="position:absolute;left:0;text-align:left;margin-left:0;margin-top:22.5pt;width:465.65pt;height:59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750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" adj="-11796480,,5400" path="m333654,l5913755,r,l5913755,7172046v,184272,-149382,333654,-333654,333654l,7505700r,l,333654c,149382,149382,,333654,xe" filled="f" strokecolor="#f07e31" strokeweight="2pt">
                <v:stroke joinstyle="miter"/>
                <v:formulas/>
                <v:path arrowok="t" o:connecttype="custom" o:connectlocs="333654,0;5913755,0;5913755,0;5913755,7172046;5580101,7505700;0,7505700;0,7505700;0,333654;333654,0" o:connectangles="0,0,0,0,0,0,0,0,0" textboxrect="0,0,5913755,7505700"/>
                <v:textbox>
                  <w:txbxContent>
                    <w:p w:rsidR="008A60B4" w:rsidRDefault="008A60B4" w:rsidP="00C3334D">
                      <w:pPr>
                        <w:pStyle w:val="HStandard"/>
                        <w:ind w:left="284" w:right="23"/>
                      </w:pPr>
                      <w:r>
                        <w:rPr>
                          <w:noProof/>
                          <w:lang w:val="en-GB" w:eastAsia="en-GB"/>
                        </w:rPr>
                        <w:drawing>
                          <wp:inline distT="0" distB="0" distL="0" distR="0" wp14:anchorId="3573ECC3" wp14:editId="3B4EBF05">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8A60B4" w:rsidRPr="00A66F3C" w:rsidRDefault="008A60B4" w:rsidP="00A66F3C">
                      <w:pPr>
                        <w:pStyle w:val="HStandard"/>
                        <w:ind w:right="23"/>
                        <w:rPr>
                          <w:b/>
                          <w:color w:val="F07E31"/>
                          <w:sz w:val="18"/>
                          <w:szCs w:val="18"/>
                        </w:rPr>
                      </w:pPr>
                      <w:r>
                        <w:rPr>
                          <w:b/>
                          <w:color w:val="F07E31"/>
                          <w:sz w:val="18"/>
                          <w:szCs w:val="18"/>
                        </w:rPr>
                        <w:t>Exemple de moduri în care M1 poate consolida capacitatea de inovare</w:t>
                      </w:r>
                    </w:p>
                    <w:p w:rsidR="008A60B4" w:rsidRPr="00A66F3C" w:rsidRDefault="008A60B4" w:rsidP="00A66F3C">
                      <w:pPr>
                        <w:pStyle w:val="Hlistbullet"/>
                        <w:rPr>
                          <w:sz w:val="18"/>
                          <w:szCs w:val="18"/>
                        </w:rPr>
                      </w:pPr>
                      <w:r>
                        <w:rPr>
                          <w:sz w:val="18"/>
                          <w:szCs w:val="18"/>
                        </w:rPr>
                        <w:t>Noi competențe pentru fermieri/IMM-uri pentru aplicarea proceselor/tehnicilor inovatoare sau noi competențe organizaționale</w:t>
                      </w:r>
                    </w:p>
                    <w:p w:rsidR="008A60B4" w:rsidRPr="00A66F3C" w:rsidRDefault="008A60B4" w:rsidP="00A66F3C">
                      <w:pPr>
                        <w:pStyle w:val="Hlistbullet"/>
                        <w:rPr>
                          <w:sz w:val="18"/>
                          <w:szCs w:val="18"/>
                        </w:rPr>
                      </w:pPr>
                      <w:r>
                        <w:rPr>
                          <w:sz w:val="18"/>
                          <w:szCs w:val="18"/>
                        </w:rPr>
                        <w:t>Schimburi și vizite care contribuie la transferul de cunoștințe de la o exploatație/regiune la alta.</w:t>
                      </w:r>
                    </w:p>
                    <w:p w:rsidR="008A60B4" w:rsidRPr="00A66F3C" w:rsidRDefault="008A60B4" w:rsidP="00C3334D">
                      <w:pPr>
                        <w:pStyle w:val="HStandard"/>
                        <w:ind w:right="54"/>
                        <w:rPr>
                          <w:b/>
                          <w:color w:val="F07E31"/>
                          <w:sz w:val="18"/>
                          <w:szCs w:val="18"/>
                        </w:rPr>
                      </w:pPr>
                      <w:r>
                        <w:rPr>
                          <w:b/>
                          <w:color w:val="F07E31"/>
                          <w:sz w:val="18"/>
                          <w:szCs w:val="18"/>
                        </w:rPr>
                        <w:t>Exemple de moduri în care M16 sprijină inovarea:</w:t>
                      </w:r>
                    </w:p>
                    <w:p w:rsidR="008A60B4" w:rsidRPr="00A66F3C" w:rsidRDefault="008A60B4" w:rsidP="00A66F3C">
                      <w:pPr>
                        <w:pStyle w:val="Hlistbullet"/>
                        <w:rPr>
                          <w:sz w:val="18"/>
                          <w:szCs w:val="18"/>
                        </w:rPr>
                      </w:pPr>
                      <w:r>
                        <w:rPr>
                          <w:sz w:val="18"/>
                          <w:szCs w:val="18"/>
                        </w:rPr>
                        <w:t>Dezvoltarea de noi produse, practici, tehnologii în sectorul agricol, în cel alimentar și în cel forestier (submăsura M16.2</w:t>
                      </w:r>
                      <w:r>
                        <w:rPr>
                          <w:sz w:val="18"/>
                          <w:szCs w:val="18"/>
                          <w:vertAlign w:val="superscript"/>
                        </w:rPr>
                        <w:t>51</w:t>
                      </w:r>
                      <w:r>
                        <w:rPr>
                          <w:sz w:val="18"/>
                          <w:szCs w:val="18"/>
                        </w:rPr>
                        <w:t xml:space="preserve">) este legată de identificarea și sprijinirea inovării într-o manieră colaborativă. </w:t>
                      </w:r>
                    </w:p>
                    <w:p w:rsidR="008A60B4" w:rsidRPr="00A66F3C" w:rsidRDefault="008A60B4" w:rsidP="00A66F3C">
                      <w:pPr>
                        <w:pStyle w:val="Hlistbullet"/>
                        <w:rPr>
                          <w:sz w:val="18"/>
                          <w:szCs w:val="18"/>
                        </w:rPr>
                      </w:pPr>
                      <w:r>
                        <w:rPr>
                          <w:sz w:val="18"/>
                          <w:szCs w:val="18"/>
                        </w:rPr>
                        <w:t xml:space="preserve">Toate celelalte submăsuri au potențialul de a </w:t>
                      </w:r>
                      <w:r>
                        <w:rPr>
                          <w:b/>
                          <w:bCs/>
                          <w:sz w:val="18"/>
                          <w:szCs w:val="18"/>
                        </w:rPr>
                        <w:t>consolida capacitatea de inovare</w:t>
                      </w:r>
                      <w:r>
                        <w:rPr>
                          <w:sz w:val="18"/>
                          <w:szCs w:val="18"/>
                        </w:rPr>
                        <w:t>, dat fiind faptul că procesul de cooperare implică identificarea în mod colectiv a noilor oportunități, producerea de noi idei, experimentarea cu tehnologii noi sau identificarea de noi modalități de a întreprinde acțiuni.</w:t>
                      </w:r>
                    </w:p>
                    <w:p w:rsidR="008A60B4" w:rsidRPr="00A66F3C" w:rsidRDefault="008A60B4" w:rsidP="00A66F3C">
                      <w:pPr>
                        <w:pStyle w:val="Hlistbullet"/>
                        <w:rPr>
                          <w:sz w:val="18"/>
                          <w:szCs w:val="18"/>
                        </w:rPr>
                      </w:pPr>
                      <w:r>
                        <w:rPr>
                          <w:sz w:val="18"/>
                          <w:szCs w:val="18"/>
                        </w:rPr>
                        <w:t xml:space="preserve">în plus, sprijinul oferit proiectelor de cooperare de către serviciile de consiliere/de sprijinire a inovării, inclusiv sprijinul oferit de RNDR-uri în acest scop, poate contribui la </w:t>
                      </w:r>
                      <w:r>
                        <w:rPr>
                          <w:b/>
                          <w:bCs/>
                          <w:sz w:val="18"/>
                          <w:szCs w:val="18"/>
                        </w:rPr>
                        <w:t>consolidarea capacității de inovare</w:t>
                      </w:r>
                      <w:r>
                        <w:rPr>
                          <w:sz w:val="18"/>
                          <w:szCs w:val="18"/>
                        </w:rPr>
                        <w:t>.</w:t>
                      </w:r>
                    </w:p>
                    <w:p w:rsidR="008A60B4" w:rsidRPr="00A66F3C" w:rsidRDefault="008A60B4" w:rsidP="00A66F3C">
                      <w:pPr>
                        <w:pStyle w:val="Hlistbullet"/>
                        <w:rPr>
                          <w:sz w:val="18"/>
                          <w:szCs w:val="18"/>
                        </w:rPr>
                      </w:pPr>
                      <w:r>
                        <w:rPr>
                          <w:sz w:val="18"/>
                          <w:szCs w:val="18"/>
                        </w:rPr>
                        <w:t xml:space="preserve">Implicarea părților interesate din domeniul inovării în proiectele de cooperare (de exemplu, servicii de sprijinire a inovării, departamente de inovare, centre de cercetare și dezvoltare sau centre de inovare și tehnologice) poate contribui la </w:t>
                      </w:r>
                      <w:r>
                        <w:rPr>
                          <w:b/>
                          <w:bCs/>
                          <w:sz w:val="18"/>
                          <w:szCs w:val="18"/>
                        </w:rPr>
                        <w:t>crearea unui mediu care favorizează inovarea</w:t>
                      </w:r>
                      <w:r>
                        <w:rPr>
                          <w:sz w:val="18"/>
                          <w:szCs w:val="18"/>
                        </w:rPr>
                        <w:t>. De exemplu, realizarea unui proiect de cercetare colectiv poate produce un rezultat care ar putea influența legislația (de exemplu, legislația privind mediul).</w:t>
                      </w:r>
                    </w:p>
                    <w:p w:rsidR="008A60B4" w:rsidRPr="00A66F3C" w:rsidRDefault="008A60B4" w:rsidP="00A66F3C">
                      <w:pPr>
                        <w:pStyle w:val="Hlistbullet"/>
                        <w:rPr>
                          <w:sz w:val="18"/>
                          <w:szCs w:val="18"/>
                        </w:rPr>
                      </w:pPr>
                      <w:r>
                        <w:rPr>
                          <w:sz w:val="18"/>
                          <w:szCs w:val="18"/>
                        </w:rPr>
                        <w:t xml:space="preserve">Înființarea și funcționarea grupurilor operaționale poate aduce o abordare mai pronunțat holistică în sprijinirea inovării prin combinarea </w:t>
                      </w:r>
                      <w:r>
                        <w:rPr>
                          <w:b/>
                          <w:bCs/>
                          <w:sz w:val="18"/>
                          <w:szCs w:val="18"/>
                        </w:rPr>
                        <w:t>tuturor celor trei modalități</w:t>
                      </w:r>
                      <w:r>
                        <w:rPr>
                          <w:sz w:val="18"/>
                          <w:szCs w:val="18"/>
                        </w:rPr>
                        <w:t>: identificarea de idei noi (punctul de plecare pentru grupurile operaționale), consolidarea capacității de inovare (sprijinul acordat de serviciile de consiliere/de sprijinire a inovării) și crearea unui mediu favorizant pentru inovare (rezultatele proiectelor grupului operațional).</w:t>
                      </w:r>
                    </w:p>
                    <w:p w:rsidR="008A60B4" w:rsidRPr="00A66F3C" w:rsidRDefault="008A60B4" w:rsidP="00C3334D">
                      <w:pPr>
                        <w:pStyle w:val="Normal12PTcouleurgris"/>
                        <w:ind w:left="284"/>
                        <w:rPr>
                          <w:color w:val="F07E31"/>
                          <w:sz w:val="18"/>
                        </w:rPr>
                      </w:pPr>
                      <w:r>
                        <w:rPr>
                          <w:b/>
                          <w:color w:val="F07E31"/>
                          <w:sz w:val="18"/>
                        </w:rPr>
                        <w:t>Exemple ale modului în care M19 sprijină inovarea:</w:t>
                      </w:r>
                    </w:p>
                    <w:p w:rsidR="008A60B4" w:rsidRPr="00A66F3C" w:rsidRDefault="008A60B4" w:rsidP="00A66F3C">
                      <w:pPr>
                        <w:pStyle w:val="Hlistbullet"/>
                        <w:rPr>
                          <w:sz w:val="18"/>
                          <w:szCs w:val="18"/>
                        </w:rPr>
                      </w:pPr>
                      <w:r>
                        <w:rPr>
                          <w:sz w:val="18"/>
                          <w:szCs w:val="18"/>
                        </w:rPr>
                        <w:t xml:space="preserve">Aplicarea unor noi moduri de elaborare a strategiei, inclusiv diferite forme unice de asigurare a participării populației locale la deciziile strategice (de exemplu, diverse activități de animare legate de colectarea de informații, diverse ateliere și platforme de discuții etc.) contribuie astfel </w:t>
                      </w:r>
                      <w:r>
                        <w:rPr>
                          <w:b/>
                          <w:bCs/>
                          <w:sz w:val="18"/>
                          <w:szCs w:val="18"/>
                        </w:rPr>
                        <w:t>la crearea unui mediu favorizant pentru inovare (modalitatea 3)</w:t>
                      </w:r>
                      <w:r>
                        <w:rPr>
                          <w:sz w:val="18"/>
                          <w:szCs w:val="18"/>
                        </w:rPr>
                        <w:t>.</w:t>
                      </w:r>
                    </w:p>
                    <w:p w:rsidR="008A60B4" w:rsidRPr="00A66F3C" w:rsidRDefault="008A60B4" w:rsidP="00A66F3C">
                      <w:pPr>
                        <w:pStyle w:val="Hlistbullet"/>
                        <w:rPr>
                          <w:sz w:val="18"/>
                          <w:szCs w:val="18"/>
                        </w:rPr>
                      </w:pPr>
                      <w:r>
                        <w:rPr>
                          <w:sz w:val="18"/>
                          <w:szCs w:val="18"/>
                        </w:rPr>
                        <w:t xml:space="preserve">Punerea în aplicare a unor activități inovatoare de animare, care nu se limitează la etapa de elaborare și de punere în aplicare a strategiei și asigură implicarea publicului larg în diferite acțiuni inovatoare ale GAL-ului (de exemplu, acțiuni axate pe construirea unei identități teritoriale puternice, cum ar fi prin implicarea patrimoniului natural și cultural) care sprijină și mai puternic </w:t>
                      </w:r>
                      <w:r>
                        <w:rPr>
                          <w:b/>
                          <w:bCs/>
                          <w:sz w:val="18"/>
                          <w:szCs w:val="18"/>
                        </w:rPr>
                        <w:t>crearea unui</w:t>
                      </w:r>
                      <w:r>
                        <w:rPr>
                          <w:sz w:val="18"/>
                          <w:szCs w:val="18"/>
                        </w:rPr>
                        <w:t xml:space="preserve"> </w:t>
                      </w:r>
                      <w:r>
                        <w:rPr>
                          <w:b/>
                          <w:bCs/>
                          <w:sz w:val="18"/>
                          <w:szCs w:val="18"/>
                        </w:rPr>
                        <w:t>mediu favorizant și stimulează potențialele idei inovatoare (modalitățile 3 și 1).</w:t>
                      </w:r>
                    </w:p>
                    <w:p w:rsidR="008A60B4" w:rsidRPr="00A66F3C" w:rsidRDefault="008A60B4" w:rsidP="00A66F3C">
                      <w:pPr>
                        <w:pStyle w:val="Hlistbullet"/>
                        <w:rPr>
                          <w:sz w:val="18"/>
                          <w:szCs w:val="18"/>
                        </w:rPr>
                      </w:pPr>
                      <w:r>
                        <w:rPr>
                          <w:sz w:val="18"/>
                          <w:szCs w:val="18"/>
                        </w:rPr>
                        <w:t xml:space="preserve">Inițierea unor proiecte de cooperare inovatoare care să permită transferul de noi cunoștințe, experiențe și tehnologii pe teritoriul GAL și care să ofere un spațiu pentru </w:t>
                      </w:r>
                      <w:r>
                        <w:rPr>
                          <w:b/>
                          <w:bCs/>
                          <w:sz w:val="18"/>
                          <w:szCs w:val="18"/>
                        </w:rPr>
                        <w:t>stimularea unor idei potențial inovatoare (modalitatea 1)</w:t>
                      </w:r>
                      <w:r>
                        <w:rPr>
                          <w:sz w:val="18"/>
                          <w:szCs w:val="18"/>
                        </w:rPr>
                        <w:t>.</w:t>
                      </w:r>
                    </w:p>
                  </w:txbxContent>
                </v:textbox>
                <w10:wrap type="tight"/>
              </v:shape>
            </w:pict>
          </mc:Fallback>
        </mc:AlternateContent>
      </w:r>
    </w:p>
    <w:p w:rsidR="00863DB0" w:rsidRDefault="00863DB0">
      <w:pPr>
        <w:jc w:val="left"/>
        <w:rPr>
          <w:rFonts w:eastAsia="Calibri" w:cs="Times New Roman"/>
          <w:b/>
          <w:color w:val="57825E"/>
          <w:szCs w:val="20"/>
          <w:shd w:val="clear" w:color="auto" w:fill="FFFFFF"/>
        </w:rPr>
      </w:pPr>
      <w:r>
        <w:br w:type="page"/>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 xml:space="preserve">Provocări specifice </w:t>
      </w:r>
    </w:p>
    <w:p w:rsidR="00A45935" w:rsidRPr="000A718F" w:rsidRDefault="00A45935" w:rsidP="00A66F3C">
      <w:pPr>
        <w:pStyle w:val="Hlistbullet"/>
      </w:pPr>
      <w:r>
        <w:t xml:space="preserve">Elaborarea </w:t>
      </w:r>
      <w:r>
        <w:rPr>
          <w:shd w:val="clear" w:color="auto" w:fill="FFFFFF"/>
        </w:rPr>
        <w:t xml:space="preserve">unor elemente de evaluare suplimentare și specifice programului: IEC nr. </w:t>
      </w:r>
      <w:r w:rsidRPr="00FA63BD">
        <w:rPr>
          <w:shd w:val="clear" w:color="auto" w:fill="FFFFFF"/>
        </w:rPr>
        <w:t>1</w:t>
      </w:r>
      <w:r>
        <w:rPr>
          <w:shd w:val="clear" w:color="auto" w:fill="FFFFFF"/>
        </w:rPr>
        <w:t xml:space="preserve"> este legată de un indicator țintă comun (T</w:t>
      </w:r>
      <w:r w:rsidRPr="00FA63BD">
        <w:rPr>
          <w:shd w:val="clear" w:color="auto" w:fill="FFFFFF"/>
        </w:rPr>
        <w:t>1</w:t>
      </w:r>
      <w:r>
        <w:rPr>
          <w:shd w:val="clear" w:color="auto" w:fill="FFFFFF"/>
        </w:rPr>
        <w:t xml:space="preserve">) care poate să nu fie suficient pentru a răspunde la IEC și, prin urmare, poate fi necesar să fie însoțit de indicatori suplimentari pentru măsurarea cheltuielilor legate de inovare ale măsurilor relevante. În același timp, pot fi utilizați doi indicatori de realizare comuni pentru a răspunde la IEC nr. </w:t>
      </w:r>
      <w:r w:rsidRPr="00FA63BD">
        <w:rPr>
          <w:shd w:val="clear" w:color="auto" w:fill="FFFFFF"/>
        </w:rPr>
        <w:t>1</w:t>
      </w:r>
      <w:r>
        <w:rPr>
          <w:shd w:val="clear" w:color="auto" w:fill="FFFFFF"/>
        </w:rPr>
        <w:t xml:space="preserve"> (O</w:t>
      </w:r>
      <w:r w:rsidRPr="00FA63BD">
        <w:rPr>
          <w:shd w:val="clear" w:color="auto" w:fill="FFFFFF"/>
        </w:rPr>
        <w:t>13</w:t>
      </w:r>
      <w:r>
        <w:rPr>
          <w:shd w:val="clear" w:color="auto" w:fill="FFFFFF"/>
        </w:rPr>
        <w:t xml:space="preserve"> Numărul de beneficiari consiliați și O</w:t>
      </w:r>
      <w:r w:rsidRPr="00FA63BD">
        <w:rPr>
          <w:shd w:val="clear" w:color="auto" w:fill="FFFFFF"/>
        </w:rPr>
        <w:t>16</w:t>
      </w:r>
      <w:r>
        <w:rPr>
          <w:shd w:val="clear" w:color="auto" w:fill="FFFFFF"/>
        </w:rPr>
        <w:t xml:space="preserve"> Numărul operațiunilor PEI). În funcție de logica de intervenție specifică, pot fi necesare elemente de evaluare suplimentare pentru a analiza toate aspectele legate de inovare. </w:t>
      </w:r>
    </w:p>
    <w:p w:rsidR="00A45935" w:rsidRPr="000A718F" w:rsidRDefault="00A45935" w:rsidP="00A66F3C">
      <w:pPr>
        <w:pStyle w:val="Hlistbullet"/>
        <w:rPr>
          <w:rFonts w:eastAsia="Calibri"/>
          <w:shd w:val="clear" w:color="auto" w:fill="FFFFFF"/>
        </w:rPr>
      </w:pPr>
      <w:r>
        <w:rPr>
          <w:b/>
          <w:shd w:val="clear" w:color="auto" w:fill="FFFFFF"/>
        </w:rPr>
        <w:t xml:space="preserve">Atribuirea modificărilor observate </w:t>
      </w:r>
      <w:r>
        <w:rPr>
          <w:shd w:val="clear" w:color="auto" w:fill="FFFFFF"/>
        </w:rPr>
        <w:t xml:space="preserve">în ceea ce privește sprijinirea inovării către </w:t>
      </w:r>
      <w:r>
        <w:rPr>
          <w:b/>
          <w:bCs/>
          <w:shd w:val="clear" w:color="auto" w:fill="FFFFFF"/>
        </w:rPr>
        <w:t>măsurile</w:t>
      </w:r>
      <w:r>
        <w:rPr>
          <w:shd w:val="clear" w:color="auto" w:fill="FFFFFF"/>
        </w:rPr>
        <w:t xml:space="preserve"> M</w:t>
      </w:r>
      <w:r w:rsidRPr="00FA63BD">
        <w:rPr>
          <w:shd w:val="clear" w:color="auto" w:fill="FFFFFF"/>
        </w:rPr>
        <w:t>1</w:t>
      </w:r>
      <w:r>
        <w:rPr>
          <w:shd w:val="clear" w:color="auto" w:fill="FFFFFF"/>
        </w:rPr>
        <w:t>, M</w:t>
      </w:r>
      <w:r w:rsidRPr="00FA63BD">
        <w:rPr>
          <w:shd w:val="clear" w:color="auto" w:fill="FFFFFF"/>
        </w:rPr>
        <w:t>2</w:t>
      </w:r>
      <w:r>
        <w:rPr>
          <w:shd w:val="clear" w:color="auto" w:fill="FFFFFF"/>
        </w:rPr>
        <w:t>, M</w:t>
      </w:r>
      <w:r w:rsidRPr="00FA63BD">
        <w:rPr>
          <w:shd w:val="clear" w:color="auto" w:fill="FFFFFF"/>
        </w:rPr>
        <w:t>16</w:t>
      </w:r>
      <w:r>
        <w:rPr>
          <w:shd w:val="clear" w:color="auto" w:fill="FFFFFF"/>
        </w:rPr>
        <w:t xml:space="preserve"> și M</w:t>
      </w:r>
      <w:r w:rsidRPr="00FA63BD">
        <w:rPr>
          <w:shd w:val="clear" w:color="auto" w:fill="FFFFFF"/>
        </w:rPr>
        <w:t>19</w:t>
      </w:r>
      <w:r>
        <w:rPr>
          <w:shd w:val="clear" w:color="auto" w:fill="FFFFFF"/>
        </w:rPr>
        <w:t>.</w:t>
      </w:r>
    </w:p>
    <w:p w:rsidR="00A45935" w:rsidRPr="000A718F" w:rsidRDefault="00A45935" w:rsidP="00A66F3C">
      <w:pPr>
        <w:pStyle w:val="Hlistbullet"/>
        <w:rPr>
          <w:rFonts w:eastAsia="Calibri"/>
          <w:shd w:val="clear" w:color="auto" w:fill="FFFFFF"/>
        </w:rPr>
      </w:pPr>
      <w:r>
        <w:rPr>
          <w:b/>
          <w:bCs/>
          <w:shd w:val="clear" w:color="auto" w:fill="FFFFFF"/>
        </w:rPr>
        <w:t>Identificarea contribuțiilor măsurilor programate în cadrul altor arii de intervenție</w:t>
      </w:r>
      <w:r>
        <w:rPr>
          <w:shd w:val="clear" w:color="auto" w:fill="FFFFFF"/>
        </w:rPr>
        <w:t xml:space="preserve"> (altele decât aria de intervenție </w:t>
      </w:r>
      <w:r w:rsidRPr="00FA63BD">
        <w:rPr>
          <w:shd w:val="clear" w:color="auto" w:fill="FFFFFF"/>
        </w:rPr>
        <w:t>1</w:t>
      </w:r>
      <w:r>
        <w:rPr>
          <w:shd w:val="clear" w:color="auto" w:fill="FFFFFF"/>
        </w:rPr>
        <w:t xml:space="preserve">B) la sprijinirea inovării.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bCs/>
          <w:color w:val="57825E"/>
          <w:szCs w:val="20"/>
          <w:shd w:val="clear" w:color="auto" w:fill="FFFFFF"/>
        </w:rPr>
        <w:t xml:space="preserve">Abordare sugerată pentru a răspunde la IEC nr. </w:t>
      </w:r>
      <w:r w:rsidRPr="00FA63BD">
        <w:rPr>
          <w:b/>
          <w:bCs/>
          <w:color w:val="57825E"/>
          <w:szCs w:val="20"/>
          <w:shd w:val="clear" w:color="auto" w:fill="FFFFFF"/>
        </w:rPr>
        <w:t>1</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Logica de intervenție </w:t>
      </w:r>
    </w:p>
    <w:p w:rsidR="00863DB0" w:rsidRDefault="00A45935" w:rsidP="00A66F3C">
      <w:pPr>
        <w:spacing w:after="120" w:line="280" w:lineRule="atLeast"/>
        <w:mirrorIndents/>
        <w:rPr>
          <w:rFonts w:eastAsia="Times New Roman" w:cs="Times New Roman"/>
          <w:szCs w:val="20"/>
        </w:rPr>
      </w:pPr>
      <w:r>
        <w:t xml:space="preserve">Logica de intervenție legată de IEC nr. </w:t>
      </w:r>
      <w:r w:rsidRPr="00FA63BD">
        <w:t>1</w:t>
      </w:r>
      <w:r>
        <w:t xml:space="preserve"> poate fi revizuită, de asemenea, din punctul de vedere al inovării. Această revizuire se poate realiza pe baza rezultatelor examinării potențialului de inovare (a se vedea </w:t>
      </w:r>
      <w:hyperlink w:anchor="Screening_Potential" w:history="1">
        <w:r>
          <w:rPr>
            <w:rStyle w:val="Hyperlink"/>
            <w:sz w:val="20"/>
            <w:szCs w:val="20"/>
          </w:rPr>
          <w:t xml:space="preserve">capitolul </w:t>
        </w:r>
        <w:r w:rsidRPr="00FA63BD">
          <w:rPr>
            <w:rStyle w:val="Hyperlink"/>
            <w:sz w:val="20"/>
            <w:szCs w:val="20"/>
          </w:rPr>
          <w:t>2</w:t>
        </w:r>
        <w:r>
          <w:rPr>
            <w:rStyle w:val="Hyperlink"/>
            <w:sz w:val="20"/>
            <w:szCs w:val="20"/>
          </w:rPr>
          <w:t>.</w:t>
        </w:r>
        <w:r w:rsidRPr="00FA63BD">
          <w:rPr>
            <w:rStyle w:val="Hyperlink"/>
            <w:sz w:val="20"/>
            <w:szCs w:val="20"/>
          </w:rPr>
          <w:t>2</w:t>
        </w:r>
      </w:hyperlink>
      <w:r>
        <w:t>) al măsurilor M</w:t>
      </w:r>
      <w:r w:rsidRPr="00FA63BD">
        <w:t>1</w:t>
      </w:r>
      <w:r>
        <w:t>, M</w:t>
      </w:r>
      <w:r w:rsidRPr="00FA63BD">
        <w:t>2</w:t>
      </w:r>
      <w:r>
        <w:t>, M</w:t>
      </w:r>
      <w:r w:rsidRPr="00FA63BD">
        <w:t>16</w:t>
      </w:r>
      <w:r>
        <w:t xml:space="preserve"> și M</w:t>
      </w:r>
      <w:r w:rsidRPr="00FA63BD">
        <w:t>19</w:t>
      </w:r>
      <w:r>
        <w:t xml:space="preserve">, care sunt programate în mod normal în cadrul altor arii de intervenție decât aria de intervenție </w:t>
      </w:r>
      <w:r w:rsidRPr="00FA63BD">
        <w:t>1</w:t>
      </w:r>
      <w:r>
        <w:t xml:space="preserve">A, în combinație cu alte măsuri. Acest lucru va contribui la observarea realizărilor programului în raport cu obiectivele ariei de intervenție </w:t>
      </w:r>
      <w:r w:rsidRPr="00FA63BD">
        <w:t>1</w:t>
      </w:r>
      <w:r>
        <w:t xml:space="preserve">A și la identificarea beneficiarilor PDR și a părților interesate care pot fi furnizori de date și informații. </w:t>
      </w:r>
    </w:p>
    <w:p w:rsidR="00863DB0" w:rsidRDefault="00863DB0">
      <w:pPr>
        <w:jc w:val="left"/>
        <w:rPr>
          <w:rFonts w:eastAsia="Times New Roman" w:cs="Times New Roman"/>
          <w:szCs w:val="20"/>
        </w:rPr>
      </w:pPr>
      <w:r>
        <w:br w:type="page"/>
      </w:r>
    </w:p>
    <w:p w:rsidR="00A45935" w:rsidRPr="00D66501" w:rsidRDefault="00DD247A" w:rsidP="00A66F3C">
      <w:pPr>
        <w:pStyle w:val="HHeadingfigures"/>
      </w:pPr>
      <w:bookmarkStart w:id="106" w:name="_Toc508889205"/>
      <w:r>
        <w:lastRenderedPageBreak/>
        <w:t xml:space="preserve">Exemplu de logică de intervenție legată de IEC nr. </w:t>
      </w:r>
      <w:r w:rsidRPr="00FA63BD">
        <w:t>1</w:t>
      </w:r>
      <w:bookmarkEnd w:id="106"/>
      <w:r>
        <w:t xml:space="preserve"> </w:t>
      </w:r>
    </w:p>
    <w:p w:rsidR="007D2A0C" w:rsidRDefault="006F3795" w:rsidP="00690E70">
      <w:pPr>
        <w:spacing w:after="120" w:line="280" w:lineRule="atLeast"/>
        <w:mirrorIndents/>
        <w:jc w:val="center"/>
        <w:rPr>
          <w:rFonts w:eastAsia="Times New Roman" w:cs="Times New Roman"/>
          <w:i/>
          <w:sz w:val="16"/>
          <w:szCs w:val="16"/>
          <w:lang w:eastAsia="de-DE"/>
        </w:rPr>
      </w:pPr>
      <w:r>
        <w:rPr>
          <w:noProof/>
          <w:lang w:val="en-GB" w:eastAsia="en-GB"/>
        </w:rPr>
        <w:drawing>
          <wp:inline distT="0" distB="0" distL="0" distR="0" wp14:anchorId="1AA799CF" wp14:editId="2AC46308">
            <wp:extent cx="5731510" cy="3200286"/>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200286"/>
                    </a:xfrm>
                    <a:prstGeom prst="rect">
                      <a:avLst/>
                    </a:prstGeom>
                  </pic:spPr>
                </pic:pic>
              </a:graphicData>
            </a:graphic>
          </wp:inline>
        </w:drawing>
      </w: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753472" behindDoc="0" locked="0" layoutInCell="1" allowOverlap="1" wp14:anchorId="4B17F2A9" wp14:editId="70C5258B">
                <wp:simplePos x="0" y="0"/>
                <wp:positionH relativeFrom="column">
                  <wp:posOffset>0</wp:posOffset>
                </wp:positionH>
                <wp:positionV relativeFrom="paragraph">
                  <wp:posOffset>303630</wp:posOffset>
                </wp:positionV>
                <wp:extent cx="5732780" cy="182880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828800"/>
                        </a:xfrm>
                        <a:prstGeom prst="round2DiagRect">
                          <a:avLst>
                            <a:gd name="adj1" fmla="val 11556"/>
                            <a:gd name="adj2" fmla="val 0"/>
                          </a:avLst>
                        </a:prstGeom>
                        <a:noFill/>
                        <a:ln w="25400" cap="flat" cmpd="sng" algn="ctr">
                          <a:solidFill>
                            <a:srgbClr val="F07E31"/>
                          </a:solidFill>
                          <a:prstDash val="solid"/>
                        </a:ln>
                        <a:effectLst/>
                      </wps:spPr>
                      <wps:txbx>
                        <w:txbxContent>
                          <w:p w:rsidR="008A60B4" w:rsidRPr="00D33212" w:rsidRDefault="008A60B4" w:rsidP="00863DB0">
                            <w:pPr>
                              <w:pStyle w:val="H-Standard"/>
                            </w:pPr>
                            <w:r>
                              <w:rPr>
                                <w:noProof/>
                                <w:lang w:val="en-GB" w:eastAsia="en-GB"/>
                              </w:rPr>
                              <w:drawing>
                                <wp:inline distT="0" distB="0" distL="0" distR="0" wp14:anchorId="5FD12136" wp14:editId="74F3F6B2">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În acest exemplu, submăsura M1, „Formarea profesională și dobândirea de competențe”, și submăsura M2, „Formarea consilierilor”, au fost identificate ca având potențialul de a sprijini inovarea prin consolidarea capacităților de inovare. Combinația dintre M16.7 și M16.8 are potențialul de a sprijini inovarea prin stimularea ideilor inovatoare, în timp ce M16.1 are potențialul de a sprijini inovarea prin toate cele trei modalități. Submăsura 19.2, care sprijină strategiile DLRC, contribuie la crearea unui mediu favorizant. Submăsura pentru cooperare LEADER (M 19.3) contribuie la stimularea ideilor inovatoare într-o manieră colaborativă și consolidează capacitățile de inovare.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7F2A9" id="Rectangle: Diagonal Corners Rounded 23" o:spid="_x0000_s1043" style="position:absolute;left:0;text-align:left;margin-left:0;margin-top:23.9pt;width:451.4pt;height:2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" adj="-11796480,,5400" path="m211336,l5732780,r,l5732780,1617464v,116718,-94618,211336,-211336,211336l,1828800r,l,211336c,94618,94618,,211336,xe" filled="f" strokecolor="#f07e31" strokeweight="2pt">
                <v:stroke joinstyle="miter"/>
                <v:formulas/>
                <v:path arrowok="t" o:connecttype="custom" o:connectlocs="211336,0;5732780,0;5732780,0;5732780,1617464;5521444,1828800;0,1828800;0,1828800;0,211336;211336,0" o:connectangles="0,0,0,0,0,0,0,0,0" textboxrect="0,0,5732780,1828800"/>
                <v:textbox>
                  <w:txbxContent>
                    <w:p w:rsidR="008A60B4" w:rsidRPr="00D33212" w:rsidRDefault="008A60B4" w:rsidP="00863DB0">
                      <w:pPr>
                        <w:pStyle w:val="H-Standard"/>
                      </w:pPr>
                      <w:r>
                        <w:rPr>
                          <w:noProof/>
                          <w:lang w:val="en-GB" w:eastAsia="en-GB"/>
                        </w:rPr>
                        <w:drawing>
                          <wp:inline distT="0" distB="0" distL="0" distR="0" wp14:anchorId="5FD12136" wp14:editId="74F3F6B2">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În acest exemplu, submăsura M1, „Formarea profesională și dobândirea de competențe”, și submăsura M2, „Formarea consilierilor”, au fost identificate ca având potențialul de a sprijini inovarea prin consolidarea capacităților de inovare. Combinația dintre M16.7 și M16.8 are potențialul de a sprijini inovarea prin stimularea ideilor inovatoare, în timp ce M16.1 are potențialul de a sprijini inovarea prin toate cele trei modalități. Submăsura 19.2, care sprijină strategiile DLRC, contribuie la crearea unui mediu favorizant. Submăsura pentru cooperare LEADER (M 19.3) contribuie la stimularea ideilor inovatoare într-o manieră colaborativă și consolidează capacitățile de inovare.</w:t>
                      </w:r>
                    </w:p>
                  </w:txbxContent>
                </v:textbox>
                <w10:wrap type="square"/>
              </v:shape>
            </w:pict>
          </mc:Fallback>
        </mc:AlternateContent>
      </w:r>
      <w:r>
        <w:t>Sursă:</w:t>
      </w:r>
      <w:r>
        <w:rPr>
          <w:i/>
          <w:sz w:val="16"/>
          <w:szCs w:val="16"/>
        </w:rPr>
        <w:t xml:space="preserve"> Serviciul european de asistență pentru evaluare în domeniul dezvoltării rurale, </w:t>
      </w:r>
      <w:r w:rsidRPr="00FA63BD">
        <w:rPr>
          <w:i/>
          <w:sz w:val="16"/>
          <w:szCs w:val="16"/>
        </w:rPr>
        <w:t>2017</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Elemente de evaluare </w:t>
      </w:r>
    </w:p>
    <w:p w:rsidR="00A45935" w:rsidRDefault="00734B11" w:rsidP="00E05D08">
      <w:pPr>
        <w:spacing w:before="120" w:after="120" w:line="280" w:lineRule="atLeast"/>
        <w:mirrorIndents/>
        <w:rPr>
          <w:rFonts w:eastAsia="Times New Roman" w:cs="Times New Roman"/>
          <w:szCs w:val="20"/>
        </w:rPr>
      </w:pPr>
      <w:r>
        <w:t xml:space="preserve">Criteriile de apreciere și indicatorii comuni pentru IEC nr. </w:t>
      </w:r>
      <w:r w:rsidRPr="00FA63BD">
        <w:t>1</w:t>
      </w:r>
      <w:r>
        <w:t xml:space="preserve"> rămân la nivelul de realizare al operațiunilor din cadrul măsurilor M</w:t>
      </w:r>
      <w:r w:rsidRPr="00FA63BD">
        <w:t>1</w:t>
      </w:r>
      <w:r>
        <w:t>, M</w:t>
      </w:r>
      <w:r w:rsidRPr="00FA63BD">
        <w:t>2</w:t>
      </w:r>
      <w:r>
        <w:t xml:space="preserve"> și M</w:t>
      </w:r>
      <w:r w:rsidRPr="00FA63BD">
        <w:t>16</w:t>
      </w:r>
      <w:r>
        <w:t xml:space="preserve"> și M</w:t>
      </w:r>
      <w:r w:rsidRPr="00FA63BD">
        <w:t>19</w:t>
      </w:r>
      <w:r>
        <w:t xml:space="preserve">. Pentru a evalua rezultatele acestor măsuri, ar putea fi necesar să se elaboreze criterii de apreciere și indicatori suplimentari (a se vedea </w:t>
      </w:r>
      <w:hyperlink w:anchor="Evaluation_elements" w:history="1">
        <w:r>
          <w:rPr>
            <w:rStyle w:val="Hyperlink"/>
            <w:sz w:val="20"/>
            <w:szCs w:val="20"/>
          </w:rPr>
          <w:t xml:space="preserve">tabelul </w:t>
        </w:r>
        <w:r w:rsidRPr="00FA63BD">
          <w:rPr>
            <w:rStyle w:val="Hyperlink"/>
            <w:sz w:val="20"/>
            <w:szCs w:val="20"/>
          </w:rPr>
          <w:t>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A43EFD">
      <w:pPr>
        <w:pStyle w:val="HHeadingtables"/>
        <w:rPr>
          <w:color w:val="6F6F6F"/>
          <w:sz w:val="18"/>
          <w:szCs w:val="18"/>
        </w:rPr>
      </w:pPr>
      <w:bookmarkStart w:id="107" w:name="Evaluation_elements"/>
      <w:bookmarkStart w:id="108" w:name="_Toc508889189"/>
      <w:r>
        <w:lastRenderedPageBreak/>
        <w:t>Elementele de evaluare și sursele de informare</w:t>
      </w:r>
      <w:bookmarkEnd w:id="107"/>
      <w:r>
        <w:t xml:space="preserve"> în legătură cu IEC nr. </w:t>
      </w:r>
      <w:r w:rsidRPr="00FA63BD">
        <w:t>1</w:t>
      </w:r>
      <w:bookmarkEnd w:id="108"/>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6"/>
        <w:gridCol w:w="3118"/>
        <w:gridCol w:w="2835"/>
        <w:gridCol w:w="5755"/>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Criterii de apreciere</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Indicatori</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Nevoi în materie de date</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Surse de date</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 xml:space="preserve">Elemente de evaluare comune (SCME și elementele propuse în documentul de lucru „Întrebări de evaluare comune pentru perioada </w:t>
            </w:r>
            <w:r w:rsidRPr="00FA63BD">
              <w:rPr>
                <w:b/>
                <w:color w:val="FFFFFF"/>
                <w:sz w:val="18"/>
                <w:szCs w:val="18"/>
              </w:rPr>
              <w:t>2014</w:t>
            </w:r>
            <w:r>
              <w:rPr>
                <w:b/>
                <w:color w:val="FFFFFF"/>
                <w:sz w:val="18"/>
                <w:szCs w:val="18"/>
              </w:rPr>
              <w:t>-</w:t>
            </w:r>
            <w:r w:rsidRPr="00FA63BD">
              <w:rPr>
                <w:b/>
                <w:color w:val="FFFFFF"/>
                <w:sz w:val="18"/>
                <w:szCs w:val="18"/>
              </w:rPr>
              <w:t>2020</w:t>
            </w:r>
            <w:r>
              <w:rPr>
                <w:b/>
                <w:color w:val="FFFFFF"/>
                <w:sz w:val="18"/>
                <w:szCs w:val="18"/>
              </w:rPr>
              <w:t>”)</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Proiectele PDR sunt inovatoare și se bazează pe cunoștințele obținute.</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w:t>
            </w:r>
            <w:r w:rsidRPr="00FA63BD">
              <w:rPr>
                <w:sz w:val="18"/>
                <w:szCs w:val="18"/>
                <w14:textFill>
                  <w14:solidFill>
                    <w14:srgbClr w14:val="373737">
                      <w14:lumMod w14:val="75000"/>
                    </w14:srgbClr>
                  </w14:solidFill>
                </w14:textFill>
              </w:rPr>
              <w:t>1</w:t>
            </w:r>
            <w:r>
              <w:rPr>
                <w:sz w:val="18"/>
                <w:szCs w:val="18"/>
                <w14:textFill>
                  <w14:solidFill>
                    <w14:srgbClr w14:val="373737">
                      <w14:lumMod w14:val="75000"/>
                    </w14:srgbClr>
                  </w14:solidFill>
                </w14:textFill>
              </w:rPr>
              <w:t xml:space="preserve">: % al cheltuielilor efectuate în temeiul articolelor </w:t>
            </w:r>
            <w:r w:rsidRPr="00FA63BD">
              <w:rPr>
                <w:sz w:val="18"/>
                <w:szCs w:val="18"/>
                <w14:textFill>
                  <w14:solidFill>
                    <w14:srgbClr w14:val="373737">
                      <w14:lumMod w14:val="75000"/>
                    </w14:srgbClr>
                  </w14:solidFill>
                </w14:textFill>
              </w:rPr>
              <w:t>14</w:t>
            </w:r>
            <w:r>
              <w:rPr>
                <w:sz w:val="18"/>
                <w:szCs w:val="18"/>
                <w14:textFill>
                  <w14:solidFill>
                    <w14:srgbClr w14:val="373737">
                      <w14:lumMod w14:val="75000"/>
                    </w14:srgbClr>
                  </w14:solidFill>
                </w14:textFill>
              </w:rPr>
              <w:t xml:space="preserve">, </w:t>
            </w:r>
            <w:r w:rsidRPr="00FA63BD">
              <w:rPr>
                <w:sz w:val="18"/>
                <w:szCs w:val="18"/>
                <w14:textFill>
                  <w14:solidFill>
                    <w14:srgbClr w14:val="373737">
                      <w14:lumMod w14:val="75000"/>
                    </w14:srgbClr>
                  </w14:solidFill>
                </w14:textFill>
              </w:rPr>
              <w:t>15</w:t>
            </w:r>
            <w:r>
              <w:rPr>
                <w:sz w:val="18"/>
                <w:szCs w:val="18"/>
                <w14:textFill>
                  <w14:solidFill>
                    <w14:srgbClr w14:val="373737">
                      <w14:lumMod w14:val="75000"/>
                    </w14:srgbClr>
                  </w14:solidFill>
                </w14:textFill>
              </w:rPr>
              <w:t xml:space="preserve"> și </w:t>
            </w:r>
            <w:r w:rsidRPr="00FA63BD">
              <w:rPr>
                <w:sz w:val="18"/>
                <w:szCs w:val="18"/>
                <w14:textFill>
                  <w14:solidFill>
                    <w14:srgbClr w14:val="373737">
                      <w14:lumMod w14:val="75000"/>
                    </w14:srgbClr>
                  </w14:solidFill>
                </w14:textFill>
              </w:rPr>
              <w:t>35</w:t>
            </w:r>
            <w:r>
              <w:rPr>
                <w:sz w:val="18"/>
                <w:szCs w:val="18"/>
                <w14:textFill>
                  <w14:solidFill>
                    <w14:srgbClr w14:val="373737">
                      <w14:lumMod w14:val="75000"/>
                    </w14:srgbClr>
                  </w14:solidFill>
                </w14:textFill>
              </w:rPr>
              <w:t xml:space="preserve"> din Regulamentul (UE) nr. </w:t>
            </w:r>
            <w:r w:rsidRPr="00FA63BD">
              <w:rPr>
                <w:sz w:val="18"/>
                <w:szCs w:val="18"/>
                <w14:textFill>
                  <w14:solidFill>
                    <w14:srgbClr w14:val="373737">
                      <w14:lumMod w14:val="75000"/>
                    </w14:srgbClr>
                  </w14:solidFill>
                </w14:textFill>
              </w:rPr>
              <w:t>1305</w:t>
            </w:r>
            <w:r>
              <w:rPr>
                <w:sz w:val="18"/>
                <w:szCs w:val="18"/>
                <w14:textFill>
                  <w14:solidFill>
                    <w14:srgbClr w14:val="373737">
                      <w14:lumMod w14:val="75000"/>
                    </w14:srgbClr>
                  </w14:solidFill>
                </w14:textFill>
              </w:rPr>
              <w:t>/</w:t>
            </w:r>
            <w:r w:rsidRPr="00FA63BD">
              <w:rPr>
                <w:sz w:val="18"/>
                <w:szCs w:val="18"/>
                <w14:textFill>
                  <w14:solidFill>
                    <w14:srgbClr w14:val="373737">
                      <w14:lumMod w14:val="75000"/>
                    </w14:srgbClr>
                  </w14:solidFill>
                </w14:textFill>
              </w:rPr>
              <w:t>2013</w:t>
            </w:r>
            <w:r>
              <w:rPr>
                <w:sz w:val="18"/>
                <w:szCs w:val="18"/>
                <w14:textFill>
                  <w14:solidFill>
                    <w14:srgbClr w14:val="373737">
                      <w14:lumMod w14:val="75000"/>
                    </w14:srgbClr>
                  </w14:solidFill>
                </w14:textFill>
              </w:rPr>
              <w:t xml:space="preserve"> în raport cu cheltuielile totale ale PDR.</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Indicator suplimentar:</w:t>
            </w:r>
            <w:r>
              <w:rPr>
                <w:color w:val="57825E"/>
                <w:sz w:val="18"/>
                <w:szCs w:val="18"/>
                <w14:textFill>
                  <w14:solidFill>
                    <w14:srgbClr w14:val="57825E">
                      <w14:lumMod w14:val="75000"/>
                    </w14:srgbClr>
                  </w14:solidFill>
                </w14:textFill>
              </w:rPr>
              <w:t xml:space="preserve"> % al proiectelor inovatoare din totalul proiectelor sprijinite de PDR.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Date privind cheltuielile efectuate pentru măsurile </w:t>
            </w:r>
            <w:r w:rsidRPr="00FA63BD">
              <w:rPr>
                <w:sz w:val="18"/>
                <w:szCs w:val="18"/>
                <w14:textFill>
                  <w14:solidFill>
                    <w14:srgbClr w14:val="373737">
                      <w14:lumMod w14:val="75000"/>
                    </w14:srgbClr>
                  </w14:solidFill>
                </w14:textFill>
              </w:rPr>
              <w:t>1</w:t>
            </w:r>
            <w:r>
              <w:rPr>
                <w:sz w:val="18"/>
                <w:szCs w:val="18"/>
                <w14:textFill>
                  <w14:solidFill>
                    <w14:srgbClr w14:val="373737">
                      <w14:lumMod w14:val="75000"/>
                    </w14:srgbClr>
                  </w14:solidFill>
                </w14:textFill>
              </w:rPr>
              <w:t xml:space="preserve">, </w:t>
            </w:r>
            <w:r w:rsidRPr="00FA63BD">
              <w:rPr>
                <w:sz w:val="18"/>
                <w:szCs w:val="18"/>
                <w14:textFill>
                  <w14:solidFill>
                    <w14:srgbClr w14:val="373737">
                      <w14:lumMod w14:val="75000"/>
                    </w14:srgbClr>
                  </w14:solidFill>
                </w14:textFill>
              </w:rPr>
              <w:t>2</w:t>
            </w:r>
            <w:r>
              <w:rPr>
                <w:sz w:val="18"/>
                <w:szCs w:val="18"/>
                <w14:textFill>
                  <w14:solidFill>
                    <w14:srgbClr w14:val="373737">
                      <w14:lumMod w14:val="75000"/>
                    </w14:srgbClr>
                  </w14:solidFill>
                </w14:textFill>
              </w:rPr>
              <w:t xml:space="preserve"> și </w:t>
            </w:r>
            <w:r w:rsidRPr="00FA63BD">
              <w:rPr>
                <w:sz w:val="18"/>
                <w:szCs w:val="18"/>
                <w14:textFill>
                  <w14:solidFill>
                    <w14:srgbClr w14:val="373737">
                      <w14:lumMod w14:val="75000"/>
                    </w14:srgbClr>
                  </w14:solidFill>
                </w14:textFill>
              </w:rPr>
              <w:t>16</w:t>
            </w:r>
            <w:r>
              <w:rPr>
                <w:sz w:val="18"/>
                <w:szCs w:val="18"/>
                <w14:textFill>
                  <w14:solidFill>
                    <w14:srgbClr w14:val="373737">
                      <w14:lumMod w14:val="75000"/>
                    </w14:srgbClr>
                  </w14:solidFill>
                </w14:textFill>
              </w:rPr>
              <w: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În cazul în care este posibil, ar trebui colectate, de asemenea, date privind cheltuielile pentru submăsurile care au fost identificate ca având un potențial de sprijinire a inovării.</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Sistemul de monitorizare al PDR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Formulare de cerere ale beneficiarilor (începerea proiectului)</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Solicitări de plată ale beneficiarilor (finalizarea proiectului)</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Au fost create grupuri operaționale.</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w:t>
            </w:r>
            <w:r w:rsidRPr="00FA63BD">
              <w:rPr>
                <w:sz w:val="18"/>
                <w:szCs w:val="18"/>
                <w14:textFill>
                  <w14:solidFill>
                    <w14:srgbClr w14:val="373737">
                      <w14:lumMod w14:val="75000"/>
                    </w14:srgbClr>
                  </w14:solidFill>
                </w14:textFill>
              </w:rPr>
              <w:t>16</w:t>
            </w:r>
            <w:r>
              <w:rPr>
                <w:sz w:val="18"/>
                <w:szCs w:val="18"/>
                <w14:textFill>
                  <w14:solidFill>
                    <w14:srgbClr w14:val="373737">
                      <w14:lumMod w14:val="75000"/>
                    </w14:srgbClr>
                  </w14:solidFill>
                </w14:textFill>
              </w:rPr>
              <w:t xml:space="preserve"> Numărul operațiunilor din cadrul PEI.</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operațiunilor din cadrul PEI (elementul de date O.</w:t>
            </w:r>
            <w:r w:rsidRPr="00FA63BD">
              <w:rPr>
                <w:sz w:val="18"/>
                <w:szCs w:val="18"/>
                <w14:textFill>
                  <w14:solidFill>
                    <w14:srgbClr w14:val="373737">
                      <w14:lumMod w14:val="75000"/>
                    </w14:srgbClr>
                  </w14:solidFill>
                </w14:textFill>
              </w:rPr>
              <w:t>16</w:t>
            </w:r>
            <w:r>
              <w:rPr>
                <w:sz w:val="18"/>
                <w:szCs w:val="18"/>
                <w14:textFill>
                  <w14:solidFill>
                    <w14:srgbClr w14:val="373737">
                      <w14:lumMod w14:val="75000"/>
                    </w14:srgbClr>
                  </w14:solidFill>
                </w14:textFill>
              </w:rPr>
              <w:t>).</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Sistemul de monitorizare al PDR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Formulare de cerere ale beneficiarilor (începerea proiectului)</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Solicitări de plată ale beneficiarilor (finalizarea proiectului)</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Varietatea partenerilor implicați în grupurile operaționale PEI.</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w:t>
            </w:r>
            <w:r w:rsidRPr="00FA63BD">
              <w:rPr>
                <w:sz w:val="18"/>
                <w:szCs w:val="18"/>
                <w14:textFill>
                  <w14:solidFill>
                    <w14:srgbClr w14:val="373737">
                      <w14:lumMod w14:val="75000"/>
                    </w14:srgbClr>
                  </w14:solidFill>
                </w14:textFill>
              </w:rPr>
              <w:t>16</w:t>
            </w:r>
            <w:r>
              <w:rPr>
                <w:sz w:val="18"/>
                <w:szCs w:val="18"/>
                <w14:textFill>
                  <w14:solidFill>
                    <w14:srgbClr w14:val="373737">
                      <w14:lumMod w14:val="75000"/>
                    </w14:srgbClr>
                  </w14:solidFill>
                </w14:textFill>
              </w:rPr>
              <w:t xml:space="preserve"> Numărul și tipul partenerilor implicați în operațiunile din cadrul PEI.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u w:val="single"/>
                <w14:textFill>
                  <w14:solidFill>
                    <w14:srgbClr w14:val="57825E">
                      <w14:lumMod w14:val="75000"/>
                    </w14:srgbClr>
                  </w14:solidFill>
                </w14:textFill>
              </w:rPr>
              <w:t>Indicator suplimentar:</w:t>
            </w:r>
            <w:r>
              <w:rPr>
                <w:color w:val="57825E"/>
                <w:sz w:val="18"/>
                <w:szCs w:val="18"/>
                <w14:textFill>
                  <w14:solidFill>
                    <w14:srgbClr w14:val="57825E">
                      <w14:lumMod w14:val="75000"/>
                    </w14:srgbClr>
                  </w14:solidFill>
                </w14:textFill>
              </w:rPr>
              <w:t xml:space="preserve"> Numărul și tipul partenerilor implicați în proiectele de cooperare.</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și tipul partenerilor.</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Sistemul de monitorizare al PDR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Formulare de cerere ale beneficiarilor (începerea proiectului)</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Solicitări de plată ale beneficiarilor (finalizarea proiectului)</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Rezumate practice ale grupurilor operaționale.</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Acțiunile inovatoare au fost puse în aplicare și diseminate de grupurile operaționale PEI.</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w:t>
            </w:r>
            <w:r w:rsidRPr="00FA63BD">
              <w:rPr>
                <w:sz w:val="18"/>
                <w:szCs w:val="18"/>
                <w14:textFill>
                  <w14:solidFill>
                    <w14:srgbClr w14:val="373737">
                      <w14:lumMod w14:val="75000"/>
                    </w14:srgbClr>
                  </w14:solidFill>
                </w14:textFill>
              </w:rPr>
              <w:t>16</w:t>
            </w:r>
            <w:r>
              <w:rPr>
                <w:sz w:val="18"/>
                <w:szCs w:val="18"/>
                <w14:textFill>
                  <w14:solidFill>
                    <w14:srgbClr w14:val="373737">
                      <w14:lumMod w14:val="75000"/>
                    </w14:srgbClr>
                  </w14:solidFill>
                </w14:textFill>
              </w:rPr>
              <w:t xml:space="preserve"> Numărul operațiunilor din cadrul PEI.</w:t>
            </w:r>
          </w:p>
          <w:p w:rsidR="00A45935" w:rsidRPr="00385368" w:rsidRDefault="00A45935" w:rsidP="007E63EF">
            <w:pPr>
              <w:spacing w:after="120" w:line="280" w:lineRule="atLeast"/>
              <w:jc w:val="left"/>
              <w:rPr>
                <w:rFonts w:eastAsia="Calibri" w:cs="Arial"/>
                <w:color w:val="57825E"/>
                <w:sz w:val="18"/>
                <w:szCs w:val="18"/>
              </w:rPr>
            </w:pPr>
            <w:r>
              <w:rPr>
                <w:color w:val="57825E"/>
                <w:sz w:val="18"/>
                <w:szCs w:val="18"/>
                <w:u w:val="single"/>
              </w:rPr>
              <w:t>Indicator suplimentar:</w:t>
            </w:r>
            <w:r>
              <w:rPr>
                <w:color w:val="57825E"/>
                <w:sz w:val="18"/>
                <w:szCs w:val="18"/>
              </w:rPr>
              <w:t xml:space="preserve"> numărul acțiunilor inovatoare sprijinite care sunt puse în aplicare și diseminate </w:t>
            </w:r>
            <w:r>
              <w:rPr>
                <w:color w:val="57825E"/>
                <w:sz w:val="18"/>
                <w:szCs w:val="18"/>
              </w:rPr>
              <w:lastRenderedPageBreak/>
              <w:t>de grupurile operaționale PEI, împărțite în funcție de tipuri, sectoare etc.</w:t>
            </w:r>
          </w:p>
          <w:p w:rsidR="00F200A2" w:rsidRPr="00864E8E" w:rsidRDefault="00F200A2" w:rsidP="007E63EF">
            <w:pPr>
              <w:spacing w:after="120" w:line="280" w:lineRule="atLeast"/>
              <w:jc w:val="left"/>
              <w:rPr>
                <w:rFonts w:eastAsia="Calibri" w:cs="Arial"/>
                <w:sz w:val="18"/>
                <w:szCs w:val="18"/>
                <w14:textFill>
                  <w14:solidFill>
                    <w14:srgbClr w14:val="373737">
                      <w14:lumMod w14:val="75000"/>
                    </w14:srgbClr>
                  </w14:solidFill>
                </w14:textFill>
              </w:rPr>
            </w:pP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Numărul operațiunilor din cadrul PEI (elementul de date O.</w:t>
            </w:r>
            <w:r w:rsidRPr="00FA63BD">
              <w:rPr>
                <w:sz w:val="18"/>
                <w:szCs w:val="18"/>
                <w14:textFill>
                  <w14:solidFill>
                    <w14:srgbClr w14:val="373737">
                      <w14:lumMod w14:val="75000"/>
                    </w14:srgbClr>
                  </w14:solidFill>
                </w14:textFill>
              </w:rPr>
              <w:t>16</w:t>
            </w:r>
            <w:r>
              <w:rPr>
                <w:sz w:val="18"/>
                <w:szCs w:val="18"/>
                <w14:textFill>
                  <w14:solidFill>
                    <w14:srgbClr w14:val="373737">
                      <w14:lumMod w14:val="75000"/>
                    </w14:srgbClr>
                  </w14:solidFill>
                </w14:textFill>
              </w:rPr>
              <w:t>).</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Sistemul de monitorizare al PDR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Formulare de cerere ale beneficiarilor (începerea proiectului)</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Solicitări de plată ale beneficiarilor (finalizarea proiectului)</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Rezumate practice ale grupurilor operaționale.</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t>Elemente de evaluare suplimentare (opțional)</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Componența grupurilor operaționale PEI include părțile interesate din domeniul inovării.</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Componența grupurilor operaționale PEI (numărul și tipul partenerilor), dintre care părțile interesate din domeniul inovării.</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Numărul partenerilor din cadrul grupurilor operaționale.</w:t>
            </w:r>
          </w:p>
          <w:p w:rsidR="00A45935" w:rsidRPr="00E05D08" w:rsidRDefault="00A45935" w:rsidP="007E63EF">
            <w:pPr>
              <w:suppressAutoHyphens/>
              <w:spacing w:before="40" w:after="40"/>
              <w:jc w:val="left"/>
              <w:rPr>
                <w:rFonts w:cs="Arial"/>
                <w:sz w:val="18"/>
                <w:szCs w:val="18"/>
              </w:rPr>
            </w:pPr>
            <w:r>
              <w:rPr>
                <w:sz w:val="18"/>
                <w:szCs w:val="18"/>
              </w:rPr>
              <w:t>Tipul partenerilor din cadrul grupurilor operaționale.</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Sistemul de monitorizare al PDR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Formulare de cerere ale beneficiarilor (începerea proiectului)</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Solicitări de plată ale beneficiarilor (finalizarea proiectului)</w:t>
            </w:r>
          </w:p>
          <w:p w:rsidR="00A45935" w:rsidRPr="00385368" w:rsidRDefault="00A45935" w:rsidP="007E63EF">
            <w:pPr>
              <w:suppressAutoHyphens/>
              <w:spacing w:before="40" w:after="40"/>
              <w:jc w:val="left"/>
              <w:rPr>
                <w:rFonts w:cs="Arial"/>
                <w:sz w:val="18"/>
                <w:szCs w:val="18"/>
              </w:rPr>
            </w:pPr>
            <w:r>
              <w:rPr>
                <w:sz w:val="18"/>
                <w:szCs w:val="18"/>
              </w:rPr>
              <w:t>Sondaje care vizează grupurile operaționale PEI și GAL-urile.</w:t>
            </w:r>
          </w:p>
          <w:p w:rsidR="00A45935" w:rsidRPr="00385368" w:rsidRDefault="00A45935" w:rsidP="007E63EF">
            <w:pPr>
              <w:suppressAutoHyphens/>
              <w:spacing w:before="40" w:after="40"/>
              <w:jc w:val="left"/>
              <w:rPr>
                <w:rFonts w:cs="Arial"/>
                <w:sz w:val="18"/>
                <w:szCs w:val="18"/>
              </w:rPr>
            </w:pPr>
            <w:r>
              <w:rPr>
                <w:sz w:val="18"/>
                <w:szCs w:val="18"/>
              </w:rPr>
              <w:t>Platforme web ale grupurilor operaționale.</w:t>
            </w:r>
          </w:p>
          <w:p w:rsidR="00A45935" w:rsidRPr="00E05D08" w:rsidRDefault="00A45935" w:rsidP="007E63EF">
            <w:pPr>
              <w:suppressAutoHyphens/>
              <w:spacing w:before="40" w:after="40"/>
              <w:jc w:val="left"/>
              <w:rPr>
                <w:rFonts w:cs="Arial"/>
                <w:sz w:val="18"/>
                <w:szCs w:val="18"/>
              </w:rPr>
            </w:pPr>
            <w:r>
              <w:rPr>
                <w:sz w:val="18"/>
                <w:szCs w:val="18"/>
              </w:rPr>
              <w:t>Rezumate practice ale grupurilor operaționale.</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GAL-urile au sprijinit proiectele de inovare.</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proiectelor puse în aplicare de GAL-uri și beneficiarii acestora, considerate ca fiind inovatoare (respectând criteriile de eligibilitate și de selecție).</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Date privind monitorizarea proiectelor GAL-urilor.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Baza de date a operațiunilor GAL.</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Părțile interesate din domeniul inovării au beneficiat de formare profesională.</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și tipul părților interesate din domeniul inovării care au beneficiat de formare profesională.</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și tipul părților interesate care au beneficiat de formare profesională.</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Sistemul de monitorizare al PDR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Formulare de cerere ale beneficiarilor (începerea proiectului)</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Solicitări de plată ale beneficiarilor (finalizarea proiectului)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Interviuri, sondaje adresate autorității de management și furnizorilor de formare profesională.</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Principalii factori de succes pentru sprijinirea inovării prin măsurile M</w:t>
            </w:r>
            <w:r w:rsidRPr="00FA63BD">
              <w:rPr>
                <w:sz w:val="18"/>
                <w:szCs w:val="18"/>
                <w14:textFill>
                  <w14:solidFill>
                    <w14:srgbClr w14:val="373737">
                      <w14:lumMod w14:val="75000"/>
                    </w14:srgbClr>
                  </w14:solidFill>
                </w14:textFill>
              </w:rPr>
              <w:t>1</w:t>
            </w:r>
            <w:r>
              <w:rPr>
                <w:sz w:val="18"/>
                <w:szCs w:val="18"/>
                <w14:textFill>
                  <w14:solidFill>
                    <w14:srgbClr w14:val="373737">
                      <w14:lumMod w14:val="75000"/>
                    </w14:srgbClr>
                  </w14:solidFill>
                </w14:textFill>
              </w:rPr>
              <w:t>, M</w:t>
            </w:r>
            <w:r w:rsidRPr="00FA63BD">
              <w:rPr>
                <w:sz w:val="18"/>
                <w:szCs w:val="18"/>
                <w14:textFill>
                  <w14:solidFill>
                    <w14:srgbClr w14:val="373737">
                      <w14:lumMod w14:val="75000"/>
                    </w14:srgbClr>
                  </w14:solidFill>
                </w14:textFill>
              </w:rPr>
              <w:t>2</w:t>
            </w:r>
            <w:r>
              <w:rPr>
                <w:sz w:val="18"/>
                <w:szCs w:val="18"/>
                <w14:textFill>
                  <w14:solidFill>
                    <w14:srgbClr w14:val="373737">
                      <w14:lumMod w14:val="75000"/>
                    </w14:srgbClr>
                  </w14:solidFill>
                </w14:textFill>
              </w:rPr>
              <w:t>, M</w:t>
            </w:r>
            <w:r w:rsidRPr="00FA63BD">
              <w:rPr>
                <w:sz w:val="18"/>
                <w:szCs w:val="18"/>
                <w14:textFill>
                  <w14:solidFill>
                    <w14:srgbClr w14:val="373737">
                      <w14:lumMod w14:val="75000"/>
                    </w14:srgbClr>
                  </w14:solidFill>
                </w14:textFill>
              </w:rPr>
              <w:t>16</w:t>
            </w:r>
            <w:r>
              <w:rPr>
                <w:sz w:val="18"/>
                <w:szCs w:val="18"/>
                <w14:textFill>
                  <w14:solidFill>
                    <w14:srgbClr w14:val="373737">
                      <w14:lumMod w14:val="75000"/>
                    </w14:srgbClr>
                  </w14:solidFill>
                </w14:textFill>
              </w:rPr>
              <w:t xml:space="preserve"> și M</w:t>
            </w:r>
            <w:r w:rsidRPr="00FA63BD">
              <w:rPr>
                <w:sz w:val="18"/>
                <w:szCs w:val="18"/>
                <w14:textFill>
                  <w14:solidFill>
                    <w14:srgbClr w14:val="373737">
                      <w14:lumMod w14:val="75000"/>
                    </w14:srgbClr>
                  </w14:solidFill>
                </w14:textFill>
              </w:rPr>
              <w:t>19</w:t>
            </w:r>
            <w:r>
              <w:rPr>
                <w:sz w:val="18"/>
                <w:szCs w:val="18"/>
                <w14:textFill>
                  <w14:solidFill>
                    <w14:srgbClr w14:val="373737">
                      <w14:lumMod w14:val="75000"/>
                    </w14:srgbClr>
                  </w14:solidFill>
                </w14:textFill>
              </w:rPr>
              <w:t>.</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Descrierea principalilor factori care au contribuit la sprijinirea inovării în zonele rurale.</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Informații calitative.</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Interviuri, sondaje și grupuri de reflecție implicând beneficiarii submăsurilor legate de inovare ale M</w:t>
            </w:r>
            <w:r w:rsidRPr="00FA63BD">
              <w:rPr>
                <w:sz w:val="18"/>
                <w:szCs w:val="18"/>
                <w14:textFill>
                  <w14:solidFill>
                    <w14:srgbClr w14:val="373737">
                      <w14:lumMod w14:val="75000"/>
                    </w14:srgbClr>
                  </w14:solidFill>
                </w14:textFill>
              </w:rPr>
              <w:t>1</w:t>
            </w:r>
            <w:r>
              <w:rPr>
                <w:sz w:val="18"/>
                <w:szCs w:val="18"/>
                <w14:textFill>
                  <w14:solidFill>
                    <w14:srgbClr w14:val="373737">
                      <w14:lumMod w14:val="75000"/>
                    </w14:srgbClr>
                  </w14:solidFill>
                </w14:textFill>
              </w:rPr>
              <w:t>, M</w:t>
            </w:r>
            <w:r w:rsidRPr="00FA63BD">
              <w:rPr>
                <w:sz w:val="18"/>
                <w:szCs w:val="18"/>
                <w14:textFill>
                  <w14:solidFill>
                    <w14:srgbClr w14:val="373737">
                      <w14:lumMod w14:val="75000"/>
                    </w14:srgbClr>
                  </w14:solidFill>
                </w14:textFill>
              </w:rPr>
              <w:t>2</w:t>
            </w:r>
            <w:r>
              <w:rPr>
                <w:sz w:val="18"/>
                <w:szCs w:val="18"/>
                <w14:textFill>
                  <w14:solidFill>
                    <w14:srgbClr w14:val="373737">
                      <w14:lumMod w14:val="75000"/>
                    </w14:srgbClr>
                  </w14:solidFill>
                </w14:textFill>
              </w:rPr>
              <w:t xml:space="preserve"> și grupurile operaționale.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PEI-AGRI și GAL-uri.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Rezumate practice ale grupurilor operaționale.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Baza de date a operațiunilor GAL.</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Metodologie de evaluare propusă pentru a răspunde la IEC nr. </w:t>
      </w:r>
      <w:r w:rsidRPr="00FA63BD">
        <w:rPr>
          <w:b/>
          <w:szCs w:val="20"/>
        </w:rPr>
        <w:t>1</w:t>
      </w:r>
      <w:r>
        <w:rPr>
          <w:b/>
          <w:szCs w:val="20"/>
        </w:rPr>
        <w:t xml:space="preserve"> </w:t>
      </w:r>
    </w:p>
    <w:p w:rsidR="00A45935" w:rsidRPr="00E05D08" w:rsidRDefault="00A45935" w:rsidP="00E05D08">
      <w:pPr>
        <w:spacing w:after="120" w:line="280" w:lineRule="atLeast"/>
        <w:mirrorIndents/>
        <w:rPr>
          <w:rFonts w:eastAsia="Times New Roman" w:cs="Times New Roman"/>
          <w:szCs w:val="20"/>
        </w:rPr>
      </w:pPr>
      <w:r>
        <w:t xml:space="preserve">Modul de calculare a indicatorilor comuni legați de IEC nr. </w:t>
      </w:r>
      <w:r w:rsidRPr="00FA63BD">
        <w:t>1</w:t>
      </w:r>
      <w:r>
        <w:t xml:space="preserve"> este descris în anexa </w:t>
      </w:r>
      <w:r w:rsidRPr="00FA63BD">
        <w:t>11</w:t>
      </w:r>
      <w:r>
        <w:t xml:space="preserve"> la ghidul „</w:t>
      </w:r>
      <w:hyperlink r:id="rId40" w:history="1">
        <w:r>
          <w:rPr>
            <w:color w:val="F07E31"/>
            <w:szCs w:val="20"/>
            <w:u w:val="single"/>
          </w:rPr>
          <w:t>Evaluarea rezultatelor PDR:</w:t>
        </w:r>
      </w:hyperlink>
      <w:hyperlink r:id="rId41" w:history="1">
        <w:r>
          <w:rPr>
            <w:color w:val="F07E31"/>
            <w:szCs w:val="20"/>
            <w:u w:val="single"/>
          </w:rPr>
          <w:t xml:space="preserve">pregătirea raportării cu privire la evaluare în </w:t>
        </w:r>
        <w:r w:rsidRPr="00FA63BD">
          <w:rPr>
            <w:color w:val="F07E31"/>
            <w:szCs w:val="20"/>
            <w:u w:val="single"/>
          </w:rPr>
          <w:t>2017</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Pentru evaluarea părții legate de inovare a IEC nr. </w:t>
      </w:r>
      <w:r w:rsidRPr="00FA63BD">
        <w:t>1</w:t>
      </w:r>
      <w:r>
        <w:t>, se propune:</w:t>
      </w:r>
    </w:p>
    <w:p w:rsidR="00A45935" w:rsidRPr="00331223" w:rsidRDefault="00A45935" w:rsidP="00C202EC">
      <w:pPr>
        <w:pStyle w:val="Hlistbullet"/>
      </w:pPr>
      <w:r>
        <w:rPr>
          <w:b/>
        </w:rPr>
        <w:t xml:space="preserve">ETAPA </w:t>
      </w:r>
      <w:r w:rsidRPr="00FA63BD">
        <w:rPr>
          <w:b/>
        </w:rPr>
        <w:t>1</w:t>
      </w:r>
      <w:r>
        <w:rPr>
          <w:b/>
        </w:rPr>
        <w:t xml:space="preserve">: Identificarea potențialului de inovare al beneficiarilor </w:t>
      </w:r>
      <w:r>
        <w:t>măsurilor/submăsurilor M</w:t>
      </w:r>
      <w:r w:rsidRPr="00FA63BD">
        <w:t>1</w:t>
      </w:r>
      <w:r>
        <w:t>, M</w:t>
      </w:r>
      <w:r w:rsidRPr="00FA63BD">
        <w:t>2</w:t>
      </w:r>
      <w:r>
        <w:t>, M</w:t>
      </w:r>
      <w:r w:rsidRPr="00FA63BD">
        <w:t>16</w:t>
      </w:r>
      <w:r>
        <w:t xml:space="preserve"> și M</w:t>
      </w:r>
      <w:r w:rsidRPr="00FA63BD">
        <w:t>19</w:t>
      </w:r>
      <w:r>
        <w:t xml:space="preserve"> (beneficiarii care au pus în aplicare operațiunile clasificate ca fiind inovatoare). </w:t>
      </w:r>
    </w:p>
    <w:p w:rsidR="00A45935" w:rsidRPr="00331223" w:rsidRDefault="00A45935" w:rsidP="00C202EC">
      <w:pPr>
        <w:pStyle w:val="Hlistbullet"/>
      </w:pPr>
      <w:r>
        <w:rPr>
          <w:b/>
        </w:rPr>
        <w:t xml:space="preserve">ETAPA </w:t>
      </w:r>
      <w:r w:rsidRPr="00FA63BD">
        <w:rPr>
          <w:b/>
        </w:rPr>
        <w:t>2</w:t>
      </w:r>
      <w:r>
        <w:rPr>
          <w:b/>
        </w:rPr>
        <w:t xml:space="preserve">: Cuantificarea indicatorilor-țintă și de realizare </w:t>
      </w:r>
      <w:r>
        <w:t xml:space="preserve">prin utilizarea datelor de monitorizare din baza de date a operațiunilor PDR/GAL privind beneficiarii (care au pus în aplicare operațiunile clasificate ca fiind inovatoare). Pentru a utiliza baza de date a operațiunilor pentru evaluarea inovării, autoritățile de management pot opta să adauge și să colecteze elemente de date legate de inovare. </w:t>
      </w:r>
    </w:p>
    <w:p w:rsidR="00A45935" w:rsidRPr="00331223" w:rsidRDefault="00A45935" w:rsidP="00C202EC">
      <w:pPr>
        <w:pStyle w:val="Hlistbullet"/>
      </w:pPr>
      <w:r>
        <w:rPr>
          <w:b/>
        </w:rPr>
        <w:t xml:space="preserve">ETAPA </w:t>
      </w:r>
      <w:r w:rsidRPr="00FA63BD">
        <w:rPr>
          <w:b/>
        </w:rPr>
        <w:t>3</w:t>
      </w:r>
      <w:r>
        <w:rPr>
          <w:b/>
        </w:rPr>
        <w:t xml:space="preserve">: </w:t>
      </w:r>
      <w:r>
        <w:rPr>
          <w:b/>
          <w:bCs/>
        </w:rPr>
        <w:t>Colectarea dovezilor pentru a răspunde la IEC cu ajutorul metodelor specificate</w:t>
      </w:r>
      <w:r>
        <w:t xml:space="preserve">. Sondajele, grupurile de reflecție și metoda Delphi, de exemplu, pot contribui la colectarea datelor pentru criteriile de apreciere propuse și indicatorii de rezultat suplimentari. Problema calității și valabilității datelor atunci când acestea sunt raportate de către beneficiari ar trebui luată în considerare atunci când se aplică aceste metode (a se vedea </w:t>
      </w:r>
      <w:hyperlink w:anchor="Recommended_Methods" w:history="1">
        <w:r>
          <w:rPr>
            <w:rStyle w:val="Hyperlink"/>
            <w:sz w:val="20"/>
          </w:rPr>
          <w:t xml:space="preserve">tabelul </w:t>
        </w:r>
        <w:r w:rsidRPr="00FA63BD">
          <w:rPr>
            <w:rStyle w:val="Hyperlink"/>
            <w:sz w:val="20"/>
          </w:rPr>
          <w:t>2</w:t>
        </w:r>
      </w:hyperlink>
      <w:r>
        <w:t xml:space="preserve">). </w:t>
      </w:r>
    </w:p>
    <w:p w:rsidR="00A45935" w:rsidRPr="00C202EC" w:rsidRDefault="00A45935" w:rsidP="00C202EC">
      <w:pPr>
        <w:pStyle w:val="Hlistbullet"/>
        <w:rPr>
          <w:b/>
          <w:sz w:val="16"/>
        </w:rPr>
      </w:pPr>
      <w:r>
        <w:rPr>
          <w:b/>
        </w:rPr>
        <w:t xml:space="preserve">ETAPA </w:t>
      </w:r>
      <w:r w:rsidRPr="00FA63BD">
        <w:rPr>
          <w:b/>
        </w:rPr>
        <w:t>4</w:t>
      </w:r>
      <w:r>
        <w:rPr>
          <w:b/>
        </w:rPr>
        <w:t xml:space="preserve">: </w:t>
      </w:r>
      <w:r>
        <w:rPr>
          <w:b/>
          <w:bCs/>
        </w:rPr>
        <w:t>Analizarea și interpretarea dovezilor colectate</w:t>
      </w:r>
      <w:r>
        <w:t xml:space="preserve"> și utilizarea acestora pentru a răspunde la IEC nr. </w:t>
      </w:r>
      <w:r w:rsidRPr="00FA63BD">
        <w:t>1</w:t>
      </w:r>
      <w:r>
        <w:t xml:space="preserve"> în ceea ce privește sprijinirea inovării. </w:t>
      </w:r>
    </w:p>
    <w:p w:rsidR="00A45935" w:rsidRPr="00FA6691" w:rsidRDefault="00A45935" w:rsidP="00FA6691">
      <w:pPr>
        <w:pStyle w:val="HHeadingtables"/>
        <w:rPr>
          <w:color w:val="6F6F6F"/>
          <w:sz w:val="18"/>
          <w:szCs w:val="18"/>
        </w:rPr>
      </w:pPr>
      <w:bookmarkStart w:id="109" w:name="Recommended_Methods"/>
      <w:bookmarkStart w:id="110" w:name="_Toc508889190"/>
      <w:bookmarkEnd w:id="109"/>
      <w:r>
        <w:rPr>
          <w:color w:val="6F6F6F"/>
          <w:sz w:val="18"/>
          <w:szCs w:val="18"/>
        </w:rPr>
        <w:t xml:space="preserve">Metode recomandate pentru IEC nr. </w:t>
      </w:r>
      <w:r w:rsidRPr="00FA63BD">
        <w:rPr>
          <w:color w:val="6F6F6F"/>
          <w:sz w:val="18"/>
          <w:szCs w:val="18"/>
        </w:rPr>
        <w:t>1</w:t>
      </w:r>
      <w:bookmarkEnd w:id="110"/>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Metode</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Sfaturi privind modul de utilizare a metodelor</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Sondaje adresate coordonatorilor M</w:t>
            </w:r>
            <w:r w:rsidRPr="00FA63BD">
              <w:rPr>
                <w:sz w:val="18"/>
                <w:szCs w:val="18"/>
              </w:rPr>
              <w:t>1</w:t>
            </w:r>
            <w:r>
              <w:rPr>
                <w:sz w:val="18"/>
                <w:szCs w:val="18"/>
              </w:rPr>
              <w:t xml:space="preserve"> și M</w:t>
            </w:r>
            <w:r w:rsidRPr="00FA63BD">
              <w:rPr>
                <w:sz w:val="18"/>
                <w:szCs w:val="18"/>
              </w:rPr>
              <w:t>2</w:t>
            </w:r>
            <w:r>
              <w:rPr>
                <w:sz w:val="18"/>
                <w:szCs w:val="18"/>
              </w:rPr>
              <w:t xml:space="preserve"> </w:t>
            </w:r>
          </w:p>
          <w:p w:rsidR="00A45935" w:rsidRPr="00385368" w:rsidRDefault="00A45935" w:rsidP="007E63EF">
            <w:pPr>
              <w:spacing w:after="120" w:line="280" w:lineRule="atLeast"/>
              <w:ind w:right="116"/>
              <w:mirrorIndents/>
              <w:jc w:val="left"/>
              <w:rPr>
                <w:sz w:val="18"/>
                <w:szCs w:val="18"/>
              </w:rPr>
            </w:pPr>
            <w:r>
              <w:rPr>
                <w:sz w:val="18"/>
                <w:szCs w:val="18"/>
              </w:rPr>
              <w:t>Sondaje adresate beneficiarilor M</w:t>
            </w:r>
            <w:r w:rsidRPr="00FA63BD">
              <w:rPr>
                <w:sz w:val="18"/>
                <w:szCs w:val="18"/>
              </w:rPr>
              <w:t>1</w:t>
            </w:r>
            <w:r>
              <w:rPr>
                <w:sz w:val="18"/>
                <w:szCs w:val="18"/>
              </w:rPr>
              <w:t xml:space="preserve"> și M</w:t>
            </w:r>
            <w:r w:rsidRPr="00FA63BD">
              <w:rPr>
                <w:sz w:val="18"/>
                <w:szCs w:val="18"/>
              </w:rPr>
              <w:t>2</w:t>
            </w:r>
          </w:p>
          <w:p w:rsidR="00A45935" w:rsidRPr="00385368" w:rsidRDefault="00A45935" w:rsidP="007E63EF">
            <w:pPr>
              <w:spacing w:after="120" w:line="280" w:lineRule="atLeast"/>
              <w:ind w:right="116"/>
              <w:mirrorIndents/>
              <w:jc w:val="left"/>
              <w:rPr>
                <w:sz w:val="18"/>
                <w:szCs w:val="18"/>
              </w:rPr>
            </w:pPr>
            <w:r>
              <w:rPr>
                <w:sz w:val="18"/>
                <w:szCs w:val="18"/>
              </w:rPr>
              <w:t>Sondaje privind proiectele de cooperare ale grupurilor operaționale</w:t>
            </w:r>
          </w:p>
          <w:p w:rsidR="00A45935" w:rsidRPr="00385368" w:rsidRDefault="00A45935" w:rsidP="007E63EF">
            <w:pPr>
              <w:spacing w:after="120" w:line="280" w:lineRule="atLeast"/>
              <w:ind w:right="116"/>
              <w:mirrorIndents/>
              <w:jc w:val="left"/>
              <w:rPr>
                <w:sz w:val="18"/>
                <w:szCs w:val="18"/>
              </w:rPr>
            </w:pPr>
            <w:r>
              <w:rPr>
                <w:sz w:val="18"/>
                <w:szCs w:val="18"/>
              </w:rPr>
              <w:t xml:space="preserve">Sondaje adresate GAL-urilor și beneficiarilor acestora </w:t>
            </w:r>
          </w:p>
        </w:tc>
        <w:tc>
          <w:tcPr>
            <w:tcW w:w="6770" w:type="dxa"/>
          </w:tcPr>
          <w:p w:rsidR="00A45935" w:rsidRPr="00385368" w:rsidRDefault="00A45935" w:rsidP="00C202EC">
            <w:pPr>
              <w:pStyle w:val="Hlistbullet"/>
              <w:rPr>
                <w:sz w:val="18"/>
                <w:szCs w:val="18"/>
              </w:rPr>
            </w:pPr>
            <w:r>
              <w:rPr>
                <w:sz w:val="18"/>
                <w:szCs w:val="18"/>
              </w:rPr>
              <w:t>Pentru efectuarea sondajului, selectați coordonatorii/beneficiarii submăsurilor legate de inovare ale M</w:t>
            </w:r>
            <w:r w:rsidRPr="00FA63BD">
              <w:rPr>
                <w:sz w:val="18"/>
                <w:szCs w:val="18"/>
              </w:rPr>
              <w:t>1</w:t>
            </w:r>
            <w:r>
              <w:rPr>
                <w:sz w:val="18"/>
                <w:szCs w:val="18"/>
              </w:rPr>
              <w:t xml:space="preserve"> și M</w:t>
            </w:r>
            <w:r w:rsidRPr="00FA63BD">
              <w:rPr>
                <w:sz w:val="18"/>
                <w:szCs w:val="18"/>
              </w:rPr>
              <w:t>2</w:t>
            </w:r>
            <w:r>
              <w:rPr>
                <w:sz w:val="18"/>
                <w:szCs w:val="18"/>
              </w:rPr>
              <w:t xml:space="preserve">. </w:t>
            </w:r>
          </w:p>
          <w:p w:rsidR="00A45935" w:rsidRPr="00385368" w:rsidRDefault="00A45935" w:rsidP="00C202EC">
            <w:pPr>
              <w:pStyle w:val="Hlistbullet"/>
              <w:rPr>
                <w:sz w:val="18"/>
                <w:szCs w:val="18"/>
              </w:rPr>
            </w:pPr>
            <w:r>
              <w:rPr>
                <w:sz w:val="18"/>
                <w:szCs w:val="18"/>
              </w:rPr>
              <w:t>Selectați un eșantion de proiecte de cooperare (de exemplu, în funcție de sector, de dimensiunea grupului operațional, de situarea geografică etc.) pentru a colecta date și informații de la beneficiari pentru indicatori prin intermediul sondajului.</w:t>
            </w:r>
          </w:p>
          <w:p w:rsidR="00A45935" w:rsidRPr="00385368" w:rsidRDefault="00A45935" w:rsidP="00C202EC">
            <w:pPr>
              <w:pStyle w:val="Hlistbullet"/>
              <w:rPr>
                <w:sz w:val="18"/>
                <w:szCs w:val="18"/>
              </w:rPr>
            </w:pPr>
            <w:r>
              <w:rPr>
                <w:sz w:val="18"/>
                <w:szCs w:val="18"/>
              </w:rPr>
              <w:t>Concepeți sondaje care includ întrebări deschise cu privire la modul în care activitățile din cadrul M</w:t>
            </w:r>
            <w:r w:rsidRPr="00FA63BD">
              <w:rPr>
                <w:sz w:val="18"/>
                <w:szCs w:val="18"/>
              </w:rPr>
              <w:t>1</w:t>
            </w:r>
            <w:r>
              <w:rPr>
                <w:sz w:val="18"/>
                <w:szCs w:val="18"/>
              </w:rPr>
              <w:t xml:space="preserve"> și M</w:t>
            </w:r>
            <w:r w:rsidRPr="00FA63BD">
              <w:rPr>
                <w:sz w:val="18"/>
                <w:szCs w:val="18"/>
              </w:rPr>
              <w:t>2</w:t>
            </w:r>
            <w:r>
              <w:rPr>
                <w:sz w:val="18"/>
                <w:szCs w:val="18"/>
              </w:rPr>
              <w:t>, grupurile operaționale și GAL-urile au contribuit la: a) schimbul de idei inovatoare, b) consolidarea capacității de inovare, c) crearea unui mediu favorizant pentru inovare.</w:t>
            </w:r>
          </w:p>
          <w:p w:rsidR="00A45935" w:rsidRPr="00385368" w:rsidRDefault="00A45935" w:rsidP="00C202EC">
            <w:pPr>
              <w:pStyle w:val="Hlistbullet"/>
              <w:rPr>
                <w:sz w:val="18"/>
                <w:szCs w:val="18"/>
              </w:rPr>
            </w:pPr>
            <w:r>
              <w:rPr>
                <w:sz w:val="18"/>
                <w:szCs w:val="18"/>
              </w:rPr>
              <w:t>Utilizați rezultatele sondajelor pentru:</w:t>
            </w:r>
          </w:p>
          <w:p w:rsidR="00A45935" w:rsidRPr="00385368" w:rsidRDefault="00A45935" w:rsidP="00C202EC">
            <w:pPr>
              <w:pStyle w:val="Hlistbullet2"/>
              <w:rPr>
                <w:sz w:val="18"/>
                <w:szCs w:val="18"/>
              </w:rPr>
            </w:pPr>
            <w:r>
              <w:rPr>
                <w:sz w:val="18"/>
                <w:szCs w:val="18"/>
              </w:rPr>
              <w:t>evaluarea modului în care diferite forme acțiuni de formare profesională și de informare din cadrul M</w:t>
            </w:r>
            <w:r w:rsidRPr="00FA63BD">
              <w:rPr>
                <w:sz w:val="18"/>
                <w:szCs w:val="18"/>
              </w:rPr>
              <w:t>1</w:t>
            </w:r>
            <w:r>
              <w:rPr>
                <w:sz w:val="18"/>
                <w:szCs w:val="18"/>
              </w:rPr>
              <w:t xml:space="preserve"> contribuie la sprijinirea inovării;</w:t>
            </w:r>
          </w:p>
          <w:p w:rsidR="00A45935" w:rsidRPr="00385368" w:rsidRDefault="00A45935" w:rsidP="00C202EC">
            <w:pPr>
              <w:pStyle w:val="Hlistbullet2"/>
              <w:rPr>
                <w:sz w:val="18"/>
                <w:szCs w:val="18"/>
              </w:rPr>
            </w:pPr>
            <w:r>
              <w:rPr>
                <w:sz w:val="18"/>
                <w:szCs w:val="18"/>
              </w:rPr>
              <w:t>evaluarea modului în care serviciile de consiliere contribuie la sprijinirea inovării;</w:t>
            </w:r>
          </w:p>
          <w:p w:rsidR="00A45935" w:rsidRPr="00385368" w:rsidRDefault="00A45935" w:rsidP="00C202EC">
            <w:pPr>
              <w:pStyle w:val="Hlistbullet2"/>
              <w:rPr>
                <w:sz w:val="18"/>
                <w:szCs w:val="18"/>
              </w:rPr>
            </w:pPr>
            <w:r>
              <w:rPr>
                <w:sz w:val="18"/>
                <w:szCs w:val="18"/>
              </w:rPr>
              <w:t xml:space="preserve">evaluarea modului în care grupurile operaționale contribuie la producerea de rezultate care pot fi utilizate; </w:t>
            </w:r>
          </w:p>
          <w:p w:rsidR="00A45935" w:rsidRPr="00385368" w:rsidRDefault="00A45935" w:rsidP="00C202EC">
            <w:pPr>
              <w:pStyle w:val="Hlistbullet2"/>
            </w:pPr>
            <w:r>
              <w:rPr>
                <w:sz w:val="18"/>
                <w:szCs w:val="18"/>
              </w:rPr>
              <w:t>evaluarea modului în care GAL-urile promovează inovarea prin intermediul proiectelor sprijinite de strategiile sau activitățile DLRC, desfășurate de GAL prin animarea lor.</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lastRenderedPageBreak/>
              <w:t>Grupuri de reflecție</w:t>
            </w:r>
          </w:p>
        </w:tc>
        <w:tc>
          <w:tcPr>
            <w:tcW w:w="6770" w:type="dxa"/>
          </w:tcPr>
          <w:p w:rsidR="00A45935" w:rsidRPr="00385368" w:rsidRDefault="00A45935" w:rsidP="00C202EC">
            <w:pPr>
              <w:pStyle w:val="Hlistbullet"/>
              <w:rPr>
                <w:sz w:val="18"/>
                <w:szCs w:val="18"/>
              </w:rPr>
            </w:pPr>
            <w:r>
              <w:rPr>
                <w:sz w:val="18"/>
                <w:szCs w:val="18"/>
              </w:rPr>
              <w:t>Implicați actorii din domeniul inovării în grupurile de reflecție (de exemplu, servicii de sprijinire a inovării, consilieri care acționează în calitate de brokeri inovaționali, centre de cercetare și de inovare etc.).</w:t>
            </w:r>
          </w:p>
          <w:p w:rsidR="00A45935" w:rsidRPr="00385368" w:rsidRDefault="00A45935" w:rsidP="00C202EC">
            <w:pPr>
              <w:pStyle w:val="Hlistbullet"/>
              <w:rPr>
                <w:sz w:val="18"/>
                <w:szCs w:val="18"/>
              </w:rPr>
            </w:pPr>
            <w:r>
              <w:rPr>
                <w:sz w:val="18"/>
                <w:szCs w:val="18"/>
              </w:rPr>
              <w:t>Analizați modul în care submăsurile relevante ale M</w:t>
            </w:r>
            <w:r w:rsidRPr="00FA63BD">
              <w:rPr>
                <w:sz w:val="18"/>
                <w:szCs w:val="18"/>
              </w:rPr>
              <w:t>1</w:t>
            </w:r>
            <w:r>
              <w:rPr>
                <w:sz w:val="18"/>
                <w:szCs w:val="18"/>
              </w:rPr>
              <w:t xml:space="preserve"> și M</w:t>
            </w:r>
            <w:r w:rsidRPr="00FA63BD">
              <w:rPr>
                <w:sz w:val="18"/>
                <w:szCs w:val="18"/>
              </w:rPr>
              <w:t>2</w:t>
            </w:r>
            <w:r>
              <w:rPr>
                <w:sz w:val="18"/>
                <w:szCs w:val="18"/>
              </w:rPr>
              <w:t>, precum și grupurile operaționale și GAL-urile influențează capacitatea de inovare și crearea unui mediu favorizant pentru inovare.</w:t>
            </w:r>
          </w:p>
          <w:p w:rsidR="00A45935" w:rsidRPr="00385368" w:rsidRDefault="00A45935" w:rsidP="00C202EC">
            <w:pPr>
              <w:pStyle w:val="Hlistbullet"/>
              <w:rPr>
                <w:sz w:val="18"/>
                <w:szCs w:val="18"/>
              </w:rPr>
            </w:pPr>
            <w:r>
              <w:rPr>
                <w:sz w:val="18"/>
                <w:szCs w:val="18"/>
              </w:rPr>
              <w:t>Luați în considerare opțiunea grupurilor de reflecție tematice (de exemplu, un grup de reflecție privind brokerajul inovațional).</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Metoda Delphi</w:t>
            </w:r>
          </w:p>
        </w:tc>
        <w:tc>
          <w:tcPr>
            <w:tcW w:w="6770" w:type="dxa"/>
          </w:tcPr>
          <w:p w:rsidR="00A45935" w:rsidRPr="00385368" w:rsidRDefault="00A45935" w:rsidP="00C202EC">
            <w:pPr>
              <w:pStyle w:val="Hlistbullet"/>
              <w:rPr>
                <w:sz w:val="18"/>
                <w:szCs w:val="18"/>
              </w:rPr>
            </w:pPr>
            <w:r>
              <w:rPr>
                <w:sz w:val="18"/>
                <w:szCs w:val="18"/>
              </w:rPr>
              <w:t>Implicați experți din domeniul inovării (de exemplu, experți implicați în măsuri și proiecte de cooperare, dar și alți experți din domeniul inovării, cum ar fi cadrele universitare).</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 xml:space="preserve">Practicile de evaluare raportate în rapoartele anuale de punere în aplicare din </w:t>
      </w:r>
      <w:r w:rsidRPr="00FA63BD">
        <w:rPr>
          <w:b/>
          <w:i/>
          <w:sz w:val="18"/>
          <w:szCs w:val="18"/>
        </w:rPr>
        <w:t>2017</w:t>
      </w:r>
    </w:p>
    <w:p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w:lastRenderedPageBreak/>
        <mc:AlternateContent>
          <mc:Choice Requires="wps">
            <w:drawing>
              <wp:inline distT="0" distB="0" distL="0" distR="0" wp14:anchorId="0C35FF35" wp14:editId="0E8C5778">
                <wp:extent cx="5878195" cy="6203290"/>
                <wp:effectExtent l="0" t="0" r="27305" b="26670"/>
                <wp:docPr id="60" name="Rectangle: Diagonal Corners Rounded 60"/>
                <wp:cNvGraphicFramePr/>
                <a:graphic xmlns:a="http://schemas.openxmlformats.org/drawingml/2006/main">
                  <a:graphicData uri="http://schemas.microsoft.com/office/word/2010/wordprocessingShape">
                    <wps:wsp>
                      <wps:cNvSpPr/>
                      <wps:spPr>
                        <a:xfrm>
                          <a:off x="0" y="0"/>
                          <a:ext cx="5878195" cy="6203290"/>
                        </a:xfrm>
                        <a:prstGeom prst="round2DiagRect">
                          <a:avLst>
                            <a:gd name="adj1" fmla="val 5521"/>
                            <a:gd name="adj2" fmla="val 0"/>
                          </a:avLst>
                        </a:prstGeom>
                        <a:noFill/>
                        <a:ln w="25400" cap="flat" cmpd="sng" algn="ctr">
                          <a:solidFill>
                            <a:srgbClr val="F07E31"/>
                          </a:solidFill>
                          <a:prstDash val="solid"/>
                        </a:ln>
                        <a:effectLst/>
                      </wps:spPr>
                      <wps:txbx>
                        <w:txbxContent>
                          <w:p w:rsidR="008A60B4" w:rsidRPr="00C202EC" w:rsidRDefault="008A60B4" w:rsidP="00E05D08">
                            <w:pPr>
                              <w:pStyle w:val="Normal12PTcouleurgris"/>
                              <w:ind w:left="567" w:hanging="567"/>
                              <w:rPr>
                                <w:b/>
                                <w:color w:val="F07E31"/>
                                <w:sz w:val="18"/>
                              </w:rPr>
                            </w:pPr>
                            <w:r>
                              <w:rPr>
                                <w:noProof/>
                                <w:color w:val="F07E31"/>
                                <w:lang w:val="en-GB" w:eastAsia="en-GB"/>
                              </w:rPr>
                              <w:drawing>
                                <wp:inline distT="0" distB="0" distL="0" distR="0" wp14:anchorId="7830F677" wp14:editId="096C1BAF">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8A60B4" w:rsidRPr="00C202EC" w:rsidRDefault="008A60B4" w:rsidP="00C202EC">
                            <w:pPr>
                              <w:pStyle w:val="Normal12PTcouleurgris"/>
                              <w:spacing w:after="120"/>
                              <w:ind w:left="567" w:hanging="567"/>
                              <w:rPr>
                                <w:b/>
                                <w:color w:val="F07E31"/>
                                <w:sz w:val="18"/>
                              </w:rPr>
                            </w:pPr>
                            <w:r>
                              <w:rPr>
                                <w:b/>
                                <w:color w:val="F07E31"/>
                                <w:sz w:val="18"/>
                              </w:rPr>
                              <w:t>Exemple de identificare a potențialului de inovare</w:t>
                            </w:r>
                          </w:p>
                          <w:p w:rsidR="008A60B4" w:rsidRPr="00C202EC" w:rsidRDefault="008A60B4" w:rsidP="00C202EC">
                            <w:pPr>
                              <w:pStyle w:val="Hlistbullet"/>
                              <w:rPr>
                                <w:sz w:val="18"/>
                                <w:szCs w:val="18"/>
                              </w:rPr>
                            </w:pPr>
                            <w:r>
                              <w:rPr>
                                <w:b/>
                                <w:bCs/>
                                <w:sz w:val="18"/>
                                <w:szCs w:val="18"/>
                              </w:rPr>
                              <w:t>Castilla y León (ES)</w:t>
                            </w:r>
                            <w:r>
                              <w:rPr>
                                <w:sz w:val="18"/>
                                <w:szCs w:val="18"/>
                              </w:rPr>
                              <w:t xml:space="preserve"> - pune în evidență potențialul de inovare al GAL-urilor și recomandă analiza strategiilor de dezvoltare locală pentru a identifica tipurile de operațiuni puse în aplicare în cadrul strategiilor care promovează contribuția GAL-urilor la îndeplinirea obiectivelor legate de inovare ale ariei de intervenție 1A.</w:t>
                            </w:r>
                            <w:r>
                              <w:rPr>
                                <w:b/>
                                <w:sz w:val="18"/>
                                <w:szCs w:val="18"/>
                              </w:rPr>
                              <w:t xml:space="preserve"> </w:t>
                            </w:r>
                          </w:p>
                          <w:p w:rsidR="008A60B4" w:rsidRPr="00C202EC" w:rsidRDefault="008A60B4" w:rsidP="00C202EC">
                            <w:pPr>
                              <w:pStyle w:val="Hlistbullet"/>
                              <w:rPr>
                                <w:sz w:val="18"/>
                                <w:szCs w:val="18"/>
                              </w:rPr>
                            </w:pPr>
                            <w:r>
                              <w:rPr>
                                <w:b/>
                                <w:bCs/>
                                <w:sz w:val="18"/>
                                <w:szCs w:val="18"/>
                              </w:rPr>
                              <w:t>Canarias (ES)</w:t>
                            </w:r>
                            <w:r>
                              <w:rPr>
                                <w:sz w:val="18"/>
                                <w:szCs w:val="18"/>
                              </w:rPr>
                              <w:t xml:space="preserve"> - pune, de asemenea, în evidență potențialul de inovare al GAL-urilor și recomandă includerea în sistemul de monitorizare și evaluare a unei variabile care să indice dacă operațiunile puse în aplicare de GAL-uri în contextul strategiilor de dezvoltare locală din cadrul M19 sunt inovatoare.</w:t>
                            </w:r>
                          </w:p>
                          <w:p w:rsidR="008A60B4" w:rsidRPr="00C202EC" w:rsidRDefault="008A60B4" w:rsidP="003F6478">
                            <w:pPr>
                              <w:pStyle w:val="HStandard"/>
                              <w:ind w:left="567" w:hanging="567"/>
                              <w:rPr>
                                <w:b/>
                                <w:color w:val="F07E31"/>
                                <w:sz w:val="18"/>
                                <w:szCs w:val="18"/>
                              </w:rPr>
                            </w:pPr>
                            <w:r>
                              <w:rPr>
                                <w:b/>
                                <w:color w:val="F07E31"/>
                                <w:sz w:val="18"/>
                                <w:szCs w:val="18"/>
                              </w:rPr>
                              <w:t xml:space="preserve">Exemple de elemente de evaluare suplimentare </w:t>
                            </w:r>
                          </w:p>
                          <w:p w:rsidR="008A60B4" w:rsidRPr="00C202EC" w:rsidRDefault="008A60B4" w:rsidP="00C202EC">
                            <w:pPr>
                              <w:pStyle w:val="Hlistbullet"/>
                              <w:rPr>
                                <w:sz w:val="18"/>
                                <w:szCs w:val="18"/>
                              </w:rPr>
                            </w:pPr>
                            <w:r>
                              <w:rPr>
                                <w:b/>
                                <w:bCs/>
                                <w:sz w:val="18"/>
                                <w:szCs w:val="18"/>
                              </w:rPr>
                              <w:t>Bavaria (DE)</w:t>
                            </w:r>
                            <w:r>
                              <w:rPr>
                                <w:sz w:val="18"/>
                                <w:szCs w:val="18"/>
                              </w:rPr>
                              <w:t xml:space="preserve"> - menționează utilizarea unor criterii de apreciere suplimentare legate de inovare la nivelul GAL-ului (de exemplu, noi proiecte multisectoriale desfășurate de GAL, procese/tehnici noi care au fost testate). S-a utilizat un indicator de rezultat suplimentar (idei/soluții noi, inovări - M19). Indicatorul a fost cuantificat, iar informațiile au fost colectate prin (a) un sondaj online adresat responsabililor GAL; (b) interviuri semi-structurate cu anumiți responsabili ai GAL. </w:t>
                            </w:r>
                          </w:p>
                          <w:p w:rsidR="008A60B4" w:rsidRPr="00C202EC" w:rsidRDefault="008A60B4" w:rsidP="00C202EC">
                            <w:pPr>
                              <w:pStyle w:val="Hlistbullet"/>
                              <w:rPr>
                                <w:sz w:val="18"/>
                                <w:szCs w:val="18"/>
                              </w:rPr>
                            </w:pPr>
                            <w:r>
                              <w:rPr>
                                <w:b/>
                                <w:bCs/>
                                <w:sz w:val="18"/>
                                <w:szCs w:val="18"/>
                              </w:rPr>
                              <w:t>Republica Cehă</w:t>
                            </w:r>
                            <w:r>
                              <w:rPr>
                                <w:sz w:val="18"/>
                                <w:szCs w:val="18"/>
                              </w:rPr>
                              <w:t xml:space="preserve"> - descrie colectarea datelor pentru indicatorul de rezultat suplimentar „numărul participanților care finalizează activități axate pe inovări” prin intermediul bazei de date a operațiunilor. De asemenea, Republica Cehă menționează un sondaj adresat beneficiarilor proiectelor sprijinite, pentru colectarea informațiilor privind inovarea.</w:t>
                            </w:r>
                          </w:p>
                          <w:p w:rsidR="008A60B4" w:rsidRPr="00C202EC" w:rsidRDefault="008A60B4" w:rsidP="00142A64">
                            <w:pPr>
                              <w:pStyle w:val="HStandard"/>
                              <w:rPr>
                                <w:b/>
                                <w:sz w:val="18"/>
                                <w:szCs w:val="18"/>
                              </w:rPr>
                            </w:pPr>
                            <w:r>
                              <w:rPr>
                                <w:b/>
                                <w:color w:val="F07E31"/>
                                <w:sz w:val="18"/>
                                <w:szCs w:val="18"/>
                              </w:rPr>
                              <w:t>Exemple de metode</w:t>
                            </w:r>
                          </w:p>
                          <w:p w:rsidR="008A60B4" w:rsidRPr="00C202EC" w:rsidRDefault="008A60B4" w:rsidP="00C202EC">
                            <w:pPr>
                              <w:pStyle w:val="Hlistbullet"/>
                              <w:rPr>
                                <w:sz w:val="18"/>
                                <w:szCs w:val="18"/>
                              </w:rPr>
                            </w:pPr>
                            <w:r>
                              <w:rPr>
                                <w:b/>
                                <w:bCs/>
                                <w:sz w:val="18"/>
                                <w:szCs w:val="18"/>
                              </w:rPr>
                              <w:t>Castilla y León (ES)</w:t>
                            </w:r>
                            <w:r>
                              <w:rPr>
                                <w:sz w:val="18"/>
                                <w:szCs w:val="18"/>
                              </w:rPr>
                              <w:t xml:space="preserve"> - recomandă intervievarea fiecărui responsabil cu realizarea măsurilor și includerea unor elemente de date suplimentare în sistemul de monitorizare care permite evaluarea modului în care diferite operațiuni integrează elemente inovatoare și contribuie la îndeplinirea obiectivelor inovării.</w:t>
                            </w:r>
                          </w:p>
                          <w:p w:rsidR="008A60B4" w:rsidRPr="00C202EC" w:rsidRDefault="008A60B4" w:rsidP="00C202EC">
                            <w:pPr>
                              <w:pStyle w:val="Hlistbullet"/>
                            </w:pPr>
                            <w:r>
                              <w:rPr>
                                <w:b/>
                                <w:bCs/>
                                <w:sz w:val="18"/>
                                <w:szCs w:val="18"/>
                              </w:rPr>
                              <w:t>Castilla la Mancha (ES)</w:t>
                            </w:r>
                            <w:r>
                              <w:rPr>
                                <w:sz w:val="18"/>
                                <w:szCs w:val="18"/>
                              </w:rPr>
                              <w:t xml:space="preserve"> - a utilizat un sondaj transmis tuturor participanților la formare pentru a evalua, printre altele, contribuțiile la inovare aduse de transferul de cunoștințe și de acțiunile de informare. Sondajul a permis evaluarea sesiunilor de formare profesională inovatoare.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35FF35" id="Rectangle: Diagonal Corners Rounded 60" o:spid="_x0000_s1044" style="width:462.85pt;height:488.45pt;visibility:visible;mso-wrap-style:square;mso-left-percent:-10001;mso-top-percent:-10001;mso-position-horizontal:absolute;mso-position-horizontal-relative:char;mso-position-vertical:absolute;mso-position-vertical-relative:line;mso-left-percent:-10001;mso-top-percent:-10001;v-text-anchor:middle" coordsize="5878195,6203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" adj="-11796480,,5400" path="m324535,l5878195,r,l5878195,5878755v,179236,-145299,324535,-324535,324535l,6203290r,l,324535c,145299,145299,,324535,xe" filled="f" strokecolor="#f07e31" strokeweight="2pt">
                <v:stroke joinstyle="miter"/>
                <v:formulas/>
                <v:path arrowok="t" o:connecttype="custom" o:connectlocs="324535,0;5878195,0;5878195,0;5878195,5878755;5553660,6203290;0,6203290;0,6203290;0,324535;324535,0" o:connectangles="0,0,0,0,0,0,0,0,0" textboxrect="0,0,5878195,6203290"/>
                <v:textbox>
                  <w:txbxContent>
                    <w:p w:rsidR="008A60B4" w:rsidRPr="00C202EC" w:rsidRDefault="008A60B4" w:rsidP="00E05D08">
                      <w:pPr>
                        <w:pStyle w:val="Normal12PTcouleurgris"/>
                        <w:ind w:left="567" w:hanging="567"/>
                        <w:rPr>
                          <w:b/>
                          <w:color w:val="F07E31"/>
                          <w:sz w:val="18"/>
                        </w:rPr>
                      </w:pPr>
                      <w:r>
                        <w:rPr>
                          <w:noProof/>
                          <w:color w:val="F07E31"/>
                          <w:lang w:val="en-GB" w:eastAsia="en-GB"/>
                        </w:rPr>
                        <w:drawing>
                          <wp:inline distT="0" distB="0" distL="0" distR="0" wp14:anchorId="7830F677" wp14:editId="096C1BAF">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8A60B4" w:rsidRPr="00C202EC" w:rsidRDefault="008A60B4" w:rsidP="00C202EC">
                      <w:pPr>
                        <w:pStyle w:val="Normal12PTcouleurgris"/>
                        <w:spacing w:after="120"/>
                        <w:ind w:left="567" w:hanging="567"/>
                        <w:rPr>
                          <w:b/>
                          <w:color w:val="F07E31"/>
                          <w:sz w:val="18"/>
                        </w:rPr>
                      </w:pPr>
                      <w:r>
                        <w:rPr>
                          <w:b/>
                          <w:color w:val="F07E31"/>
                          <w:sz w:val="18"/>
                        </w:rPr>
                        <w:t>Exemple de identificare a potențialului de inovare</w:t>
                      </w:r>
                    </w:p>
                    <w:p w:rsidR="008A60B4" w:rsidRPr="00C202EC" w:rsidRDefault="008A60B4" w:rsidP="00C202EC">
                      <w:pPr>
                        <w:pStyle w:val="Hlistbullet"/>
                        <w:rPr>
                          <w:sz w:val="18"/>
                          <w:szCs w:val="18"/>
                        </w:rPr>
                      </w:pPr>
                      <w:r>
                        <w:rPr>
                          <w:b/>
                          <w:bCs/>
                          <w:sz w:val="18"/>
                          <w:szCs w:val="18"/>
                        </w:rPr>
                        <w:t>Castilla y León (ES)</w:t>
                      </w:r>
                      <w:r>
                        <w:rPr>
                          <w:sz w:val="18"/>
                          <w:szCs w:val="18"/>
                        </w:rPr>
                        <w:t xml:space="preserve"> - pune în evidență potențialul de inovare al GAL-urilor și recomandă analiza strategiilor de dezvoltare locală pentru a identifica tipurile de operațiuni puse în aplicare în cadrul strategiilor care promovează contribuția GAL-urilor la îndeplinirea obiectivelor legate de inovare ale ariei de intervenție 1A.</w:t>
                      </w:r>
                      <w:r>
                        <w:rPr>
                          <w:b/>
                          <w:sz w:val="18"/>
                          <w:szCs w:val="18"/>
                        </w:rPr>
                        <w:t xml:space="preserve"> </w:t>
                      </w:r>
                    </w:p>
                    <w:p w:rsidR="008A60B4" w:rsidRPr="00C202EC" w:rsidRDefault="008A60B4" w:rsidP="00C202EC">
                      <w:pPr>
                        <w:pStyle w:val="Hlistbullet"/>
                        <w:rPr>
                          <w:sz w:val="18"/>
                          <w:szCs w:val="18"/>
                        </w:rPr>
                      </w:pPr>
                      <w:r>
                        <w:rPr>
                          <w:b/>
                          <w:bCs/>
                          <w:sz w:val="18"/>
                          <w:szCs w:val="18"/>
                        </w:rPr>
                        <w:t>Canarias (ES)</w:t>
                      </w:r>
                      <w:r>
                        <w:rPr>
                          <w:sz w:val="18"/>
                          <w:szCs w:val="18"/>
                        </w:rPr>
                        <w:t xml:space="preserve"> - pune, de asemenea, în evidență potențialul de inovare al GAL-urilor și recomandă includerea în sistemul de monitorizare și evaluare a unei variabile care să indice dacă operațiunile puse în aplicare de GAL-uri în contextul strategiilor de dezvoltare locală din cadrul M19 sunt inovatoare.</w:t>
                      </w:r>
                    </w:p>
                    <w:p w:rsidR="008A60B4" w:rsidRPr="00C202EC" w:rsidRDefault="008A60B4" w:rsidP="003F6478">
                      <w:pPr>
                        <w:pStyle w:val="HStandard"/>
                        <w:ind w:left="567" w:hanging="567"/>
                        <w:rPr>
                          <w:b/>
                          <w:color w:val="F07E31"/>
                          <w:sz w:val="18"/>
                          <w:szCs w:val="18"/>
                        </w:rPr>
                      </w:pPr>
                      <w:r>
                        <w:rPr>
                          <w:b/>
                          <w:color w:val="F07E31"/>
                          <w:sz w:val="18"/>
                          <w:szCs w:val="18"/>
                        </w:rPr>
                        <w:t xml:space="preserve">Exemple de elemente de evaluare suplimentare </w:t>
                      </w:r>
                    </w:p>
                    <w:p w:rsidR="008A60B4" w:rsidRPr="00C202EC" w:rsidRDefault="008A60B4" w:rsidP="00C202EC">
                      <w:pPr>
                        <w:pStyle w:val="Hlistbullet"/>
                        <w:rPr>
                          <w:sz w:val="18"/>
                          <w:szCs w:val="18"/>
                        </w:rPr>
                      </w:pPr>
                      <w:r>
                        <w:rPr>
                          <w:b/>
                          <w:bCs/>
                          <w:sz w:val="18"/>
                          <w:szCs w:val="18"/>
                        </w:rPr>
                        <w:t>Bavaria (DE)</w:t>
                      </w:r>
                      <w:r>
                        <w:rPr>
                          <w:sz w:val="18"/>
                          <w:szCs w:val="18"/>
                        </w:rPr>
                        <w:t xml:space="preserve"> - menționează utilizarea unor criterii de apreciere suplimentare legate de inovare la nivelul GAL-ului (de exemplu, noi proiecte multisectoriale desfășurate de GAL, procese/tehnici noi care au fost testate). S-a utilizat un indicator de rezultat suplimentar (idei/soluții noi, inovări - M19). Indicatorul a fost cuantificat, iar informațiile au fost colectate prin (a) un sondaj online adresat responsabililor GAL; (b) interviuri semi-structurate cu anumiți responsabili ai GAL. </w:t>
                      </w:r>
                    </w:p>
                    <w:p w:rsidR="008A60B4" w:rsidRPr="00C202EC" w:rsidRDefault="008A60B4" w:rsidP="00C202EC">
                      <w:pPr>
                        <w:pStyle w:val="Hlistbullet"/>
                        <w:rPr>
                          <w:sz w:val="18"/>
                          <w:szCs w:val="18"/>
                        </w:rPr>
                      </w:pPr>
                      <w:r>
                        <w:rPr>
                          <w:b/>
                          <w:bCs/>
                          <w:sz w:val="18"/>
                          <w:szCs w:val="18"/>
                        </w:rPr>
                        <w:t>Republica Cehă</w:t>
                      </w:r>
                      <w:r>
                        <w:rPr>
                          <w:sz w:val="18"/>
                          <w:szCs w:val="18"/>
                        </w:rPr>
                        <w:t xml:space="preserve"> - descrie colectarea datelor pentru indicatorul de rezultat suplimentar „numărul participanților care finalizează activități axate pe inovări” prin intermediul bazei de date a operațiunilor. De asemenea, Republica Cehă menționează un sondaj adresat beneficiarilor proiectelor sprijinite, pentru colectarea informațiilor privind inovarea.</w:t>
                      </w:r>
                    </w:p>
                    <w:p w:rsidR="008A60B4" w:rsidRPr="00C202EC" w:rsidRDefault="008A60B4" w:rsidP="00142A64">
                      <w:pPr>
                        <w:pStyle w:val="HStandard"/>
                        <w:rPr>
                          <w:b/>
                          <w:sz w:val="18"/>
                          <w:szCs w:val="18"/>
                        </w:rPr>
                      </w:pPr>
                      <w:r>
                        <w:rPr>
                          <w:b/>
                          <w:color w:val="F07E31"/>
                          <w:sz w:val="18"/>
                          <w:szCs w:val="18"/>
                        </w:rPr>
                        <w:t>Exemple de metode</w:t>
                      </w:r>
                    </w:p>
                    <w:p w:rsidR="008A60B4" w:rsidRPr="00C202EC" w:rsidRDefault="008A60B4" w:rsidP="00C202EC">
                      <w:pPr>
                        <w:pStyle w:val="Hlistbullet"/>
                        <w:rPr>
                          <w:sz w:val="18"/>
                          <w:szCs w:val="18"/>
                        </w:rPr>
                      </w:pPr>
                      <w:r>
                        <w:rPr>
                          <w:b/>
                          <w:bCs/>
                          <w:sz w:val="18"/>
                          <w:szCs w:val="18"/>
                        </w:rPr>
                        <w:t>Castilla y León (ES)</w:t>
                      </w:r>
                      <w:r>
                        <w:rPr>
                          <w:sz w:val="18"/>
                          <w:szCs w:val="18"/>
                        </w:rPr>
                        <w:t xml:space="preserve"> - recomandă intervievarea fiecărui responsabil cu realizarea măsurilor și includerea unor elemente de date suplimentare în sistemul de monitorizare care permite evaluarea modului în care diferite operațiuni integrează elemente inovatoare și contribuie la îndeplinirea obiectivelor inovării.</w:t>
                      </w:r>
                    </w:p>
                    <w:p w:rsidR="008A60B4" w:rsidRPr="00C202EC" w:rsidRDefault="008A60B4" w:rsidP="00C202EC">
                      <w:pPr>
                        <w:pStyle w:val="Hlistbullet"/>
                      </w:pPr>
                      <w:r>
                        <w:rPr>
                          <w:b/>
                          <w:bCs/>
                          <w:sz w:val="18"/>
                          <w:szCs w:val="18"/>
                        </w:rPr>
                        <w:t>Castilla la Mancha (ES)</w:t>
                      </w:r>
                      <w:r>
                        <w:rPr>
                          <w:sz w:val="18"/>
                          <w:szCs w:val="18"/>
                        </w:rPr>
                        <w:t xml:space="preserve"> - a utilizat un sondaj transmis tuturor participanților la formare pentru a evalua, printre altele, contribuțiile la inovare aduse de transferul de cunoștințe și de acțiunile de informare. Sondajul a permis evaluarea sesiunilor de formare profesională inovatoare.</w:t>
                      </w:r>
                    </w:p>
                  </w:txbxContent>
                </v:textbox>
                <w10:anchorlock/>
              </v:shape>
            </w:pict>
          </mc:Fallback>
        </mc:AlternateContent>
      </w:r>
    </w:p>
    <w:p w:rsidR="00C202EC" w:rsidRDefault="00C202EC">
      <w:pPr>
        <w:jc w:val="left"/>
        <w:rPr>
          <w:rFonts w:eastAsia="Times New Roman" w:cs="Times New Roman"/>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Riscuri și soluții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Riscuri</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Soluții</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Unele elemente de date (de exemplu, numărul final al proiectelor de cooperare) pot să nu fie disponibile decât după încheierea perioadei de programare.</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Tipurile de structuri de cooperare /grupuri operaționale create (structură juridică, componență, declarație de angajament al partenerilor etc.) pot fi analizate printr-o evaluare calitativă ca un indicator substitutiv al numărului final al structurilor de cooperare.</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Informațiile privind componența și tipul partenerilor din cadrul proiectelor de cooperare sau părțile interesate din domeniul inovării din cadrul M</w:t>
            </w:r>
            <w:r w:rsidRPr="00FA63BD">
              <w:rPr>
                <w:sz w:val="18"/>
                <w:szCs w:val="18"/>
              </w:rPr>
              <w:t>1</w:t>
            </w:r>
            <w:r>
              <w:rPr>
                <w:sz w:val="18"/>
                <w:szCs w:val="18"/>
              </w:rPr>
              <w:t xml:space="preserve"> și M</w:t>
            </w:r>
            <w:r w:rsidRPr="00FA63BD">
              <w:rPr>
                <w:sz w:val="18"/>
                <w:szCs w:val="18"/>
              </w:rPr>
              <w:t>2</w:t>
            </w:r>
            <w:r>
              <w:rPr>
                <w:sz w:val="18"/>
                <w:szCs w:val="18"/>
              </w:rPr>
              <w:t xml:space="preserve"> nu pot fi înregistrate în datele de monitorizare.</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Compoziția și tipurile partenerilor pot fi evaluate prin sondaje și interviuri cu privire la operațiunile sprijinite. Ca alternativă, formularele de cerere ale operațiunilor sprijinite pot furniza date utile.</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Tipul de inovare creat și utilizarea sa nu pot fi înregistrate în tabelele de monitorizare.</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Sondajele, grupurile de reflecție și interviurile cu grupurile operaționale pot contribui la estimarea tipurilor de inovare create.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Concluzii și recomandări</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Concluziile și recomandările ar trebui să abordeze cel puțin următoarele aspecte de politică:</w:t>
      </w:r>
    </w:p>
    <w:p w:rsidR="00A45935" w:rsidRPr="00B41573" w:rsidRDefault="00A45935" w:rsidP="00AB16BB">
      <w:pPr>
        <w:pStyle w:val="Hlistbullet"/>
        <w:rPr>
          <w:rFonts w:eastAsia="Calibri"/>
          <w:shd w:val="clear" w:color="auto" w:fill="FFFFFF"/>
        </w:rPr>
      </w:pPr>
      <w:r>
        <w:rPr>
          <w:b/>
          <w:bCs/>
          <w:shd w:val="clear" w:color="auto" w:fill="FFFFFF"/>
        </w:rPr>
        <w:t>Realizarea potențialului de inovare</w:t>
      </w:r>
      <w:r>
        <w:rPr>
          <w:shd w:val="clear" w:color="auto" w:fill="FFFFFF"/>
        </w:rPr>
        <w:t xml:space="preserve"> (prin cele trei modalități) al măsurilor M</w:t>
      </w:r>
      <w:r w:rsidRPr="00FA63BD">
        <w:rPr>
          <w:shd w:val="clear" w:color="auto" w:fill="FFFFFF"/>
        </w:rPr>
        <w:t>1</w:t>
      </w:r>
      <w:r>
        <w:rPr>
          <w:shd w:val="clear" w:color="auto" w:fill="FFFFFF"/>
        </w:rPr>
        <w:t>, M</w:t>
      </w:r>
      <w:r w:rsidRPr="00FA63BD">
        <w:rPr>
          <w:shd w:val="clear" w:color="auto" w:fill="FFFFFF"/>
        </w:rPr>
        <w:t>2</w:t>
      </w:r>
      <w:r>
        <w:rPr>
          <w:shd w:val="clear" w:color="auto" w:fill="FFFFFF"/>
        </w:rPr>
        <w:t>, M</w:t>
      </w:r>
      <w:r w:rsidRPr="00FA63BD">
        <w:rPr>
          <w:shd w:val="clear" w:color="auto" w:fill="FFFFFF"/>
        </w:rPr>
        <w:t>16</w:t>
      </w:r>
      <w:r>
        <w:rPr>
          <w:shd w:val="clear" w:color="auto" w:fill="FFFFFF"/>
        </w:rPr>
        <w:t xml:space="preserve"> și M</w:t>
      </w:r>
      <w:r w:rsidRPr="00FA63BD">
        <w:rPr>
          <w:shd w:val="clear" w:color="auto" w:fill="FFFFFF"/>
        </w:rPr>
        <w:t>19</w:t>
      </w:r>
      <w:r>
        <w:rPr>
          <w:shd w:val="clear" w:color="auto" w:fill="FFFFFF"/>
        </w:rPr>
        <w:t xml:space="preserve"> și al submăsurilor lor identificate.</w:t>
      </w:r>
    </w:p>
    <w:p w:rsidR="00A45935" w:rsidRPr="00B41573" w:rsidRDefault="00A45935" w:rsidP="00AB16BB">
      <w:pPr>
        <w:pStyle w:val="Hlistbullet"/>
        <w:rPr>
          <w:rFonts w:eastAsia="Calibri"/>
          <w:shd w:val="clear" w:color="auto" w:fill="FFFFFF"/>
        </w:rPr>
      </w:pPr>
      <w:r>
        <w:rPr>
          <w:b/>
          <w:bCs/>
          <w:shd w:val="clear" w:color="auto" w:fill="FFFFFF"/>
        </w:rPr>
        <w:t>Efectul acțiunilor de formare profesională și de informare</w:t>
      </w:r>
      <w:r>
        <w:rPr>
          <w:shd w:val="clear" w:color="auto" w:fill="FFFFFF"/>
        </w:rPr>
        <w:t xml:space="preserve"> din cadrul M</w:t>
      </w:r>
      <w:r w:rsidRPr="00FA63BD">
        <w:rPr>
          <w:shd w:val="clear" w:color="auto" w:fill="FFFFFF"/>
        </w:rPr>
        <w:t>1</w:t>
      </w:r>
      <w:r>
        <w:rPr>
          <w:shd w:val="clear" w:color="auto" w:fill="FFFFFF"/>
        </w:rPr>
        <w:t xml:space="preserve"> și efectul serviciilor de consiliere din cadrul M</w:t>
      </w:r>
      <w:r w:rsidRPr="00FA63BD">
        <w:rPr>
          <w:shd w:val="clear" w:color="auto" w:fill="FFFFFF"/>
        </w:rPr>
        <w:t>2</w:t>
      </w:r>
      <w:r>
        <w:rPr>
          <w:shd w:val="clear" w:color="auto" w:fill="FFFFFF"/>
        </w:rPr>
        <w:t xml:space="preserve"> privind consolidarea capacității de inovare.</w:t>
      </w:r>
    </w:p>
    <w:p w:rsidR="00A45935" w:rsidRPr="00B41573" w:rsidRDefault="00A45935" w:rsidP="00AB16BB">
      <w:pPr>
        <w:pStyle w:val="Hlistbullet"/>
        <w:rPr>
          <w:rFonts w:eastAsia="Calibri"/>
          <w:shd w:val="clear" w:color="auto" w:fill="FFFFFF"/>
        </w:rPr>
      </w:pPr>
      <w:r>
        <w:rPr>
          <w:b/>
          <w:bCs/>
          <w:shd w:val="clear" w:color="auto" w:fill="FFFFFF"/>
        </w:rPr>
        <w:t>Efectul proiectelor de cooperare</w:t>
      </w:r>
      <w:r>
        <w:rPr>
          <w:shd w:val="clear" w:color="auto" w:fill="FFFFFF"/>
        </w:rPr>
        <w:t>, în special ale grupurilor operaționale, asupra sprijinirii inovării, mai precis:</w:t>
      </w:r>
    </w:p>
    <w:p w:rsidR="00A45935" w:rsidRPr="00E05D08" w:rsidRDefault="00A45935" w:rsidP="00AB16BB">
      <w:pPr>
        <w:pStyle w:val="Hlistbullet2"/>
        <w:rPr>
          <w:rFonts w:eastAsia="Calibri"/>
          <w:shd w:val="clear" w:color="auto" w:fill="FFFFFF"/>
        </w:rPr>
      </w:pPr>
      <w:r>
        <w:rPr>
          <w:shd w:val="clear" w:color="auto" w:fill="FFFFFF"/>
        </w:rPr>
        <w:t>numărul, domeniul de aplicare, conținutul și durata proiectelor grupurilor operaționale pot oferi concluzii utile privind identificarea ideilor inovatoare care ar trebui puse în practică;</w:t>
      </w:r>
    </w:p>
    <w:p w:rsidR="00A45935" w:rsidRPr="00E05D08" w:rsidRDefault="00A45935" w:rsidP="00AB16BB">
      <w:pPr>
        <w:pStyle w:val="Hlistbullet2"/>
        <w:rPr>
          <w:rFonts w:eastAsia="Calibri"/>
          <w:shd w:val="clear" w:color="auto" w:fill="FFFFFF"/>
        </w:rPr>
      </w:pPr>
      <w:r>
        <w:rPr>
          <w:shd w:val="clear" w:color="auto" w:fill="FFFFFF"/>
        </w:rPr>
        <w:t>numărul și tipul proiectelor grupurilor operaționale, precum și implicarea părților interesate din domeniul inovării pot oferi concluzii relevante privind realizările măsurii de cooperare în ceea ce privește capacitatea de inovare în zonele rurale.</w:t>
      </w:r>
    </w:p>
    <w:p w:rsidR="00A45935" w:rsidRPr="00E05D08" w:rsidRDefault="00A45935" w:rsidP="00AB16BB">
      <w:pPr>
        <w:pStyle w:val="Hlistbullet2"/>
        <w:rPr>
          <w:rFonts w:eastAsia="Calibri"/>
          <w:shd w:val="clear" w:color="auto" w:fill="FFFFFF"/>
        </w:rPr>
      </w:pPr>
      <w:r>
        <w:rPr>
          <w:shd w:val="clear" w:color="auto" w:fill="FFFFFF"/>
        </w:rPr>
        <w:t xml:space="preserve">concluziile privind măsura în care proiectele grupurilor operaționale creează structuri și proceduri care facilitează generarea inovării.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bCs/>
          <w:szCs w:val="20"/>
          <w:shd w:val="clear" w:color="auto" w:fill="FFFFFF"/>
        </w:rPr>
        <w:t xml:space="preserve">Efectele activităților GAL-urilor </w:t>
      </w:r>
      <w:r>
        <w:rPr>
          <w:szCs w:val="20"/>
          <w:shd w:val="clear" w:color="auto" w:fill="FFFFFF"/>
        </w:rPr>
        <w:t xml:space="preserve">(inclusiv cooperarea dintre GAL-uri) și ale proiectelor puse în aplicare prin intermediul strategiilor DLRC.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Informații suplimentare</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1F33E217" wp14:editId="2475611A">
                <wp:extent cx="5633634" cy="1735810"/>
                <wp:effectExtent l="0" t="0" r="24765" b="17145"/>
                <wp:docPr id="5" name="Rectangle: Diagonal Corners Rounded 5"/>
                <wp:cNvGraphicFramePr/>
                <a:graphic xmlns:a="http://schemas.openxmlformats.org/drawingml/2006/main">
                  <a:graphicData uri="http://schemas.microsoft.com/office/word/2010/wordprocessingShape">
                    <wps:wsp>
                      <wps:cNvSpPr/>
                      <wps:spPr>
                        <a:xfrm>
                          <a:off x="0" y="0"/>
                          <a:ext cx="5633634" cy="1735810"/>
                        </a:xfrm>
                        <a:prstGeom prst="round2DiagRect">
                          <a:avLst>
                            <a:gd name="adj1" fmla="val 11556"/>
                            <a:gd name="adj2" fmla="val 0"/>
                          </a:avLst>
                        </a:prstGeom>
                        <a:noFill/>
                        <a:ln w="25400" cap="flat" cmpd="sng" algn="ctr">
                          <a:solidFill>
                            <a:srgbClr val="59638E"/>
                          </a:solidFill>
                          <a:prstDash val="solid"/>
                        </a:ln>
                        <a:effectLst/>
                      </wps:spPr>
                      <wps:txbx>
                        <w:txbxContent>
                          <w:p w:rsidR="008A60B4" w:rsidRDefault="008A60B4" w:rsidP="00E05D08">
                            <w:pPr>
                              <w:pStyle w:val="HStandard"/>
                              <w:rPr>
                                <w:color w:val="000000"/>
                                <w:sz w:val="18"/>
                              </w:rPr>
                            </w:pPr>
                            <w:r>
                              <w:rPr>
                                <w:noProof/>
                                <w:lang w:val="en-GB" w:eastAsia="en-GB"/>
                              </w:rPr>
                              <w:drawing>
                                <wp:inline distT="0" distB="0" distL="0" distR="0" wp14:anchorId="543B0DE6" wp14:editId="7891219E">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A60B4" w:rsidRPr="00EB3015" w:rsidRDefault="008A60B4" w:rsidP="00E05D08">
                            <w:pPr>
                              <w:pStyle w:val="HStandard"/>
                              <w:rPr>
                                <w:color w:val="000000"/>
                                <w:sz w:val="18"/>
                              </w:rPr>
                            </w:pPr>
                            <w:r>
                              <w:t xml:space="preserve">Ghid - </w:t>
                            </w:r>
                            <w:hyperlink r:id="rId43" w:history="1">
                              <w:r>
                                <w:rPr>
                                  <w:rStyle w:val="Hyperlink"/>
                                  <w:sz w:val="18"/>
                                </w:rPr>
                                <w:t>Evaluarea rezultatelor PDR:</w:t>
                              </w:r>
                            </w:hyperlink>
                            <w:hyperlink r:id="rId44" w:history="1">
                              <w:r>
                                <w:rPr>
                                  <w:rStyle w:val="Hyperlink"/>
                                  <w:sz w:val="18"/>
                                </w:rPr>
                                <w:t>pregătirea raportării cu privire la evaluare în 2017</w:t>
                              </w:r>
                            </w:hyperlink>
                            <w:r>
                              <w:t>, anexa 11;</w:t>
                            </w:r>
                            <w:r>
                              <w:rPr>
                                <w:color w:val="000000"/>
                                <w:sz w:val="18"/>
                              </w:rPr>
                              <w:t xml:space="preserve"> </w:t>
                            </w:r>
                          </w:p>
                          <w:p w:rsidR="008A60B4" w:rsidRPr="00730192" w:rsidRDefault="008A60B4" w:rsidP="00E05D08">
                            <w:pPr>
                              <w:pStyle w:val="HStandard"/>
                              <w:rPr>
                                <w:sz w:val="18"/>
                              </w:rPr>
                            </w:pPr>
                            <w:r>
                              <w:t>Documentul de orientare „</w:t>
                            </w:r>
                            <w:hyperlink r:id="rId45" w:history="1">
                              <w:r>
                                <w:rPr>
                                  <w:rStyle w:val="Hyperlink"/>
                                  <w:sz w:val="18"/>
                                </w:rPr>
                                <w:t>Măsura de cooperare</w:t>
                              </w:r>
                            </w:hyperlink>
                            <w:r>
                              <w:t>”, articolul 35 din Regulamentul (UE) nr. 1305/2013, noiembrie 2014</w:t>
                            </w:r>
                          </w:p>
                          <w:p w:rsidR="008A60B4" w:rsidRPr="009D62F4" w:rsidRDefault="008A60B4" w:rsidP="00E05D08">
                            <w:pPr>
                              <w:pStyle w:val="HStandard"/>
                              <w:rPr>
                                <w:sz w:val="18"/>
                                <w:szCs w:val="18"/>
                              </w:rPr>
                            </w:pPr>
                            <w:r>
                              <w:rPr>
                                <w:sz w:val="18"/>
                              </w:rPr>
                              <w:t xml:space="preserve">Documentele din cadrul atelierului REDR privind măsura M16 „Cooperare”, iunie 2016, Bruxelles: </w:t>
                            </w:r>
                            <w:hyperlink r:id="rId46" w:history="1">
                              <w:r>
                                <w:rPr>
                                  <w:rStyle w:val="Hyperlink"/>
                                  <w:sz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33E217" id="Rectangle: Diagonal Corners Rounded 5" o:spid="_x0000_s1045" style="width:443.6pt;height:136.7pt;visibility:visible;mso-wrap-style:square;mso-left-percent:-10001;mso-top-percent:-10001;mso-position-horizontal:absolute;mso-position-horizontal-relative:char;mso-position-vertical:absolute;mso-position-vertical-relative:line;mso-left-percent:-10001;mso-top-percent:-10001;v-text-anchor:middle" coordsize="5633634,1735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" adj="-11796480,,5400" path="m200590,l5633634,r,l5633634,1535220v,110783,-89807,200590,-200590,200590l,1735810r,l,200590c,89807,89807,,200590,xe" filled="f" strokecolor="#59638e" strokeweight="2pt">
                <v:stroke joinstyle="miter"/>
                <v:formulas/>
                <v:path arrowok="t" o:connecttype="custom" o:connectlocs="200590,0;5633634,0;5633634,0;5633634,1535220;5433044,1735810;0,1735810;0,1735810;0,200590;200590,0" o:connectangles="0,0,0,0,0,0,0,0,0" textboxrect="0,0,5633634,1735810"/>
                <v:textbox>
                  <w:txbxContent>
                    <w:p w:rsidR="008A60B4" w:rsidRDefault="008A60B4" w:rsidP="00E05D08">
                      <w:pPr>
                        <w:pStyle w:val="HStandard"/>
                        <w:rPr>
                          <w:color w:val="000000"/>
                          <w:sz w:val="18"/>
                        </w:rPr>
                      </w:pPr>
                      <w:r>
                        <w:rPr>
                          <w:noProof/>
                          <w:lang w:val="en-GB" w:eastAsia="en-GB"/>
                        </w:rPr>
                        <w:drawing>
                          <wp:inline distT="0" distB="0" distL="0" distR="0" wp14:anchorId="543B0DE6" wp14:editId="7891219E">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A60B4" w:rsidRPr="00EB3015" w:rsidRDefault="008A60B4" w:rsidP="00E05D08">
                      <w:pPr>
                        <w:pStyle w:val="HStandard"/>
                        <w:rPr>
                          <w:color w:val="000000"/>
                          <w:sz w:val="18"/>
                        </w:rPr>
                      </w:pPr>
                      <w:r>
                        <w:t xml:space="preserve">Ghid - </w:t>
                      </w:r>
                      <w:hyperlink r:id="rId47" w:history="1">
                        <w:r>
                          <w:rPr>
                            <w:rStyle w:val="Hyperlink"/>
                            <w:sz w:val="18"/>
                          </w:rPr>
                          <w:t>Evaluarea rezultatelor PDR:</w:t>
                        </w:r>
                      </w:hyperlink>
                      <w:hyperlink r:id="rId48" w:history="1">
                        <w:r>
                          <w:rPr>
                            <w:rStyle w:val="Hyperlink"/>
                            <w:sz w:val="18"/>
                          </w:rPr>
                          <w:t>pregătirea raportării cu privire la evaluare în 2017</w:t>
                        </w:r>
                      </w:hyperlink>
                      <w:r>
                        <w:t>, anexa 11;</w:t>
                      </w:r>
                      <w:r>
                        <w:rPr>
                          <w:color w:val="000000"/>
                          <w:sz w:val="18"/>
                        </w:rPr>
                        <w:t xml:space="preserve"> </w:t>
                      </w:r>
                    </w:p>
                    <w:p w:rsidR="008A60B4" w:rsidRPr="00730192" w:rsidRDefault="008A60B4" w:rsidP="00E05D08">
                      <w:pPr>
                        <w:pStyle w:val="HStandard"/>
                        <w:rPr>
                          <w:sz w:val="18"/>
                        </w:rPr>
                      </w:pPr>
                      <w:r>
                        <w:t>Documentul de orientare „</w:t>
                      </w:r>
                      <w:hyperlink r:id="rId49" w:history="1">
                        <w:r>
                          <w:rPr>
                            <w:rStyle w:val="Hyperlink"/>
                            <w:sz w:val="18"/>
                          </w:rPr>
                          <w:t>Măsura de cooperare</w:t>
                        </w:r>
                      </w:hyperlink>
                      <w:r>
                        <w:t>”, articolul 35 din Regulamentul (UE) nr. 1305/2013, noiembrie 2014</w:t>
                      </w:r>
                    </w:p>
                    <w:p w:rsidR="008A60B4" w:rsidRPr="009D62F4" w:rsidRDefault="008A60B4" w:rsidP="00E05D08">
                      <w:pPr>
                        <w:pStyle w:val="HStandard"/>
                        <w:rPr>
                          <w:sz w:val="18"/>
                          <w:szCs w:val="18"/>
                        </w:rPr>
                      </w:pPr>
                      <w:r>
                        <w:rPr>
                          <w:sz w:val="18"/>
                        </w:rPr>
                        <w:t xml:space="preserve">Documentele din cadrul atelierului REDR privind măsura M16 „Cooperare”, iunie 2016, Bruxelles: </w:t>
                      </w:r>
                      <w:hyperlink r:id="rId50" w:history="1">
                        <w:r>
                          <w:rPr>
                            <w:rStyle w:val="Hyperlink"/>
                            <w:sz w:val="18"/>
                          </w:rPr>
                          <w:t>http://enrd.ec.europa.eu/news-events/events/enrd-workshop-measure-16-cooperation_en</w:t>
                        </w:r>
                      </w:hyperlink>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1" w:name="_Toc501382132"/>
      <w:bookmarkStart w:id="112" w:name="_Toc508889182"/>
      <w:r>
        <w:lastRenderedPageBreak/>
        <w:t xml:space="preserve">IEC nr. </w:t>
      </w:r>
      <w:r w:rsidRPr="00FA63BD">
        <w:t>2</w:t>
      </w:r>
      <w:r>
        <w:t>: „În ce măsură au sprijinit intervențiile PDR consolidarea legăturilor dintre agricultură, producția alimentară și silvicultură, pe de o parte, și cercetare și inovare, pe de altă parte, inclusiv în scopul unei gestionări mai bune a mediului și al unei performanțe de mediu îmbunătățite?”</w:t>
      </w:r>
      <w:bookmarkEnd w:id="111"/>
      <w:bookmarkEnd w:id="11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Înțelegerea IEC</w:t>
      </w:r>
    </w:p>
    <w:p w:rsidR="00A45935" w:rsidRPr="00E05D08" w:rsidRDefault="00A45935" w:rsidP="00E05D08">
      <w:pPr>
        <w:spacing w:after="120" w:line="280" w:lineRule="atLeast"/>
        <w:mirrorIndents/>
        <w:rPr>
          <w:rFonts w:eastAsia="Times New Roman" w:cs="Times New Roman"/>
          <w:szCs w:val="20"/>
        </w:rPr>
      </w:pPr>
      <w:r>
        <w:t xml:space="preserve">IEC nr. </w:t>
      </w:r>
      <w:r w:rsidRPr="00FA63BD">
        <w:t>2</w:t>
      </w:r>
      <w:r>
        <w:t xml:space="preserve"> este legată în principal de M</w:t>
      </w:r>
      <w:r w:rsidRPr="00FA63BD">
        <w:t>16</w:t>
      </w:r>
      <w:r>
        <w:t xml:space="preserve"> și de cele </w:t>
      </w:r>
      <w:r w:rsidRPr="00FA63BD">
        <w:t>10</w:t>
      </w:r>
      <w:r>
        <w:t xml:space="preserve"> submăsuri ale sale prevăzute la articolul </w:t>
      </w:r>
      <w:r w:rsidRPr="00FA63BD">
        <w:t>35</w:t>
      </w:r>
      <w:r>
        <w:t xml:space="preserve"> - Cooperare</w:t>
      </w:r>
      <w:r>
        <w:rPr>
          <w:rFonts w:eastAsia="Times New Roman" w:cs="Arial"/>
          <w:szCs w:val="20"/>
          <w:vertAlign w:val="superscript"/>
          <w:lang w:eastAsia="de-DE"/>
        </w:rPr>
        <w:footnoteReference w:id="52"/>
      </w:r>
      <w:r>
        <w:t xml:space="preserve">. </w:t>
      </w:r>
      <w:r>
        <w:rPr>
          <w:b/>
          <w:bCs/>
        </w:rPr>
        <w:t>Legăturile dintre agricultură, producția alimentară, silvicultură și cercetare și inovare</w:t>
      </w:r>
      <w:r>
        <w:t xml:space="preserve"> pot fi promovate în trei moduri</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cooperarea dintre o gamă largă de actori din sectorul agricol și forestier, lanțul alimentar și alții care contribuie la îndeplinirea obiectivelor politicii de dezvoltare rurală, precum și grupurile de producători, cooperativele și organizațiile interprofesionale;</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crearea de clustere și rețele, care sunt forme de cooperare mai specifice, dar importante;</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crearea grupurilor operaționale PEI-AGRI, o nouă componentă a politicii de dezvoltare rurală, care vizează apropierea cercetării și a practicii.</w:t>
      </w:r>
    </w:p>
    <w:p w:rsidR="00A45935" w:rsidRPr="00E05D08" w:rsidRDefault="00A45935" w:rsidP="00E05D08">
      <w:pPr>
        <w:spacing w:after="120" w:line="280" w:lineRule="atLeast"/>
        <w:mirrorIndents/>
        <w:rPr>
          <w:rFonts w:eastAsia="Times New Roman" w:cs="Times New Roman"/>
          <w:szCs w:val="20"/>
        </w:rPr>
      </w:pPr>
      <w:r>
        <w:t>Sprijinul în cadrul politicii de dezvoltare rurală pentru aceste forme de cooperare a evoluat de-a lungul timpului. În perioada de programare anterioară, au fost sprijinite forme de cooperare foarte specifice (sistemele din domeniul calității produselor alimentare și grupurile de producători) sau cooperarea la nivel local (în cadrul programului LEADER). Politica actuală promovează legăturile dintre numeroși actori diferiți și oferă mai multă flexibilitate în ceea ce privește domeniul de aplicare și alcătuirea activităților de cooperare. Prin corelarea agriculturii, silviculturii și lanțului alimentar cu actorii din domeniul cercetării/inovării, politica de dezvoltare rurală pune un accent puternic pe inovare ca mod de îndeplinire a obiectivelor PDR. De exemplu:</w:t>
      </w:r>
    </w:p>
    <w:p w:rsidR="00A45935" w:rsidRPr="00D35751" w:rsidRDefault="00A45935" w:rsidP="00AB16BB">
      <w:pPr>
        <w:pStyle w:val="Hlistbullet"/>
      </w:pPr>
      <w:r>
        <w:t>Corelarea cercetării cu practica poate contribui la identificarea unei inovări care are capacitatea de a îmbunătăți punerea în aplicarea a programului și de a contribui la îndeplinirea obiectivelor PDR.</w:t>
      </w:r>
    </w:p>
    <w:p w:rsidR="00EF1B0F" w:rsidRPr="00EF1B0F" w:rsidRDefault="00A45935" w:rsidP="00734B11">
      <w:pPr>
        <w:pStyle w:val="Hlistbullet"/>
      </w:pPr>
      <w:r>
        <w:t xml:space="preserve">Accentul plasat pe sprijinul oferit proiectelor de cooperare de către serviciile de consiliere și de sprijinire a inovării (inclusiv sprijinul oferit de RNDR-uri) poate contribui la consolidarea capacității de inovare și la îmbunătățirea competitivității și/sau a mediului. </w:t>
      </w:r>
    </w:p>
    <w:p w:rsidR="00EF1B0F" w:rsidRDefault="00A45935" w:rsidP="00734B11">
      <w:pPr>
        <w:pStyle w:val="Hlistbullet"/>
      </w:pPr>
      <w:r>
        <w:rPr>
          <w:b/>
          <w:bCs/>
        </w:rPr>
        <w:t xml:space="preserve">Cooperarea pentru îmbunătățirea gestionării mediului și a performanței de mediu </w:t>
      </w:r>
      <w:r>
        <w:t xml:space="preserve">este un alt obiectiv al IEC nr. </w:t>
      </w:r>
      <w:r w:rsidRPr="00FA63BD">
        <w:t>2</w:t>
      </w:r>
      <w:r>
        <w:t>. Domeniul de aplicare a proiectelor de cooperare include protejarea și îmbunătățirea resurselor (apă, sol, aer), biodiversitatea și mediul natural, precum și atenuarea schimbărilor climatice și adaptarea la acestea. Gestionarea mediului în scopuri legate de schimbările climatice poate include acțiuni legate de utilizarea eficientă a apei și a energiei și de economiile de energie și de apă.</w:t>
      </w:r>
    </w:p>
    <w:p w:rsidR="00A45935" w:rsidRPr="00A66638" w:rsidRDefault="00A66638" w:rsidP="00EF1B0F">
      <w:pPr>
        <w:pStyle w:val="Hlistbullet"/>
        <w:numPr>
          <w:ilvl w:val="0"/>
          <w:numId w:val="0"/>
        </w:numPr>
        <w:rPr>
          <w:color w:val="FFFFFF" w:themeColor="background1"/>
        </w:rPr>
      </w:pPr>
      <w:r>
        <w:rPr>
          <w:noProof/>
          <w:color w:val="auto"/>
          <w:sz w:val="18"/>
          <w:lang w:val="en-GB" w:eastAsia="en-GB"/>
        </w:rPr>
        <w:lastRenderedPageBreak/>
        <mc:AlternateContent>
          <mc:Choice Requires="wps">
            <w:drawing>
              <wp:anchor distT="0" distB="0" distL="114300" distR="114300" simplePos="0" relativeHeight="251723776" behindDoc="0" locked="0" layoutInCell="1" allowOverlap="1" wp14:anchorId="6AADC07C" wp14:editId="26BE38A1">
                <wp:simplePos x="0" y="0"/>
                <wp:positionH relativeFrom="column">
                  <wp:posOffset>103505</wp:posOffset>
                </wp:positionH>
                <wp:positionV relativeFrom="page">
                  <wp:posOffset>749935</wp:posOffset>
                </wp:positionV>
                <wp:extent cx="5763260" cy="6616065"/>
                <wp:effectExtent l="0" t="0" r="27940" b="1333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616065"/>
                        </a:xfrm>
                        <a:prstGeom prst="round2DiagRect">
                          <a:avLst>
                            <a:gd name="adj1" fmla="val 5422"/>
                            <a:gd name="adj2" fmla="val 0"/>
                          </a:avLst>
                        </a:prstGeom>
                        <a:noFill/>
                        <a:ln w="25400" cap="flat" cmpd="sng" algn="ctr">
                          <a:solidFill>
                            <a:srgbClr val="F07E31"/>
                          </a:solidFill>
                          <a:prstDash val="solid"/>
                        </a:ln>
                        <a:effectLst/>
                      </wps:spPr>
                      <wps:txbx>
                        <w:txbxContent>
                          <w:p w:rsidR="008A60B4" w:rsidRPr="007B4A6D" w:rsidRDefault="008A60B4" w:rsidP="00E05D08">
                            <w:pPr>
                              <w:pStyle w:val="HStandard"/>
                              <w:ind w:left="567" w:hanging="567"/>
                              <w:rPr>
                                <w:b/>
                                <w:color w:val="648659"/>
                                <w:sz w:val="18"/>
                                <w:szCs w:val="18"/>
                              </w:rPr>
                            </w:pPr>
                            <w:r>
                              <w:rPr>
                                <w:noProof/>
                                <w:sz w:val="18"/>
                                <w:szCs w:val="18"/>
                                <w:lang w:val="en-GB" w:eastAsia="en-GB"/>
                              </w:rPr>
                              <w:drawing>
                                <wp:inline distT="0" distB="0" distL="0" distR="0" wp14:anchorId="5DCFD6CB" wp14:editId="096FFF18">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Exemplu: Măsuri de cooperare utilizate pentru o gestionare mai bună a mediului</w:t>
                            </w:r>
                          </w:p>
                          <w:p w:rsidR="008A60B4" w:rsidRPr="007B4A6D" w:rsidRDefault="008A60B4" w:rsidP="00E05D08">
                            <w:pPr>
                              <w:pStyle w:val="HStandard"/>
                              <w:rPr>
                                <w:sz w:val="18"/>
                                <w:szCs w:val="18"/>
                              </w:rPr>
                            </w:pPr>
                            <w:r>
                              <w:rPr>
                                <w:b/>
                                <w:bCs/>
                                <w:sz w:val="18"/>
                                <w:szCs w:val="18"/>
                              </w:rPr>
                              <w:t>Finlanda</w:t>
                            </w:r>
                            <w:r>
                              <w:rPr>
                                <w:sz w:val="18"/>
                                <w:szCs w:val="18"/>
                              </w:rPr>
                              <w:t xml:space="preserve"> - M16 completează alte măsuri PDR pentru îndeplinirea obiectivelor priorităților P4 și P5:</w:t>
                            </w:r>
                          </w:p>
                          <w:p w:rsidR="008A60B4" w:rsidRPr="00055039" w:rsidRDefault="008A60B4" w:rsidP="008C0B17">
                            <w:pPr>
                              <w:pStyle w:val="HStandard"/>
                              <w:numPr>
                                <w:ilvl w:val="0"/>
                                <w:numId w:val="24"/>
                              </w:numPr>
                              <w:ind w:left="567" w:hanging="567"/>
                              <w:rPr>
                                <w:sz w:val="18"/>
                                <w:szCs w:val="18"/>
                              </w:rPr>
                            </w:pPr>
                            <w:r>
                              <w:rPr>
                                <w:sz w:val="18"/>
                                <w:szCs w:val="18"/>
                              </w:rPr>
                              <w:t>58 % din M16, precum și părți din M1 și M2 sunt utilizate pentru promovarea eficienței energetice;</w:t>
                            </w:r>
                          </w:p>
                          <w:p w:rsidR="008A60B4" w:rsidRPr="00D66182" w:rsidRDefault="008A60B4" w:rsidP="008C0B17">
                            <w:pPr>
                              <w:pStyle w:val="HStandard"/>
                              <w:numPr>
                                <w:ilvl w:val="0"/>
                                <w:numId w:val="24"/>
                              </w:numPr>
                              <w:ind w:left="567" w:hanging="567"/>
                              <w:rPr>
                                <w:sz w:val="18"/>
                                <w:szCs w:val="18"/>
                              </w:rPr>
                            </w:pPr>
                            <w:r>
                              <w:rPr>
                                <w:sz w:val="18"/>
                                <w:szCs w:val="18"/>
                              </w:rPr>
                              <w:t>49 % din M16, precum și părți din M1 și M2 sunt utilizate pentru sechestrarea și conservarea carbonului;</w:t>
                            </w:r>
                          </w:p>
                          <w:p w:rsidR="008A60B4" w:rsidRPr="000E1D4B" w:rsidRDefault="008A60B4" w:rsidP="008C0B17">
                            <w:pPr>
                              <w:pStyle w:val="HStandard"/>
                              <w:numPr>
                                <w:ilvl w:val="0"/>
                                <w:numId w:val="24"/>
                              </w:numPr>
                              <w:ind w:left="567" w:hanging="567"/>
                              <w:rPr>
                                <w:sz w:val="18"/>
                                <w:szCs w:val="18"/>
                              </w:rPr>
                            </w:pPr>
                            <w:r>
                              <w:rPr>
                                <w:sz w:val="18"/>
                                <w:szCs w:val="18"/>
                              </w:rPr>
                              <w:t>10 % din M16, 84 % din M4, precum și părți din M1 și M2 sunt utilizate pentru sursele regenerabile și gestionarea deșeurilor;</w:t>
                            </w:r>
                          </w:p>
                          <w:p w:rsidR="008A60B4" w:rsidRPr="000E1D4B" w:rsidRDefault="008A60B4" w:rsidP="008C0B17">
                            <w:pPr>
                              <w:pStyle w:val="HStandard"/>
                              <w:numPr>
                                <w:ilvl w:val="0"/>
                                <w:numId w:val="24"/>
                              </w:numPr>
                              <w:ind w:left="567" w:hanging="567"/>
                              <w:rPr>
                                <w:sz w:val="18"/>
                                <w:szCs w:val="18"/>
                              </w:rPr>
                            </w:pPr>
                            <w:r>
                              <w:rPr>
                                <w:sz w:val="18"/>
                                <w:szCs w:val="18"/>
                              </w:rPr>
                              <w:t>5,5 % din M16, 89 % din M4, precum și părți din M1 și M2 sunt utilizate pentru a reduce emisiile de gaze cu efect de seră și de amoniac.</w:t>
                            </w:r>
                          </w:p>
                          <w:p w:rsidR="008A60B4" w:rsidRPr="000E1D4B" w:rsidRDefault="008A60B4" w:rsidP="00E05D08">
                            <w:pPr>
                              <w:pStyle w:val="HStandard"/>
                              <w:rPr>
                                <w:sz w:val="18"/>
                                <w:szCs w:val="18"/>
                              </w:rPr>
                            </w:pPr>
                            <w:r>
                              <w:rPr>
                                <w:sz w:val="18"/>
                                <w:szCs w:val="18"/>
                              </w:rPr>
                              <w:t>Submăsurile de cooperare (de exemplu, M16.2 - Sprijin pentru proiectele-pilot, M16.5 - Sprijin pentru acțiuni comune vizând atenuarea schimbărilor climatice și adaptarea la acestea și pentru abordări comune pentru proiectele și practicile de mediu) au impacturi primare asupra ariei de intervenție 4A-C și asupra ariei de intervenție 5A-E.</w:t>
                            </w:r>
                          </w:p>
                          <w:p w:rsidR="008A60B4" w:rsidRPr="00AB16BB" w:rsidRDefault="008A60B4" w:rsidP="00AB16BB">
                            <w:pPr>
                              <w:pStyle w:val="HSource"/>
                              <w:ind w:right="8"/>
                              <w:jc w:val="right"/>
                              <w:rPr>
                                <w:rFonts w:eastAsia="Calibri"/>
                                <w:sz w:val="14"/>
                                <w:szCs w:val="14"/>
                              </w:rPr>
                            </w:pPr>
                            <w:r>
                              <w:rPr>
                                <w:sz w:val="14"/>
                                <w:szCs w:val="14"/>
                              </w:rPr>
                              <w:t>Sursă: REDR (2016). Atelier privind măsura M16 - Cooperare</w:t>
                            </w:r>
                            <w:r>
                              <w:rPr>
                                <w:sz w:val="14"/>
                                <w:szCs w:val="14"/>
                                <w:vertAlign w:val="superscript"/>
                              </w:rPr>
                              <w:t>54</w:t>
                            </w:r>
                            <w:r>
                              <w:rPr>
                                <w:sz w:val="14"/>
                                <w:szCs w:val="14"/>
                              </w:rPr>
                              <w:t>.</w:t>
                            </w:r>
                          </w:p>
                          <w:p w:rsidR="008A60B4" w:rsidRPr="007B4A6D" w:rsidRDefault="008A60B4" w:rsidP="00235D46">
                            <w:pPr>
                              <w:pStyle w:val="HStandard"/>
                              <w:spacing w:after="0"/>
                              <w:ind w:left="567" w:hanging="567"/>
                              <w:rPr>
                                <w:b/>
                                <w:sz w:val="18"/>
                                <w:szCs w:val="18"/>
                              </w:rPr>
                            </w:pPr>
                            <w:r>
                              <w:rPr>
                                <w:b/>
                                <w:color w:val="F07E31"/>
                                <w:sz w:val="18"/>
                                <w:szCs w:val="18"/>
                              </w:rPr>
                              <w:t>Exemplu:</w:t>
                            </w:r>
                            <w:r>
                              <w:rPr>
                                <w:color w:val="F07E31"/>
                                <w:sz w:val="18"/>
                                <w:szCs w:val="18"/>
                              </w:rPr>
                              <w:t xml:space="preserve"> </w:t>
                            </w:r>
                            <w:r>
                              <w:rPr>
                                <w:b/>
                                <w:color w:val="F07E31"/>
                                <w:sz w:val="18"/>
                                <w:szCs w:val="18"/>
                              </w:rPr>
                              <w:t>Crearea de legături între cercetători și fermieri</w:t>
                            </w:r>
                            <w:r>
                              <w:rPr>
                                <w:color w:val="F07E31"/>
                                <w:sz w:val="18"/>
                                <w:szCs w:val="18"/>
                              </w:rPr>
                              <w:t xml:space="preserve"> </w:t>
                            </w:r>
                          </w:p>
                          <w:p w:rsidR="008A60B4" w:rsidRPr="00D66182" w:rsidRDefault="008A60B4" w:rsidP="00235D46">
                            <w:pPr>
                              <w:pStyle w:val="HStandard"/>
                              <w:rPr>
                                <w:sz w:val="18"/>
                                <w:szCs w:val="18"/>
                              </w:rPr>
                            </w:pPr>
                            <w:r>
                              <w:rPr>
                                <w:b/>
                                <w:bCs/>
                                <w:sz w:val="18"/>
                                <w:szCs w:val="18"/>
                              </w:rPr>
                              <w:t>Belgia</w:t>
                            </w:r>
                            <w:r>
                              <w:rPr>
                                <w:sz w:val="18"/>
                                <w:szCs w:val="18"/>
                              </w:rPr>
                              <w:t xml:space="preserve"> - un sistem inovator de adăpost pentru porcine contribuie la reducerea emisiilor de amoniac. Crearea de legături între cercetători și fermieri prin intermediul serviciilor de sprijinire a inovării a fost cheia dezvoltării și testării acestor tehnici de reducere a amoniacului prin adăugarea de bacterii specifice în dejecțiile porcine. Acest lucru contribuie, de asemenea, la îndeplinirea obiectivelor de mediu ale PDR. </w:t>
                            </w:r>
                          </w:p>
                          <w:p w:rsidR="008A60B4" w:rsidRPr="00AB16BB" w:rsidRDefault="008A60B4" w:rsidP="00AB16BB">
                            <w:pPr>
                              <w:pStyle w:val="HStandard"/>
                              <w:jc w:val="right"/>
                              <w:rPr>
                                <w:sz w:val="14"/>
                                <w:szCs w:val="14"/>
                                <w:vertAlign w:val="superscript"/>
                              </w:rPr>
                            </w:pPr>
                            <w:r>
                              <w:rPr>
                                <w:i/>
                                <w:sz w:val="14"/>
                                <w:szCs w:val="14"/>
                              </w:rPr>
                              <w:t>Sursă: PEI - Punctul de servicii</w:t>
                            </w:r>
                            <w:r>
                              <w:rPr>
                                <w:i/>
                                <w:sz w:val="14"/>
                                <w:szCs w:val="14"/>
                                <w:vertAlign w:val="superscript"/>
                              </w:rPr>
                              <w:t>55</w:t>
                            </w:r>
                          </w:p>
                          <w:p w:rsidR="008A60B4" w:rsidRPr="007B4A6D" w:rsidRDefault="008A60B4" w:rsidP="00235D46">
                            <w:pPr>
                              <w:pStyle w:val="HStandard"/>
                              <w:rPr>
                                <w:b/>
                                <w:color w:val="F07E31"/>
                                <w:sz w:val="18"/>
                                <w:szCs w:val="18"/>
                              </w:rPr>
                            </w:pPr>
                            <w:r>
                              <w:rPr>
                                <w:b/>
                                <w:color w:val="F07E31"/>
                                <w:sz w:val="18"/>
                                <w:szCs w:val="18"/>
                              </w:rPr>
                              <w:t xml:space="preserve">Exemplu: Servicii de sprijinire a inovării </w:t>
                            </w:r>
                          </w:p>
                          <w:p w:rsidR="008A60B4" w:rsidRPr="007B4A6D" w:rsidRDefault="008A60B4" w:rsidP="00235D46">
                            <w:pPr>
                              <w:pStyle w:val="HStandard"/>
                              <w:spacing w:after="0"/>
                              <w:rPr>
                                <w:b/>
                                <w:sz w:val="18"/>
                                <w:szCs w:val="18"/>
                              </w:rPr>
                            </w:pPr>
                            <w:r>
                              <w:rPr>
                                <w:b/>
                                <w:bCs/>
                                <w:sz w:val="18"/>
                                <w:szCs w:val="18"/>
                              </w:rPr>
                              <w:t>Hessen (DE)</w:t>
                            </w:r>
                            <w:r>
                              <w:rPr>
                                <w:sz w:val="18"/>
                                <w:szCs w:val="18"/>
                              </w:rPr>
                              <w:t xml:space="preserve"> - serviciile de sprijinire a inovării au contribuit la consolidarea capacității de inovare prin:</w:t>
                            </w:r>
                          </w:p>
                          <w:p w:rsidR="008A60B4" w:rsidRPr="00055039" w:rsidRDefault="008A60B4" w:rsidP="00235D46">
                            <w:pPr>
                              <w:pStyle w:val="HStandard"/>
                              <w:numPr>
                                <w:ilvl w:val="0"/>
                                <w:numId w:val="24"/>
                              </w:numPr>
                              <w:ind w:left="567" w:hanging="567"/>
                              <w:rPr>
                                <w:sz w:val="18"/>
                                <w:szCs w:val="18"/>
                              </w:rPr>
                            </w:pPr>
                            <w:r>
                              <w:rPr>
                                <w:sz w:val="18"/>
                                <w:szCs w:val="18"/>
                              </w:rPr>
                              <w:t>sprijinirea punerii în aplicare a M16,</w:t>
                            </w:r>
                          </w:p>
                          <w:p w:rsidR="008A60B4" w:rsidRPr="00D66182" w:rsidRDefault="008A60B4" w:rsidP="00235D46">
                            <w:pPr>
                              <w:pStyle w:val="HStandard"/>
                              <w:numPr>
                                <w:ilvl w:val="0"/>
                                <w:numId w:val="24"/>
                              </w:numPr>
                              <w:ind w:left="567" w:hanging="567"/>
                              <w:rPr>
                                <w:sz w:val="18"/>
                                <w:szCs w:val="18"/>
                              </w:rPr>
                            </w:pPr>
                            <w:r>
                              <w:rPr>
                                <w:sz w:val="18"/>
                                <w:szCs w:val="18"/>
                              </w:rPr>
                              <w:t>asigurarea informării și publicității în regiune,</w:t>
                            </w:r>
                          </w:p>
                          <w:p w:rsidR="008A60B4" w:rsidRPr="000E1D4B" w:rsidRDefault="008A60B4" w:rsidP="00235D46">
                            <w:pPr>
                              <w:pStyle w:val="HStandard"/>
                              <w:numPr>
                                <w:ilvl w:val="0"/>
                                <w:numId w:val="24"/>
                              </w:numPr>
                              <w:ind w:left="567" w:hanging="567"/>
                              <w:rPr>
                                <w:sz w:val="18"/>
                                <w:szCs w:val="18"/>
                              </w:rPr>
                            </w:pPr>
                            <w:r>
                              <w:rPr>
                                <w:sz w:val="18"/>
                                <w:szCs w:val="18"/>
                              </w:rPr>
                              <w:t>colaborarea în rețea între activitățile de cooperare din Hessen, în Germania,</w:t>
                            </w:r>
                          </w:p>
                          <w:p w:rsidR="008A60B4" w:rsidRPr="000E1D4B" w:rsidRDefault="008A60B4" w:rsidP="00235D46">
                            <w:pPr>
                              <w:pStyle w:val="HStandard"/>
                              <w:numPr>
                                <w:ilvl w:val="0"/>
                                <w:numId w:val="24"/>
                              </w:numPr>
                              <w:ind w:left="567" w:hanging="567"/>
                              <w:rPr>
                                <w:sz w:val="18"/>
                                <w:szCs w:val="18"/>
                              </w:rPr>
                            </w:pPr>
                            <w:r>
                              <w:rPr>
                                <w:sz w:val="18"/>
                                <w:szCs w:val="18"/>
                              </w:rPr>
                              <w:t>sprijinirea activităților de cooperare pe parcursul etapei de pregătire și de implementare.</w:t>
                            </w:r>
                          </w:p>
                          <w:p w:rsidR="008A60B4" w:rsidRPr="00AB16BB" w:rsidRDefault="008A60B4" w:rsidP="00AB16BB">
                            <w:pPr>
                              <w:pStyle w:val="HSource"/>
                              <w:spacing w:before="0" w:after="0"/>
                              <w:ind w:right="11"/>
                              <w:jc w:val="right"/>
                              <w:rPr>
                                <w:rFonts w:eastAsia="Calibri"/>
                                <w:sz w:val="14"/>
                                <w:szCs w:val="14"/>
                              </w:rPr>
                            </w:pPr>
                            <w:r>
                              <w:rPr>
                                <w:sz w:val="14"/>
                                <w:szCs w:val="14"/>
                              </w:rPr>
                              <w:t xml:space="preserve">Sursă: REDR (2016). </w:t>
                            </w:r>
                          </w:p>
                          <w:p w:rsidR="008A60B4" w:rsidRPr="00AB16BB" w:rsidRDefault="008A60B4" w:rsidP="00AB16BB">
                            <w:pPr>
                              <w:pStyle w:val="HSource"/>
                              <w:spacing w:before="0" w:after="0"/>
                              <w:ind w:right="11"/>
                              <w:jc w:val="right"/>
                              <w:rPr>
                                <w:sz w:val="14"/>
                                <w:szCs w:val="14"/>
                              </w:rPr>
                            </w:pPr>
                            <w:r>
                              <w:rPr>
                                <w:sz w:val="14"/>
                                <w:szCs w:val="14"/>
                              </w:rPr>
                              <w:t>Atelier privind măsura M16 - Cooperare</w:t>
                            </w:r>
                            <w:r>
                              <w:rPr>
                                <w:sz w:val="14"/>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DC07C" id="Rectangle: Diagonal Corners Rounded 24" o:spid="_x0000_s1046" style="position:absolute;left:0;text-align:left;margin-left:8.15pt;margin-top:59.05pt;width:453.8pt;height:520.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616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" adj="-11796480,,5400" path="m312484,l5763260,r,l5763260,6303581v,172580,-139904,312484,-312484,312484l,6616065r,l,312484c,139904,139904,,312484,xe" filled="f" strokecolor="#f07e31" strokeweight="2pt">
                <v:stroke joinstyle="miter"/>
                <v:formulas/>
                <v:path arrowok="t" o:connecttype="custom" o:connectlocs="312484,0;5763260,0;5763260,0;5763260,6303581;5450776,6616065;0,6616065;0,6616065;0,312484;312484,0" o:connectangles="0,0,0,0,0,0,0,0,0" textboxrect="0,0,5763260,6616065"/>
                <v:textbox>
                  <w:txbxContent>
                    <w:p w:rsidR="008A60B4" w:rsidRPr="007B4A6D" w:rsidRDefault="008A60B4" w:rsidP="00E05D08">
                      <w:pPr>
                        <w:pStyle w:val="HStandard"/>
                        <w:ind w:left="567" w:hanging="567"/>
                        <w:rPr>
                          <w:b/>
                          <w:color w:val="648659"/>
                          <w:sz w:val="18"/>
                          <w:szCs w:val="18"/>
                        </w:rPr>
                      </w:pPr>
                      <w:r>
                        <w:rPr>
                          <w:noProof/>
                          <w:sz w:val="18"/>
                          <w:szCs w:val="18"/>
                          <w:lang w:val="en-GB" w:eastAsia="en-GB"/>
                        </w:rPr>
                        <w:drawing>
                          <wp:inline distT="0" distB="0" distL="0" distR="0" wp14:anchorId="5DCFD6CB" wp14:editId="096FFF18">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Exemplu: Măsuri de cooperare utilizate pentru o gestionare mai bună a mediului</w:t>
                      </w:r>
                    </w:p>
                    <w:p w:rsidR="008A60B4" w:rsidRPr="007B4A6D" w:rsidRDefault="008A60B4" w:rsidP="00E05D08">
                      <w:pPr>
                        <w:pStyle w:val="HStandard"/>
                        <w:rPr>
                          <w:sz w:val="18"/>
                          <w:szCs w:val="18"/>
                        </w:rPr>
                      </w:pPr>
                      <w:r>
                        <w:rPr>
                          <w:b/>
                          <w:bCs/>
                          <w:sz w:val="18"/>
                          <w:szCs w:val="18"/>
                        </w:rPr>
                        <w:t>Finlanda</w:t>
                      </w:r>
                      <w:r>
                        <w:rPr>
                          <w:sz w:val="18"/>
                          <w:szCs w:val="18"/>
                        </w:rPr>
                        <w:t xml:space="preserve"> - M16 completează alte măsuri PDR pentru îndeplinirea obiectivelor priorităților P4 și P5:</w:t>
                      </w:r>
                    </w:p>
                    <w:p w:rsidR="008A60B4" w:rsidRPr="00055039" w:rsidRDefault="008A60B4" w:rsidP="008C0B17">
                      <w:pPr>
                        <w:pStyle w:val="HStandard"/>
                        <w:numPr>
                          <w:ilvl w:val="0"/>
                          <w:numId w:val="24"/>
                        </w:numPr>
                        <w:ind w:left="567" w:hanging="567"/>
                        <w:rPr>
                          <w:sz w:val="18"/>
                          <w:szCs w:val="18"/>
                        </w:rPr>
                      </w:pPr>
                      <w:r>
                        <w:rPr>
                          <w:sz w:val="18"/>
                          <w:szCs w:val="18"/>
                        </w:rPr>
                        <w:t>58 % din M16, precum și părți din M1 și M2 sunt utilizate pentru promovarea eficienței energetice;</w:t>
                      </w:r>
                    </w:p>
                    <w:p w:rsidR="008A60B4" w:rsidRPr="00D66182" w:rsidRDefault="008A60B4" w:rsidP="008C0B17">
                      <w:pPr>
                        <w:pStyle w:val="HStandard"/>
                        <w:numPr>
                          <w:ilvl w:val="0"/>
                          <w:numId w:val="24"/>
                        </w:numPr>
                        <w:ind w:left="567" w:hanging="567"/>
                        <w:rPr>
                          <w:sz w:val="18"/>
                          <w:szCs w:val="18"/>
                        </w:rPr>
                      </w:pPr>
                      <w:r>
                        <w:rPr>
                          <w:sz w:val="18"/>
                          <w:szCs w:val="18"/>
                        </w:rPr>
                        <w:t>49 % din M16, precum și părți din M1 și M2 sunt utilizate pentru sechestrarea și conservarea carbonului;</w:t>
                      </w:r>
                    </w:p>
                    <w:p w:rsidR="008A60B4" w:rsidRPr="000E1D4B" w:rsidRDefault="008A60B4" w:rsidP="008C0B17">
                      <w:pPr>
                        <w:pStyle w:val="HStandard"/>
                        <w:numPr>
                          <w:ilvl w:val="0"/>
                          <w:numId w:val="24"/>
                        </w:numPr>
                        <w:ind w:left="567" w:hanging="567"/>
                        <w:rPr>
                          <w:sz w:val="18"/>
                          <w:szCs w:val="18"/>
                        </w:rPr>
                      </w:pPr>
                      <w:r>
                        <w:rPr>
                          <w:sz w:val="18"/>
                          <w:szCs w:val="18"/>
                        </w:rPr>
                        <w:t>10 % din M16, 84 % din M4, precum și părți din M1 și M2 sunt utilizate pentru sursele regenerabile și gestionarea deșeurilor;</w:t>
                      </w:r>
                    </w:p>
                    <w:p w:rsidR="008A60B4" w:rsidRPr="000E1D4B" w:rsidRDefault="008A60B4" w:rsidP="008C0B17">
                      <w:pPr>
                        <w:pStyle w:val="HStandard"/>
                        <w:numPr>
                          <w:ilvl w:val="0"/>
                          <w:numId w:val="24"/>
                        </w:numPr>
                        <w:ind w:left="567" w:hanging="567"/>
                        <w:rPr>
                          <w:sz w:val="18"/>
                          <w:szCs w:val="18"/>
                        </w:rPr>
                      </w:pPr>
                      <w:r>
                        <w:rPr>
                          <w:sz w:val="18"/>
                          <w:szCs w:val="18"/>
                        </w:rPr>
                        <w:t>5,5 % din M16, 89 % din M4, precum și părți din M1 și M2 sunt utilizate pentru a reduce emisiile de gaze cu efect de seră și de amoniac.</w:t>
                      </w:r>
                    </w:p>
                    <w:p w:rsidR="008A60B4" w:rsidRPr="000E1D4B" w:rsidRDefault="008A60B4" w:rsidP="00E05D08">
                      <w:pPr>
                        <w:pStyle w:val="HStandard"/>
                        <w:rPr>
                          <w:sz w:val="18"/>
                          <w:szCs w:val="18"/>
                        </w:rPr>
                      </w:pPr>
                      <w:r>
                        <w:rPr>
                          <w:sz w:val="18"/>
                          <w:szCs w:val="18"/>
                        </w:rPr>
                        <w:t>Submăsurile de cooperare (de exemplu, M16.2 - Sprijin pentru proiectele-pilot, M16.5 - Sprijin pentru acțiuni comune vizând atenuarea schimbărilor climatice și adaptarea la acestea și pentru abordări comune pentru proiectele și practicile de mediu) au impacturi primare asupra ariei de intervenție 4A-C și asupra ariei de intervenție 5A-E.</w:t>
                      </w:r>
                    </w:p>
                    <w:p w:rsidR="008A60B4" w:rsidRPr="00AB16BB" w:rsidRDefault="008A60B4" w:rsidP="00AB16BB">
                      <w:pPr>
                        <w:pStyle w:val="HSource"/>
                        <w:ind w:right="8"/>
                        <w:jc w:val="right"/>
                        <w:rPr>
                          <w:rFonts w:eastAsia="Calibri"/>
                          <w:sz w:val="14"/>
                          <w:szCs w:val="14"/>
                        </w:rPr>
                      </w:pPr>
                      <w:r>
                        <w:rPr>
                          <w:sz w:val="14"/>
                          <w:szCs w:val="14"/>
                        </w:rPr>
                        <w:t>Sursă: REDR (2016). Atelier privind măsura M16 - Cooperare</w:t>
                      </w:r>
                      <w:r>
                        <w:rPr>
                          <w:sz w:val="14"/>
                          <w:szCs w:val="14"/>
                          <w:vertAlign w:val="superscript"/>
                        </w:rPr>
                        <w:t>54</w:t>
                      </w:r>
                      <w:r>
                        <w:rPr>
                          <w:sz w:val="14"/>
                          <w:szCs w:val="14"/>
                        </w:rPr>
                        <w:t>.</w:t>
                      </w:r>
                    </w:p>
                    <w:p w:rsidR="008A60B4" w:rsidRPr="007B4A6D" w:rsidRDefault="008A60B4" w:rsidP="00235D46">
                      <w:pPr>
                        <w:pStyle w:val="HStandard"/>
                        <w:spacing w:after="0"/>
                        <w:ind w:left="567" w:hanging="567"/>
                        <w:rPr>
                          <w:b/>
                          <w:sz w:val="18"/>
                          <w:szCs w:val="18"/>
                        </w:rPr>
                      </w:pPr>
                      <w:r>
                        <w:rPr>
                          <w:b/>
                          <w:color w:val="F07E31"/>
                          <w:sz w:val="18"/>
                          <w:szCs w:val="18"/>
                        </w:rPr>
                        <w:t>Exemplu:</w:t>
                      </w:r>
                      <w:r>
                        <w:rPr>
                          <w:color w:val="F07E31"/>
                          <w:sz w:val="18"/>
                          <w:szCs w:val="18"/>
                        </w:rPr>
                        <w:t xml:space="preserve"> </w:t>
                      </w:r>
                      <w:r>
                        <w:rPr>
                          <w:b/>
                          <w:color w:val="F07E31"/>
                          <w:sz w:val="18"/>
                          <w:szCs w:val="18"/>
                        </w:rPr>
                        <w:t>Crearea de legături între cercetători și fermieri</w:t>
                      </w:r>
                      <w:r>
                        <w:rPr>
                          <w:color w:val="F07E31"/>
                          <w:sz w:val="18"/>
                          <w:szCs w:val="18"/>
                        </w:rPr>
                        <w:t xml:space="preserve"> </w:t>
                      </w:r>
                    </w:p>
                    <w:p w:rsidR="008A60B4" w:rsidRPr="00D66182" w:rsidRDefault="008A60B4" w:rsidP="00235D46">
                      <w:pPr>
                        <w:pStyle w:val="HStandard"/>
                        <w:rPr>
                          <w:sz w:val="18"/>
                          <w:szCs w:val="18"/>
                        </w:rPr>
                      </w:pPr>
                      <w:r>
                        <w:rPr>
                          <w:b/>
                          <w:bCs/>
                          <w:sz w:val="18"/>
                          <w:szCs w:val="18"/>
                        </w:rPr>
                        <w:t>Belgia</w:t>
                      </w:r>
                      <w:r>
                        <w:rPr>
                          <w:sz w:val="18"/>
                          <w:szCs w:val="18"/>
                        </w:rPr>
                        <w:t xml:space="preserve"> - un sistem inovator de adăpost pentru porcine contribuie la reducerea emisiilor de amoniac. Crearea de legături între cercetători și fermieri prin intermediul serviciilor de sprijinire a inovării a fost cheia dezvoltării și testării acestor tehnici de reducere a amoniacului prin adăugarea de bacterii specifice în dejecțiile porcine. Acest lucru contribuie, de asemenea, la îndeplinirea obiectivelor de mediu ale PDR. </w:t>
                      </w:r>
                    </w:p>
                    <w:p w:rsidR="008A60B4" w:rsidRPr="00AB16BB" w:rsidRDefault="008A60B4" w:rsidP="00AB16BB">
                      <w:pPr>
                        <w:pStyle w:val="HStandard"/>
                        <w:jc w:val="right"/>
                        <w:rPr>
                          <w:sz w:val="14"/>
                          <w:szCs w:val="14"/>
                          <w:vertAlign w:val="superscript"/>
                        </w:rPr>
                      </w:pPr>
                      <w:r>
                        <w:rPr>
                          <w:i/>
                          <w:sz w:val="14"/>
                          <w:szCs w:val="14"/>
                        </w:rPr>
                        <w:t>Sursă: PEI - Punctul de servicii</w:t>
                      </w:r>
                      <w:r>
                        <w:rPr>
                          <w:i/>
                          <w:sz w:val="14"/>
                          <w:szCs w:val="14"/>
                          <w:vertAlign w:val="superscript"/>
                        </w:rPr>
                        <w:t>55</w:t>
                      </w:r>
                    </w:p>
                    <w:p w:rsidR="008A60B4" w:rsidRPr="007B4A6D" w:rsidRDefault="008A60B4" w:rsidP="00235D46">
                      <w:pPr>
                        <w:pStyle w:val="HStandard"/>
                        <w:rPr>
                          <w:b/>
                          <w:color w:val="F07E31"/>
                          <w:sz w:val="18"/>
                          <w:szCs w:val="18"/>
                        </w:rPr>
                      </w:pPr>
                      <w:r>
                        <w:rPr>
                          <w:b/>
                          <w:color w:val="F07E31"/>
                          <w:sz w:val="18"/>
                          <w:szCs w:val="18"/>
                        </w:rPr>
                        <w:t xml:space="preserve">Exemplu: Servicii de sprijinire a inovării </w:t>
                      </w:r>
                    </w:p>
                    <w:p w:rsidR="008A60B4" w:rsidRPr="007B4A6D" w:rsidRDefault="008A60B4" w:rsidP="00235D46">
                      <w:pPr>
                        <w:pStyle w:val="HStandard"/>
                        <w:spacing w:after="0"/>
                        <w:rPr>
                          <w:b/>
                          <w:sz w:val="18"/>
                          <w:szCs w:val="18"/>
                        </w:rPr>
                      </w:pPr>
                      <w:r>
                        <w:rPr>
                          <w:b/>
                          <w:bCs/>
                          <w:sz w:val="18"/>
                          <w:szCs w:val="18"/>
                        </w:rPr>
                        <w:t>Hessen (DE)</w:t>
                      </w:r>
                      <w:r>
                        <w:rPr>
                          <w:sz w:val="18"/>
                          <w:szCs w:val="18"/>
                        </w:rPr>
                        <w:t xml:space="preserve"> - serviciile de sprijinire a inovării au contribuit la consolidarea capacității de inovare prin:</w:t>
                      </w:r>
                    </w:p>
                    <w:p w:rsidR="008A60B4" w:rsidRPr="00055039" w:rsidRDefault="008A60B4" w:rsidP="00235D46">
                      <w:pPr>
                        <w:pStyle w:val="HStandard"/>
                        <w:numPr>
                          <w:ilvl w:val="0"/>
                          <w:numId w:val="24"/>
                        </w:numPr>
                        <w:ind w:left="567" w:hanging="567"/>
                        <w:rPr>
                          <w:sz w:val="18"/>
                          <w:szCs w:val="18"/>
                        </w:rPr>
                      </w:pPr>
                      <w:r>
                        <w:rPr>
                          <w:sz w:val="18"/>
                          <w:szCs w:val="18"/>
                        </w:rPr>
                        <w:t>sprijinirea punerii în aplicare a M16,</w:t>
                      </w:r>
                    </w:p>
                    <w:p w:rsidR="008A60B4" w:rsidRPr="00D66182" w:rsidRDefault="008A60B4" w:rsidP="00235D46">
                      <w:pPr>
                        <w:pStyle w:val="HStandard"/>
                        <w:numPr>
                          <w:ilvl w:val="0"/>
                          <w:numId w:val="24"/>
                        </w:numPr>
                        <w:ind w:left="567" w:hanging="567"/>
                        <w:rPr>
                          <w:sz w:val="18"/>
                          <w:szCs w:val="18"/>
                        </w:rPr>
                      </w:pPr>
                      <w:r>
                        <w:rPr>
                          <w:sz w:val="18"/>
                          <w:szCs w:val="18"/>
                        </w:rPr>
                        <w:t>asigurarea informării și publicității în regiune,</w:t>
                      </w:r>
                    </w:p>
                    <w:p w:rsidR="008A60B4" w:rsidRPr="000E1D4B" w:rsidRDefault="008A60B4" w:rsidP="00235D46">
                      <w:pPr>
                        <w:pStyle w:val="HStandard"/>
                        <w:numPr>
                          <w:ilvl w:val="0"/>
                          <w:numId w:val="24"/>
                        </w:numPr>
                        <w:ind w:left="567" w:hanging="567"/>
                        <w:rPr>
                          <w:sz w:val="18"/>
                          <w:szCs w:val="18"/>
                        </w:rPr>
                      </w:pPr>
                      <w:r>
                        <w:rPr>
                          <w:sz w:val="18"/>
                          <w:szCs w:val="18"/>
                        </w:rPr>
                        <w:t>colaborarea în rețea între activitățile de cooperare din Hessen, în Germania,</w:t>
                      </w:r>
                    </w:p>
                    <w:p w:rsidR="008A60B4" w:rsidRPr="000E1D4B" w:rsidRDefault="008A60B4" w:rsidP="00235D46">
                      <w:pPr>
                        <w:pStyle w:val="HStandard"/>
                        <w:numPr>
                          <w:ilvl w:val="0"/>
                          <w:numId w:val="24"/>
                        </w:numPr>
                        <w:ind w:left="567" w:hanging="567"/>
                        <w:rPr>
                          <w:sz w:val="18"/>
                          <w:szCs w:val="18"/>
                        </w:rPr>
                      </w:pPr>
                      <w:r>
                        <w:rPr>
                          <w:sz w:val="18"/>
                          <w:szCs w:val="18"/>
                        </w:rPr>
                        <w:t>sprijinirea activităților de cooperare pe parcursul etapei de pregătire și de implementare.</w:t>
                      </w:r>
                    </w:p>
                    <w:p w:rsidR="008A60B4" w:rsidRPr="00AB16BB" w:rsidRDefault="008A60B4" w:rsidP="00AB16BB">
                      <w:pPr>
                        <w:pStyle w:val="HSource"/>
                        <w:spacing w:before="0" w:after="0"/>
                        <w:ind w:right="11"/>
                        <w:jc w:val="right"/>
                        <w:rPr>
                          <w:rFonts w:eastAsia="Calibri"/>
                          <w:sz w:val="14"/>
                          <w:szCs w:val="14"/>
                        </w:rPr>
                      </w:pPr>
                      <w:r>
                        <w:rPr>
                          <w:sz w:val="14"/>
                          <w:szCs w:val="14"/>
                        </w:rPr>
                        <w:t xml:space="preserve">Sursă: REDR (2016). </w:t>
                      </w:r>
                    </w:p>
                    <w:p w:rsidR="008A60B4" w:rsidRPr="00AB16BB" w:rsidRDefault="008A60B4" w:rsidP="00AB16BB">
                      <w:pPr>
                        <w:pStyle w:val="HSource"/>
                        <w:spacing w:before="0" w:after="0"/>
                        <w:ind w:right="11"/>
                        <w:jc w:val="right"/>
                        <w:rPr>
                          <w:sz w:val="14"/>
                          <w:szCs w:val="14"/>
                        </w:rPr>
                      </w:pPr>
                      <w:r>
                        <w:rPr>
                          <w:sz w:val="14"/>
                          <w:szCs w:val="14"/>
                        </w:rPr>
                        <w:t>Atelier privind măsura M16 - Cooperare</w:t>
                      </w:r>
                      <w:r>
                        <w:rPr>
                          <w:sz w:val="14"/>
                          <w:szCs w:val="14"/>
                          <w:vertAlign w:val="superscript"/>
                        </w:rPr>
                        <w:t>56</w:t>
                      </w:r>
                      <w:r>
                        <w:rPr>
                          <w:sz w:val="14"/>
                          <w:szCs w:val="14"/>
                        </w:rPr>
                        <w:t xml:space="preserve">. </w:t>
                      </w:r>
                    </w:p>
                  </w:txbxContent>
                </v:textbox>
                <w10:wrap type="square" anchory="page"/>
              </v:shape>
            </w:pict>
          </mc:Fallback>
        </mc:AlternateContent>
      </w:r>
      <w:r>
        <w:rPr>
          <w:rStyle w:val="FootnoteReference"/>
          <w:color w:val="FFFFFF" w:themeColor="background1"/>
        </w:rPr>
        <w:footnoteReference w:id="54"/>
      </w:r>
      <w:r>
        <w:rPr>
          <w:color w:val="FFFFFF" w:themeColor="background1"/>
        </w:rPr>
        <w:t xml:space="preserve"> </w:t>
      </w:r>
      <w:r>
        <w:rPr>
          <w:rStyle w:val="FootnoteReference"/>
          <w:color w:val="FFFFFF" w:themeColor="background1"/>
        </w:rPr>
        <w:footnoteReference w:id="55"/>
      </w:r>
      <w:r>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t xml:space="preserve">Provocări specifice </w:t>
      </w:r>
    </w:p>
    <w:p w:rsidR="00A45935" w:rsidRPr="00183E9B" w:rsidRDefault="00A45935" w:rsidP="00AB16BB">
      <w:pPr>
        <w:pStyle w:val="Hlistbullet"/>
      </w:pPr>
      <w:r>
        <w:rPr>
          <w:b/>
          <w:bCs/>
          <w:shd w:val="clear" w:color="auto" w:fill="FFFFFF"/>
        </w:rPr>
        <w:t>Elaborarea unor elemente de evaluare suplimentare și specifice programului</w:t>
      </w:r>
      <w:r>
        <w:rPr>
          <w:shd w:val="clear" w:color="auto" w:fill="FFFFFF"/>
        </w:rPr>
        <w:t xml:space="preserve">: </w:t>
      </w:r>
      <w:r>
        <w:rPr>
          <w:color w:val="545454"/>
          <w:shd w:val="clear" w:color="auto" w:fill="FFFFFF"/>
        </w:rPr>
        <w:t xml:space="preserve">IEC nr. </w:t>
      </w:r>
      <w:r w:rsidRPr="00FA63BD">
        <w:rPr>
          <w:color w:val="545454"/>
          <w:shd w:val="clear" w:color="auto" w:fill="FFFFFF"/>
        </w:rPr>
        <w:t>2</w:t>
      </w:r>
      <w:r>
        <w:rPr>
          <w:color w:val="545454"/>
          <w:shd w:val="clear" w:color="auto" w:fill="FFFFFF"/>
        </w:rPr>
        <w:t xml:space="preserve"> este legată de un singur indicator-țintă comun (T</w:t>
      </w:r>
      <w:r w:rsidRPr="00FA63BD">
        <w:rPr>
          <w:color w:val="545454"/>
          <w:shd w:val="clear" w:color="auto" w:fill="FFFFFF"/>
        </w:rPr>
        <w:t>2</w:t>
      </w:r>
      <w:r>
        <w:rPr>
          <w:color w:val="545454"/>
          <w:shd w:val="clear" w:color="auto" w:fill="FFFFFF"/>
        </w:rPr>
        <w:t xml:space="preserve">: </w:t>
      </w:r>
      <w:r>
        <w:t xml:space="preserve">Numărul total al operațiunilor de cooperare sprijinite în cadrul măsurii de cooperare), </w:t>
      </w:r>
      <w:r>
        <w:rPr>
          <w:color w:val="545454"/>
          <w:shd w:val="clear" w:color="auto" w:fill="FFFFFF"/>
        </w:rPr>
        <w:t>care ar putea să nu fie suficient pentru a răspunde la IEC.</w:t>
      </w:r>
    </w:p>
    <w:p w:rsidR="00A45935" w:rsidRPr="00183E9B" w:rsidRDefault="00A45935" w:rsidP="00AB16BB">
      <w:pPr>
        <w:pStyle w:val="Hlistbullet"/>
        <w:rPr>
          <w:rFonts w:eastAsia="Calibri"/>
          <w:shd w:val="clear" w:color="auto" w:fill="FFFFFF"/>
        </w:rPr>
      </w:pPr>
      <w:r>
        <w:rPr>
          <w:b/>
          <w:bCs/>
          <w:shd w:val="clear" w:color="auto" w:fill="FFFFFF"/>
        </w:rPr>
        <w:lastRenderedPageBreak/>
        <w:t>Atribuirea modificărilor observate</w:t>
      </w:r>
      <w:r>
        <w:rPr>
          <w:shd w:val="clear" w:color="auto" w:fill="FFFFFF"/>
        </w:rPr>
        <w:t xml:space="preserve"> către legăturile dintre agricultură, silvicultură și cercetare și inovare. Acestea sunt cele legate de gestionarea mediului și de performanța de mediu, de măsura de cooperare M</w:t>
      </w:r>
      <w:r w:rsidRPr="00FA63BD">
        <w:rPr>
          <w:shd w:val="clear" w:color="auto" w:fill="FFFFFF"/>
        </w:rPr>
        <w:t>16</w:t>
      </w:r>
      <w:r>
        <w:rPr>
          <w:shd w:val="clear" w:color="auto" w:fill="FFFFFF"/>
        </w:rPr>
        <w:t xml:space="preserve"> și de contribuția acesteia la îndeplinirea obiectivelor PDR. </w:t>
      </w:r>
    </w:p>
    <w:p w:rsidR="00A45935" w:rsidRPr="00183E9B" w:rsidRDefault="00A45935" w:rsidP="00AB16BB">
      <w:pPr>
        <w:pStyle w:val="Hlistbullet"/>
        <w:rPr>
          <w:rFonts w:eastAsia="Calibri"/>
          <w:shd w:val="clear" w:color="auto" w:fill="FFFFFF"/>
        </w:rPr>
      </w:pPr>
      <w:r>
        <w:rPr>
          <w:b/>
          <w:bCs/>
          <w:shd w:val="clear" w:color="auto" w:fill="FFFFFF"/>
        </w:rPr>
        <w:t xml:space="preserve">Identificarea contribuțiilor măsurilor programate în cadrul altor arii de intervenție decât </w:t>
      </w:r>
      <w:r w:rsidRPr="00FA63BD">
        <w:rPr>
          <w:b/>
          <w:bCs/>
          <w:shd w:val="clear" w:color="auto" w:fill="FFFFFF"/>
        </w:rPr>
        <w:t>1</w:t>
      </w:r>
      <w:r>
        <w:rPr>
          <w:b/>
          <w:bCs/>
          <w:shd w:val="clear" w:color="auto" w:fill="FFFFFF"/>
        </w:rPr>
        <w:t>B</w:t>
      </w:r>
      <w:r>
        <w:rPr>
          <w:shd w:val="clear" w:color="auto" w:fill="FFFFFF"/>
        </w:rPr>
        <w:t xml:space="preserve"> (inclusiv submăsurile din M</w:t>
      </w:r>
      <w:r w:rsidRPr="00FA63BD">
        <w:rPr>
          <w:shd w:val="clear" w:color="auto" w:fill="FFFFFF"/>
        </w:rPr>
        <w:t>16</w:t>
      </w:r>
      <w:r>
        <w:rPr>
          <w:shd w:val="clear" w:color="auto" w:fill="FFFFFF"/>
        </w:rPr>
        <w:t xml:space="preserve">), destinate consolidării legăturilor dintre agricultură, silvicultură, cercetare și inovare, în special cele legate de gestionarea mediului și performanța de mediu.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bCs/>
          <w:color w:val="57825E"/>
          <w:szCs w:val="20"/>
          <w:shd w:val="clear" w:color="auto" w:fill="FFFFFF"/>
        </w:rPr>
        <w:t xml:space="preserve">Abordare sugerată pentru a răspunde la IEC nr. </w:t>
      </w:r>
      <w:r w:rsidRPr="00FA63BD">
        <w:rPr>
          <w:b/>
          <w:bCs/>
          <w:color w:val="57825E"/>
          <w:szCs w:val="20"/>
          <w:shd w:val="clear" w:color="auto" w:fill="FFFFFF"/>
        </w:rPr>
        <w:t>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Logica de intervenție </w:t>
      </w:r>
    </w:p>
    <w:p w:rsidR="00A45935" w:rsidRPr="00E05D08" w:rsidRDefault="00A45935" w:rsidP="00E05D08">
      <w:pPr>
        <w:spacing w:after="120" w:line="280" w:lineRule="atLeast"/>
        <w:mirrorIndents/>
        <w:rPr>
          <w:rFonts w:eastAsia="Times New Roman" w:cs="Times New Roman"/>
          <w:szCs w:val="20"/>
        </w:rPr>
      </w:pPr>
      <w:r>
        <w:t xml:space="preserve">În exemplul de mai jos, logica de intervenție legată de IEC nr. </w:t>
      </w:r>
      <w:r w:rsidRPr="00FA63BD">
        <w:t>2</w:t>
      </w:r>
      <w:r>
        <w:t xml:space="preserve"> este formată din submăsuri ale M</w:t>
      </w:r>
      <w:r w:rsidRPr="00FA63BD">
        <w:t>16</w:t>
      </w:r>
      <w:r>
        <w:t xml:space="preserve">, astfel cum sunt programate în cadrul ariei de intervenție </w:t>
      </w:r>
      <w:r w:rsidRPr="00FA63BD">
        <w:t>1</w:t>
      </w:r>
      <w:r>
        <w:t xml:space="preserve">B sau în cadrul altor arii de intervenție care contribuie la îndeplinirea obiectivelor ariei de intervenție </w:t>
      </w:r>
      <w:r w:rsidRPr="00FA63BD">
        <w:t>1</w:t>
      </w:r>
      <w:r>
        <w:t xml:space="preserve">B. </w:t>
      </w:r>
    </w:p>
    <w:p w:rsidR="00A45935" w:rsidRPr="00E05D08" w:rsidRDefault="00A45935" w:rsidP="00E05D08">
      <w:pPr>
        <w:spacing w:after="120" w:line="280" w:lineRule="atLeast"/>
        <w:mirrorIndents/>
        <w:rPr>
          <w:rFonts w:eastAsia="Times New Roman" w:cs="Times New Roman"/>
          <w:szCs w:val="20"/>
        </w:rPr>
      </w:pPr>
      <w:r>
        <w:t>Un posibil punct de plecare pentru revizuirea logicii de intervenție este examinarea potențialului de inovare al submăsurilor din cadrul M</w:t>
      </w:r>
      <w:r w:rsidRPr="00FA63BD">
        <w:t>16</w:t>
      </w:r>
      <w:r>
        <w:t xml:space="preserve"> pentru încurajarea inovării prin cele trei modalități. </w:t>
      </w:r>
    </w:p>
    <w:p w:rsidR="00A45935" w:rsidRPr="00BC5B1D" w:rsidRDefault="00BE1F31" w:rsidP="00547012">
      <w:pPr>
        <w:pStyle w:val="HHeadingfigures"/>
      </w:pPr>
      <w:bookmarkStart w:id="113" w:name="_Toc508889206"/>
      <w:r>
        <w:t>Exemplu de potențial de inovare pentru fiecare submăsură din cadrul M</w:t>
      </w:r>
      <w:r w:rsidRPr="00FA63BD">
        <w:t>16</w:t>
      </w:r>
      <w:bookmarkEnd w:id="113"/>
    </w:p>
    <w:p w:rsidR="00A45935" w:rsidRPr="00E05D08" w:rsidRDefault="006F3795" w:rsidP="002C2C15">
      <w:pPr>
        <w:spacing w:after="120" w:line="280" w:lineRule="atLeast"/>
        <w:mirrorIndents/>
        <w:jc w:val="center"/>
        <w:rPr>
          <w:rFonts w:eastAsia="Times New Roman" w:cs="Times New Roman"/>
          <w:szCs w:val="20"/>
          <w:lang w:eastAsia="de-DE"/>
        </w:rPr>
      </w:pPr>
      <w:r>
        <w:rPr>
          <w:noProof/>
          <w:lang w:val="en-GB" w:eastAsia="en-GB"/>
        </w:rPr>
        <w:drawing>
          <wp:inline distT="0" distB="0" distL="0" distR="0" wp14:anchorId="256861FB" wp14:editId="3083AD21">
            <wp:extent cx="5731510" cy="3392839"/>
            <wp:effectExtent l="0" t="0" r="254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3392839"/>
                    </a:xfrm>
                    <a:prstGeom prst="rect">
                      <a:avLst/>
                    </a:prstGeom>
                  </pic:spPr>
                </pic:pic>
              </a:graphicData>
            </a:graphic>
          </wp:inline>
        </w:drawing>
      </w: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 xml:space="preserve">Sursă: Serviciul european de asistență pentru evaluare în domeniul dezvoltării rurale, </w:t>
      </w:r>
      <w:r w:rsidRPr="00FA63BD">
        <w:rPr>
          <w:i/>
          <w:sz w:val="16"/>
          <w:szCs w:val="20"/>
        </w:rPr>
        <w:t>2017</w:t>
      </w:r>
    </w:p>
    <w:p w:rsidR="00A45935" w:rsidRPr="00E05D08" w:rsidRDefault="00647766" w:rsidP="00E05D08">
      <w:pPr>
        <w:spacing w:after="120" w:line="280" w:lineRule="atLeast"/>
        <w:mirrorIndents/>
        <w:rPr>
          <w:rFonts w:eastAsia="Times New Roman" w:cs="Times New Roman"/>
          <w:szCs w:val="20"/>
        </w:rPr>
      </w:pPr>
      <w:r>
        <w:t>În plus, toate submăsurile M</w:t>
      </w:r>
      <w:r w:rsidRPr="00FA63BD">
        <w:t>16</w:t>
      </w:r>
      <w:r>
        <w:t xml:space="preserve"> programate în cadrul altor arii de intervenție decât aria de intervenție </w:t>
      </w:r>
      <w:r w:rsidRPr="00FA63BD">
        <w:t>1</w:t>
      </w:r>
      <w:r>
        <w:t xml:space="preserve">B ar trebui incluse în evaluarea realizării aspectelor legate de inovare ale IEC nr. </w:t>
      </w:r>
      <w:r w:rsidRPr="00FA63BD">
        <w:t>2</w:t>
      </w:r>
      <w:r>
        <w:t>. De exemplu, dacă M</w:t>
      </w:r>
      <w:r w:rsidRPr="00FA63BD">
        <w:t>16</w:t>
      </w:r>
      <w:r>
        <w:t>.</w:t>
      </w:r>
      <w:r w:rsidRPr="00FA63BD">
        <w:t>1</w:t>
      </w:r>
      <w:r>
        <w:t xml:space="preserve"> este programată în cadrul ariei de intervenție </w:t>
      </w:r>
      <w:r w:rsidRPr="00FA63BD">
        <w:t>2</w:t>
      </w:r>
      <w:r>
        <w:t xml:space="preserve">A, contribuțiile la crearea legăturilor dintre fermieri, cercetători și consilierii din domeniul inovării pot fi luate în considerare în evaluarea IEC nr. </w:t>
      </w:r>
      <w:r w:rsidRPr="00FA63BD">
        <w:t>2</w:t>
      </w:r>
      <w:r>
        <w:t>.</w:t>
      </w:r>
    </w:p>
    <w:p w:rsidR="00A45935" w:rsidRPr="00E05D08" w:rsidRDefault="006F3795" w:rsidP="008C0B17">
      <w:pPr>
        <w:numPr>
          <w:ilvl w:val="0"/>
          <w:numId w:val="56"/>
        </w:numPr>
        <w:spacing w:before="120" w:after="120" w:line="280" w:lineRule="atLeast"/>
        <w:ind w:left="567" w:hanging="567"/>
        <w:mirrorIndents/>
        <w:rPr>
          <w:rFonts w:eastAsia="Times New Roman" w:cs="Times New Roman"/>
          <w:b/>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724800" behindDoc="0" locked="0" layoutInCell="1" allowOverlap="1" wp14:anchorId="78C2822F" wp14:editId="59093025">
                <wp:simplePos x="0" y="0"/>
                <wp:positionH relativeFrom="column">
                  <wp:posOffset>-80645</wp:posOffset>
                </wp:positionH>
                <wp:positionV relativeFrom="paragraph">
                  <wp:posOffset>-173990</wp:posOffset>
                </wp:positionV>
                <wp:extent cx="5733415" cy="2119630"/>
                <wp:effectExtent l="0" t="0" r="19685" b="1397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2119630"/>
                        </a:xfrm>
                        <a:prstGeom prst="round2DiagRect">
                          <a:avLst>
                            <a:gd name="adj1" fmla="val 11556"/>
                            <a:gd name="adj2" fmla="val 0"/>
                          </a:avLst>
                        </a:prstGeom>
                        <a:noFill/>
                        <a:ln w="25400" cap="flat" cmpd="sng" algn="ctr">
                          <a:solidFill>
                            <a:srgbClr val="F07E31"/>
                          </a:solidFill>
                          <a:prstDash val="solid"/>
                        </a:ln>
                        <a:effectLst/>
                      </wps:spPr>
                      <wps:txbx>
                        <w:txbxContent>
                          <w:p w:rsidR="008A60B4" w:rsidRPr="00A10ACC" w:rsidRDefault="008A60B4" w:rsidP="00E05D08">
                            <w:pPr>
                              <w:pStyle w:val="HStandard"/>
                              <w:rPr>
                                <w:sz w:val="18"/>
                              </w:rPr>
                            </w:pPr>
                            <w:r>
                              <w:rPr>
                                <w:noProof/>
                                <w:lang w:val="en-GB" w:eastAsia="en-GB"/>
                              </w:rPr>
                              <w:drawing>
                                <wp:inline distT="0" distB="0" distL="0" distR="0" wp14:anchorId="6FE7452F" wp14:editId="16561E14">
                                  <wp:extent cx="353060" cy="359410"/>
                                  <wp:effectExtent l="0" t="0" r="8890" b="2540"/>
                                  <wp:docPr id="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Exemplul demonstrează potențialul de inovare al submăsurilor M16 (astfel cum ar putea fi programat în cadrul oricărei arii de intervenție pentru dezvoltare rurală) care contribuie la îndeplinirea obiectivului politic al ariei de intervenție 1B.</w:t>
                            </w:r>
                            <w:r>
                              <w:rPr>
                                <w:sz w:val="18"/>
                              </w:rPr>
                              <w:t xml:space="preserve"> Deși toate cele zece submăsuri ale M16 contribuie la consolidarea legăturilor dintre agricultură, producția alimentară, silvicultură, cercetare și inovare, numai submăsurile 5, 6, 8 și 9 prezintă potențialul de a contribui la consolidarea acestor legături pentru gestionarea mediului și performanța de mediu. În ceea ce privește cele trei modalități de inovare, submăsurile 1, 5, 6, 7 și 8 promovează stimularea ideilor inovatoare (modalitatea 1). Submăsura 1 promovează, de asemenea, consolidarea capacităților și crearea unui mediu favorizant (modalitățile 2 și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822F" id="Rectangle: Diagonal Corners Rounded 83" o:spid="_x0000_s1047" style="position:absolute;left:0;text-align:left;margin-left:-6.35pt;margin-top:-13.7pt;width:451.45pt;height:166.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2119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" adj="-11796480,,5400" path="m244944,l5733415,r,l5733415,1874686v,135279,-109665,244944,-244944,244944l,2119630r,l,244944c,109665,109665,,244944,xe" filled="f" strokecolor="#f07e31" strokeweight="2pt">
                <v:stroke joinstyle="miter"/>
                <v:formulas/>
                <v:path arrowok="t" o:connecttype="custom" o:connectlocs="244944,0;5733415,0;5733415,0;5733415,1874686;5488471,2119630;0,2119630;0,2119630;0,244944;244944,0" o:connectangles="0,0,0,0,0,0,0,0,0" textboxrect="0,0,5733415,2119630"/>
                <v:textbox>
                  <w:txbxContent>
                    <w:p w:rsidR="008A60B4" w:rsidRPr="00A10ACC" w:rsidRDefault="008A60B4" w:rsidP="00E05D08">
                      <w:pPr>
                        <w:pStyle w:val="HStandard"/>
                        <w:rPr>
                          <w:sz w:val="18"/>
                        </w:rPr>
                      </w:pPr>
                      <w:r>
                        <w:rPr>
                          <w:noProof/>
                          <w:lang w:val="en-GB" w:eastAsia="en-GB"/>
                        </w:rPr>
                        <w:drawing>
                          <wp:inline distT="0" distB="0" distL="0" distR="0" wp14:anchorId="6FE7452F" wp14:editId="16561E14">
                            <wp:extent cx="353060" cy="359410"/>
                            <wp:effectExtent l="0" t="0" r="8890" b="2540"/>
                            <wp:docPr id="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Exemplul demonstrează potențialul de inovare al submăsurilor M16 (astfel cum ar putea fi programat în cadrul oricărei arii de intervenție pentru dezvoltare rurală) care contribuie la îndeplinirea obiectivului politic al ariei de intervenție 1B.</w:t>
                      </w:r>
                      <w:r>
                        <w:rPr>
                          <w:sz w:val="18"/>
                        </w:rPr>
                        <w:t xml:space="preserve"> Deși toate cele zece submăsuri ale M16 contribuie la consolidarea legăturilor dintre agricultură, producția alimentară, silvicultură, cercetare și inovare, numai submăsurile 5, 6, 8 și 9 prezintă potențialul de a contribui la consolidarea acestor legături pentru gestionarea mediului și performanța de mediu. În ceea ce privește cele trei modalități de inovare, submăsurile 1, 5, 6, 7 și 8 promovează stimularea ideilor inovatoare (modalitatea 1). Submăsura 1 promovează, de asemenea, consolidarea capacităților și crearea unui mediu favorizant (modalitățile 2 și 3).</w:t>
                      </w:r>
                    </w:p>
                  </w:txbxContent>
                </v:textbox>
                <w10:wrap type="square"/>
              </v:shape>
            </w:pict>
          </mc:Fallback>
        </mc:AlternateContent>
      </w:r>
      <w:r w:rsidR="00A45935">
        <w:rPr>
          <w:b/>
          <w:szCs w:val="20"/>
        </w:rPr>
        <w:t xml:space="preserve">Elemente de evaluare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 xml:space="preserve">Criteriile de apreciere și indicatorii comuni pentru IEC nr. </w:t>
      </w:r>
      <w:r w:rsidRPr="00FA63BD">
        <w:t>2</w:t>
      </w:r>
      <w:r>
        <w:t xml:space="preserve"> rămân la nivelul de realizare al operațiunilor din cadrul măsurii de cooperare. Pentru a se evalua rezultatele acestor măsuri, ar putea fi necesar să se elaboreze criterii de apreciere și indicatori suplimentari. Tabelul de mai jos prezintă criteriile de apreciere, indicatorii și cerințele de date pentru a răspunde la IEC nr. </w:t>
      </w:r>
      <w:r w:rsidRPr="00FA63BD">
        <w:t>2</w:t>
      </w:r>
      <w:r>
        <w:t>.</w:t>
      </w:r>
    </w:p>
    <w:p w:rsidR="00A45935" w:rsidRPr="009A2DAD" w:rsidRDefault="00A45935" w:rsidP="009A2DAD">
      <w:pPr>
        <w:pStyle w:val="HHeadingtables"/>
        <w:rPr>
          <w:color w:val="6F6F6F"/>
          <w:sz w:val="18"/>
          <w:szCs w:val="18"/>
        </w:rPr>
      </w:pPr>
      <w:bookmarkStart w:id="114" w:name="_Toc508889191"/>
      <w:r>
        <w:rPr>
          <w:color w:val="6F6F6F"/>
          <w:sz w:val="18"/>
          <w:szCs w:val="18"/>
        </w:rPr>
        <w:lastRenderedPageBreak/>
        <w:t>Criteriile de apreciere, indicatorii, nevoile în materie de date și sursele de date</w:t>
      </w:r>
      <w:bookmarkEnd w:id="114"/>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Criterii de apreciere</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Indicatori</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Nevoi în materie de date</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Surse de date</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 xml:space="preserve">Elemente de evaluare comune (SCME și elementele propuse în documentul de lucru „Întrebări de evaluare comune pentru perioada </w:t>
            </w:r>
            <w:r w:rsidRPr="00FA63BD">
              <w:rPr>
                <w:b/>
                <w:color w:val="FFFFFF"/>
                <w:sz w:val="18"/>
                <w:szCs w:val="18"/>
              </w:rPr>
              <w:t>2014</w:t>
            </w:r>
            <w:r>
              <w:rPr>
                <w:b/>
                <w:color w:val="FFFFFF"/>
                <w:sz w:val="18"/>
                <w:szCs w:val="18"/>
              </w:rPr>
              <w:t>-</w:t>
            </w:r>
            <w:r w:rsidRPr="00FA63BD">
              <w:rPr>
                <w:b/>
                <w:color w:val="FFFFFF"/>
                <w:sz w:val="18"/>
                <w:szCs w:val="18"/>
              </w:rPr>
              <w:t>2020</w:t>
            </w:r>
            <w:r>
              <w:rPr>
                <w:b/>
                <w:color w:val="FFFFFF"/>
                <w:sz w:val="18"/>
                <w:szCs w:val="18"/>
              </w:rPr>
              <w:t>”)</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A fost stabilită colaborarea pe termen lung între entitățile din sectorul agricol, din cel al producției alimentare și din cel forestier, pe de o parte, și instituțiile de cercetare și inovare, pe de altă parte.</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w:t>
            </w:r>
            <w:r w:rsidRPr="00FA63BD">
              <w:rPr>
                <w:sz w:val="18"/>
                <w:szCs w:val="18"/>
              </w:rPr>
              <w:t>2</w:t>
            </w:r>
            <w:r>
              <w:rPr>
                <w:sz w:val="18"/>
                <w:szCs w:val="18"/>
              </w:rPr>
              <w:t>: Numărul total al operațiunilor de cooperare sprijinite în cadrul măsurii de cooperare [articolul </w:t>
            </w:r>
            <w:r w:rsidRPr="00FA63BD">
              <w:rPr>
                <w:sz w:val="18"/>
                <w:szCs w:val="18"/>
              </w:rPr>
              <w:t>35</w:t>
            </w:r>
            <w:r>
              <w:rPr>
                <w:sz w:val="18"/>
                <w:szCs w:val="18"/>
              </w:rPr>
              <w:t xml:space="preserve"> din Regulamentul (UE) nr. </w:t>
            </w:r>
            <w:r w:rsidRPr="00FA63BD">
              <w:rPr>
                <w:sz w:val="18"/>
                <w:szCs w:val="18"/>
              </w:rPr>
              <w:t>1305</w:t>
            </w:r>
            <w:r>
              <w:rPr>
                <w:sz w:val="18"/>
                <w:szCs w:val="18"/>
              </w:rPr>
              <w:t>/</w:t>
            </w:r>
            <w:r w:rsidRPr="00FA63BD">
              <w:rPr>
                <w:sz w:val="18"/>
                <w:szCs w:val="18"/>
              </w:rPr>
              <w:t>2013</w:t>
            </w:r>
            <w:r>
              <w:rPr>
                <w:sz w:val="18"/>
                <w:szCs w:val="18"/>
              </w:rPr>
              <w:t>] (grupuri, rețele/clustere, proiecte-pilot).</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Indicator suplimentar:</w:t>
            </w:r>
            <w:r>
              <w:rPr>
                <w:color w:val="57825E"/>
                <w:sz w:val="18"/>
                <w:szCs w:val="18"/>
              </w:rPr>
              <w:t xml:space="preserve"> Numărul și tipurile de parteneri implicați în proiectele de cooperare, inclusiv rolul și responsabilitățile lor.</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Numărul operațiunilor din cadrul PEI (elementul de date O.</w:t>
            </w:r>
            <w:r w:rsidRPr="00FA63BD">
              <w:rPr>
                <w:sz w:val="18"/>
                <w:szCs w:val="18"/>
              </w:rPr>
              <w:t>16</w:t>
            </w:r>
            <w:r>
              <w:rPr>
                <w:sz w:val="18"/>
                <w:szCs w:val="18"/>
              </w:rPr>
              <w:t>).</w:t>
            </w:r>
          </w:p>
          <w:p w:rsidR="00A45935" w:rsidRPr="00385368" w:rsidRDefault="00A45935" w:rsidP="007E63EF">
            <w:pPr>
              <w:spacing w:after="120" w:line="280" w:lineRule="atLeast"/>
              <w:ind w:left="11" w:right="12"/>
              <w:mirrorIndents/>
              <w:jc w:val="left"/>
              <w:rPr>
                <w:rFonts w:cs="Arial"/>
                <w:sz w:val="18"/>
                <w:szCs w:val="18"/>
              </w:rPr>
            </w:pPr>
            <w:r>
              <w:rPr>
                <w:sz w:val="18"/>
                <w:szCs w:val="18"/>
              </w:rPr>
              <w:t>Numărul altor operațiuni de cooperare (grupuri, rețele/clustere, proiecte-pilot) care urmează să fie sprijinite în cadrul măsurii M</w:t>
            </w:r>
            <w:r w:rsidRPr="00FA63BD">
              <w:rPr>
                <w:sz w:val="18"/>
                <w:szCs w:val="18"/>
              </w:rPr>
              <w:t>16</w:t>
            </w:r>
            <w:r>
              <w:rPr>
                <w:sz w:val="18"/>
                <w:szCs w:val="18"/>
              </w:rPr>
              <w:t xml:space="preserve"> „Cooperare” (elementul de date O.</w:t>
            </w:r>
            <w:r w:rsidRPr="00FA63BD">
              <w:rPr>
                <w:sz w:val="18"/>
                <w:szCs w:val="18"/>
              </w:rPr>
              <w:t>17</w:t>
            </w:r>
            <w:r>
              <w:rPr>
                <w:sz w:val="18"/>
                <w:szCs w:val="18"/>
              </w:rPr>
              <w:t>).</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Tipurile de parteneri implicați și numărul acestora.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Sistemul de monitorizare al PDR</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Formulare de cerere ale beneficiarilor (începerea proiectului)</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Solicitări de plată ale beneficiarilor (finalizarea proiectului)</w:t>
            </w:r>
          </w:p>
        </w:tc>
      </w:tr>
      <w:tr w:rsidR="00A45935" w:rsidRPr="00E05D08" w:rsidTr="005520BA">
        <w:tc>
          <w:tcPr>
            <w:tcW w:w="3578" w:type="dxa"/>
            <w:tcBorders>
              <w:top w:val="nil"/>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lang w:val="en-GB"/>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w:t>
            </w:r>
            <w:r w:rsidRPr="00FA63BD">
              <w:rPr>
                <w:sz w:val="18"/>
                <w:szCs w:val="18"/>
              </w:rPr>
              <w:t>3</w:t>
            </w:r>
            <w:r>
              <w:rPr>
                <w:sz w:val="18"/>
                <w:szCs w:val="18"/>
              </w:rPr>
              <w:t xml:space="preserve"> - Numărul operațiunilor sprijinite.</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Numărul total al operațiunilor sprijinite.</w:t>
            </w:r>
          </w:p>
          <w:p w:rsidR="00A45935" w:rsidRPr="00385368" w:rsidRDefault="00A45935" w:rsidP="007E63EF">
            <w:pPr>
              <w:spacing w:after="120" w:line="280" w:lineRule="atLeast"/>
              <w:ind w:left="11" w:right="12"/>
              <w:mirrorIndents/>
              <w:jc w:val="left"/>
              <w:rPr>
                <w:rFonts w:cs="Arial"/>
                <w:sz w:val="18"/>
                <w:szCs w:val="18"/>
              </w:rPr>
            </w:pPr>
            <w:r>
              <w:rPr>
                <w:sz w:val="18"/>
                <w:szCs w:val="18"/>
              </w:rPr>
              <w:t>Numărul operațiunilor de cooperare sprijinite (O.</w:t>
            </w:r>
            <w:r w:rsidRPr="00FA63BD">
              <w:rPr>
                <w:sz w:val="18"/>
                <w:szCs w:val="18"/>
              </w:rPr>
              <w:t>16</w:t>
            </w:r>
            <w:r>
              <w:rPr>
                <w:sz w:val="18"/>
                <w:szCs w:val="18"/>
              </w:rPr>
              <w:t xml:space="preserve"> + O.</w:t>
            </w:r>
            <w:r w:rsidRPr="00FA63BD">
              <w:rPr>
                <w:sz w:val="18"/>
                <w:szCs w:val="18"/>
              </w:rPr>
              <w:t>17</w:t>
            </w:r>
            <w:r>
              <w:rPr>
                <w:sz w:val="18"/>
                <w:szCs w:val="18"/>
              </w:rPr>
              <w:t>).</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Sistemul de monitorizare al PDR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Formulare de cerere ale beneficiarilor (începerea proiectului)</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Solicitări de plată ale beneficiarilor (finalizarea proiectului)</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Au fost puse în aplicare operațiuni de cooperare între agricultură, producția alimentară, silvicultură și cercetare și inovare în scopul îmbunătățirii gestionării mediului și a performanței de mediu.</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w:t>
            </w:r>
            <w:r w:rsidRPr="00FA63BD">
              <w:rPr>
                <w:sz w:val="18"/>
                <w:szCs w:val="18"/>
              </w:rPr>
              <w:t>2</w:t>
            </w:r>
            <w:r>
              <w:rPr>
                <w:sz w:val="18"/>
                <w:szCs w:val="18"/>
              </w:rPr>
              <w:t>: Numărul total al operațiunilor de cooperare sprijinite în cadrul măsurii de cooperare [articolul </w:t>
            </w:r>
            <w:r w:rsidRPr="00FA63BD">
              <w:rPr>
                <w:sz w:val="18"/>
                <w:szCs w:val="18"/>
              </w:rPr>
              <w:t>35</w:t>
            </w:r>
            <w:r>
              <w:rPr>
                <w:sz w:val="18"/>
                <w:szCs w:val="18"/>
              </w:rPr>
              <w:t xml:space="preserve"> din Regulamentul (UE) nr. </w:t>
            </w:r>
            <w:r w:rsidRPr="00FA63BD">
              <w:rPr>
                <w:sz w:val="18"/>
                <w:szCs w:val="18"/>
              </w:rPr>
              <w:t>1305</w:t>
            </w:r>
            <w:r>
              <w:rPr>
                <w:sz w:val="18"/>
                <w:szCs w:val="18"/>
              </w:rPr>
              <w:t>/</w:t>
            </w:r>
            <w:r w:rsidRPr="00FA63BD">
              <w:rPr>
                <w:sz w:val="18"/>
                <w:szCs w:val="18"/>
              </w:rPr>
              <w:t>2013</w:t>
            </w:r>
            <w:r>
              <w:rPr>
                <w:sz w:val="18"/>
                <w:szCs w:val="18"/>
              </w:rPr>
              <w:t xml:space="preserve">] (grupuri, rețele/clustere, proiecte-pilot).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Indicator suplimentar:</w:t>
            </w:r>
            <w:r>
              <w:rPr>
                <w:color w:val="57825E"/>
                <w:sz w:val="18"/>
                <w:szCs w:val="18"/>
              </w:rPr>
              <w:t xml:space="preserve"> % din operațiunile de cooperare care continuă după sprijinul PDR, inclusiv în scopul îmbunătățirii gestionării mediului și a performanței de mediu.</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lastRenderedPageBreak/>
              <w:t>Indicator suplimentar:</w:t>
            </w:r>
            <w:r>
              <w:rPr>
                <w:color w:val="57825E"/>
                <w:sz w:val="18"/>
                <w:szCs w:val="18"/>
              </w:rPr>
              <w:t xml:space="preserve"> Numărul și tipurile de parteneri implicați în proiectele de cooperare, inclusiv rolul și responsabilitățile lor.</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Numărul operațiunilor din cadrul PEI (elementul de date O.</w:t>
            </w:r>
            <w:r w:rsidRPr="00FA63BD">
              <w:rPr>
                <w:sz w:val="18"/>
                <w:szCs w:val="18"/>
              </w:rPr>
              <w:t>16</w:t>
            </w:r>
            <w:r>
              <w:rPr>
                <w:sz w:val="18"/>
                <w:szCs w:val="18"/>
              </w:rPr>
              <w:t>) care vizează îmbunătățirea gestionării mediului și a performanței de mediu.</w:t>
            </w:r>
          </w:p>
          <w:p w:rsidR="00A45935" w:rsidRPr="00385368" w:rsidRDefault="00A45935" w:rsidP="007E63EF">
            <w:pPr>
              <w:spacing w:after="120" w:line="280" w:lineRule="atLeast"/>
              <w:ind w:left="11" w:right="12"/>
              <w:mirrorIndents/>
              <w:jc w:val="left"/>
              <w:rPr>
                <w:rFonts w:cs="Arial"/>
                <w:sz w:val="18"/>
                <w:szCs w:val="18"/>
              </w:rPr>
            </w:pPr>
            <w:r>
              <w:rPr>
                <w:sz w:val="18"/>
                <w:szCs w:val="18"/>
              </w:rPr>
              <w:t>Numărul altor operațiuni de cooperare (grupuri, rețele/clustere, proiecte pilot) care urmează să fie sprijinite în cadrul măsurii M</w:t>
            </w:r>
            <w:r w:rsidRPr="00FA63BD">
              <w:rPr>
                <w:sz w:val="18"/>
                <w:szCs w:val="18"/>
              </w:rPr>
              <w:t>16</w:t>
            </w:r>
            <w:r>
              <w:rPr>
                <w:sz w:val="18"/>
                <w:szCs w:val="18"/>
              </w:rPr>
              <w:t xml:space="preserve"> „Cooperare” (elementul de date O.</w:t>
            </w:r>
            <w:r w:rsidRPr="00FA63BD">
              <w:rPr>
                <w:sz w:val="18"/>
                <w:szCs w:val="18"/>
              </w:rPr>
              <w:t>17</w:t>
            </w:r>
            <w:r>
              <w:rPr>
                <w:sz w:val="18"/>
                <w:szCs w:val="18"/>
              </w:rPr>
              <w:t xml:space="preserve">) și care vizează îmbunătățirea </w:t>
            </w:r>
            <w:r>
              <w:rPr>
                <w:sz w:val="18"/>
                <w:szCs w:val="18"/>
              </w:rPr>
              <w:lastRenderedPageBreak/>
              <w:t>gestionării mediului și a performanței de mediu.</w:t>
            </w:r>
          </w:p>
          <w:p w:rsidR="00A45935" w:rsidRPr="00385368" w:rsidRDefault="00A45935" w:rsidP="007E63EF">
            <w:pPr>
              <w:spacing w:after="120" w:line="280" w:lineRule="atLeast"/>
              <w:ind w:left="11" w:right="12"/>
              <w:mirrorIndents/>
              <w:jc w:val="left"/>
              <w:rPr>
                <w:rFonts w:cs="Arial"/>
                <w:sz w:val="18"/>
                <w:szCs w:val="18"/>
              </w:rPr>
            </w:pPr>
            <w:r>
              <w:rPr>
                <w:sz w:val="18"/>
                <w:szCs w:val="18"/>
              </w:rPr>
              <w:t>Tipurile de parteneri implicați și numărul acestora.</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Sistemul de monitorizare al PDR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Formulare de cerere ale beneficiarilor (începerea proiectului)</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Solicitări de plată ale beneficiarilor (finalizarea proiectului)</w:t>
            </w:r>
          </w:p>
        </w:tc>
      </w:tr>
      <w:tr w:rsidR="00A45935" w:rsidRPr="00E05D08" w:rsidTr="005520BA">
        <w:tc>
          <w:tcPr>
            <w:tcW w:w="3578" w:type="dxa"/>
            <w:tcBorders>
              <w:top w:val="single" w:sz="4" w:space="0" w:color="808080"/>
            </w:tcBorders>
          </w:tcPr>
          <w:p w:rsidR="00A45935" w:rsidRPr="00385368" w:rsidRDefault="00A45935" w:rsidP="00E05D08">
            <w:pPr>
              <w:spacing w:after="120" w:line="280" w:lineRule="atLeast"/>
              <w:ind w:left="29" w:right="110"/>
              <w:mirrorIndents/>
              <w:rPr>
                <w:rFonts w:cs="Arial"/>
                <w:sz w:val="18"/>
                <w:szCs w:val="18"/>
                <w:lang w:val="en-GB"/>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w:t>
            </w:r>
            <w:r w:rsidRPr="00FA63BD">
              <w:rPr>
                <w:sz w:val="18"/>
                <w:szCs w:val="18"/>
              </w:rPr>
              <w:t>3</w:t>
            </w:r>
            <w:r>
              <w:rPr>
                <w:sz w:val="18"/>
                <w:szCs w:val="18"/>
              </w:rPr>
              <w:t xml:space="preserve"> - Numărul operațiunilor sprijinite.</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Numărul total al operațiunilor sprijinite.</w:t>
            </w:r>
          </w:p>
          <w:p w:rsidR="00A45935" w:rsidRPr="00385368" w:rsidRDefault="00A45935" w:rsidP="007E63EF">
            <w:pPr>
              <w:spacing w:after="120" w:line="280" w:lineRule="atLeast"/>
              <w:ind w:left="11" w:right="12"/>
              <w:mirrorIndents/>
              <w:jc w:val="left"/>
              <w:rPr>
                <w:rFonts w:cs="Arial"/>
                <w:sz w:val="18"/>
                <w:szCs w:val="18"/>
              </w:rPr>
            </w:pPr>
            <w:r>
              <w:rPr>
                <w:sz w:val="18"/>
                <w:szCs w:val="18"/>
              </w:rPr>
              <w:t>Numărul operațiunilor de cooperare sprijinite (O.</w:t>
            </w:r>
            <w:r w:rsidRPr="00FA63BD">
              <w:rPr>
                <w:sz w:val="18"/>
                <w:szCs w:val="18"/>
              </w:rPr>
              <w:t>16</w:t>
            </w:r>
            <w:r>
              <w:rPr>
                <w:sz w:val="18"/>
                <w:szCs w:val="18"/>
              </w:rPr>
              <w:t xml:space="preserve"> + O.</w:t>
            </w:r>
            <w:r w:rsidRPr="00FA63BD">
              <w:rPr>
                <w:sz w:val="18"/>
                <w:szCs w:val="18"/>
              </w:rPr>
              <w:t>17</w:t>
            </w:r>
            <w:r>
              <w:rPr>
                <w:sz w:val="18"/>
                <w:szCs w:val="18"/>
              </w:rPr>
              <w:t>).</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Sistemul de monitorizare al PDR</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Formulare de cerere ale beneficiarilor (începerea proiectului)</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Solicitări de plată ale beneficiarilor (finalizarea proiectului)</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Elemente de evaluare suplimentare (opțional)</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Proiectele de cooperare au îmbunătățit capacitatea de inovare, inclusiv în domeniul gestionării mediului și al performanței de mediu.</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Numărul și tipul inovărilor realizate de proiectele de cooperare, printre care cele axate pe gestionarea mediului și performanțele de mediu.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Numărul inovărilor realizate.</w:t>
            </w:r>
          </w:p>
          <w:p w:rsidR="00A45935" w:rsidRPr="00385368" w:rsidRDefault="00A45935" w:rsidP="007E63EF">
            <w:pPr>
              <w:spacing w:after="120" w:line="280" w:lineRule="atLeast"/>
              <w:ind w:left="11" w:right="12"/>
              <w:mirrorIndents/>
              <w:jc w:val="left"/>
              <w:rPr>
                <w:rFonts w:cs="Arial"/>
                <w:sz w:val="18"/>
                <w:szCs w:val="18"/>
              </w:rPr>
            </w:pPr>
            <w:r>
              <w:rPr>
                <w:sz w:val="18"/>
                <w:szCs w:val="18"/>
              </w:rPr>
              <w:t>Numărul inovărilor pentru îmbunătățirea gestionării mediului și a performanței de mediu.</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Sondaje.</w:t>
            </w:r>
          </w:p>
          <w:p w:rsidR="00A45935" w:rsidRPr="00385368" w:rsidRDefault="00A45935" w:rsidP="007E63EF">
            <w:pPr>
              <w:spacing w:after="120" w:line="280" w:lineRule="atLeast"/>
              <w:ind w:right="31"/>
              <w:mirrorIndents/>
              <w:jc w:val="left"/>
              <w:rPr>
                <w:rFonts w:cs="Arial"/>
                <w:sz w:val="18"/>
                <w:szCs w:val="18"/>
              </w:rPr>
            </w:pPr>
            <w:r>
              <w:rPr>
                <w:sz w:val="18"/>
                <w:szCs w:val="18"/>
              </w:rPr>
              <w:t>Interviuri și grupuri de reflecție cu participanții la proiectele de cooperare.</w:t>
            </w:r>
          </w:p>
          <w:p w:rsidR="00A45935" w:rsidRPr="00E05D08" w:rsidRDefault="00A45935" w:rsidP="007E63EF">
            <w:pPr>
              <w:spacing w:after="120" w:line="280" w:lineRule="atLeast"/>
              <w:ind w:right="31"/>
              <w:mirrorIndents/>
              <w:jc w:val="left"/>
              <w:rPr>
                <w:rFonts w:cs="Arial"/>
                <w:sz w:val="18"/>
                <w:szCs w:val="18"/>
              </w:rPr>
            </w:pPr>
            <w:r>
              <w:rPr>
                <w:sz w:val="18"/>
                <w:szCs w:val="18"/>
              </w:rPr>
              <w:t>GIS.</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Metodologia de evaluare propusă </w:t>
      </w:r>
    </w:p>
    <w:p w:rsidR="00A45935" w:rsidRPr="00E05D08" w:rsidRDefault="00A45935" w:rsidP="00E05D08">
      <w:pPr>
        <w:spacing w:after="120" w:line="280" w:lineRule="atLeast"/>
        <w:mirrorIndents/>
        <w:rPr>
          <w:rFonts w:eastAsia="Times New Roman" w:cs="Times New Roman"/>
          <w:color w:val="F07E31"/>
          <w:szCs w:val="20"/>
          <w:u w:val="single"/>
        </w:rPr>
      </w:pPr>
      <w:r>
        <w:t xml:space="preserve">Modul de calculare a indicatorilor comuni legați de IEC nr. </w:t>
      </w:r>
      <w:r w:rsidRPr="00FA63BD">
        <w:t>2</w:t>
      </w:r>
      <w:r>
        <w:t xml:space="preserve"> este descris în anexa </w:t>
      </w:r>
      <w:r w:rsidRPr="00FA63BD">
        <w:t>11</w:t>
      </w:r>
      <w:r>
        <w:t xml:space="preserve"> la ghidul „</w:t>
      </w:r>
      <w:hyperlink r:id="rId52" w:history="1">
        <w:r>
          <w:rPr>
            <w:color w:val="F07E31"/>
            <w:szCs w:val="20"/>
            <w:u w:val="single"/>
          </w:rPr>
          <w:t>Evaluarea rezultatelor PDR:</w:t>
        </w:r>
      </w:hyperlink>
      <w:hyperlink r:id="rId53" w:history="1">
        <w:r>
          <w:rPr>
            <w:color w:val="F07E31"/>
            <w:szCs w:val="20"/>
            <w:u w:val="single"/>
          </w:rPr>
          <w:t xml:space="preserve">pregătirea raportării cu privire la evaluare în </w:t>
        </w:r>
        <w:r w:rsidRPr="00FA63BD">
          <w:rPr>
            <w:color w:val="F07E31"/>
            <w:szCs w:val="20"/>
            <w:u w:val="single"/>
          </w:rPr>
          <w:t>2017</w:t>
        </w:r>
      </w:hyperlink>
      <w:r>
        <w:t>”</w:t>
      </w:r>
    </w:p>
    <w:p w:rsidR="00A45935" w:rsidRPr="00E05D08" w:rsidRDefault="00A45935" w:rsidP="00E05D08">
      <w:pPr>
        <w:spacing w:after="120" w:line="280" w:lineRule="atLeast"/>
        <w:mirrorIndents/>
        <w:rPr>
          <w:rFonts w:eastAsia="Times New Roman" w:cs="Times New Roman"/>
          <w:szCs w:val="20"/>
        </w:rPr>
      </w:pPr>
      <w:r>
        <w:t xml:space="preserve">Pentru evaluarea părții legate de inovare a IEC nr. </w:t>
      </w:r>
      <w:r w:rsidRPr="00FA63BD">
        <w:t>2</w:t>
      </w:r>
      <w:r>
        <w:t>, se propune:</w:t>
      </w:r>
    </w:p>
    <w:p w:rsidR="00A45935" w:rsidRPr="008F1F04" w:rsidRDefault="00A45935" w:rsidP="00547012">
      <w:pPr>
        <w:pStyle w:val="Hlistbullet"/>
      </w:pPr>
      <w:r>
        <w:rPr>
          <w:b/>
        </w:rPr>
        <w:t xml:space="preserve">ETAPA </w:t>
      </w:r>
      <w:r w:rsidRPr="00FA63BD">
        <w:rPr>
          <w:b/>
        </w:rPr>
        <w:t>1</w:t>
      </w:r>
      <w:r>
        <w:rPr>
          <w:b/>
        </w:rPr>
        <w:t xml:space="preserve">: </w:t>
      </w:r>
      <w:r>
        <w:rPr>
          <w:b/>
          <w:bCs/>
        </w:rPr>
        <w:t>Identificarea beneficiarilor M</w:t>
      </w:r>
      <w:r w:rsidRPr="00FA63BD">
        <w:rPr>
          <w:b/>
          <w:bCs/>
        </w:rPr>
        <w:t>16</w:t>
      </w:r>
      <w:r>
        <w:t xml:space="preserve"> și a submăsurilor acesteia în conformitate cu rezultatele identificării potențialului lor de inovare (beneficiarii care au pus în aplicare operațiunile clasificate ca fiind inovatoare) </w:t>
      </w:r>
    </w:p>
    <w:p w:rsidR="00A45935" w:rsidRPr="008F1F04" w:rsidRDefault="00A45935" w:rsidP="00547012">
      <w:pPr>
        <w:pStyle w:val="Hlistbullet"/>
      </w:pPr>
      <w:r>
        <w:rPr>
          <w:b/>
        </w:rPr>
        <w:t xml:space="preserve">ETAPA </w:t>
      </w:r>
      <w:r w:rsidRPr="00FA63BD">
        <w:rPr>
          <w:b/>
        </w:rPr>
        <w:t>2</w:t>
      </w:r>
      <w:r>
        <w:rPr>
          <w:b/>
        </w:rPr>
        <w:t xml:space="preserve">: </w:t>
      </w:r>
      <w:r>
        <w:rPr>
          <w:b/>
          <w:bCs/>
        </w:rPr>
        <w:t>Cuantificarea indicatorilor-țintă și de rezultat</w:t>
      </w:r>
      <w:r>
        <w:t xml:space="preserve"> cu ajutorul datelor de monitorizare din baza de date a operațiunilor PDR privind grupurile operaționale. Pentru a utiliza baza de date a operațiunilor pentru evaluarea inovării, autoritățile de management pot adăuga și colecta elemente de date legate de grupurile operaționale și de inovare. </w:t>
      </w:r>
    </w:p>
    <w:p w:rsidR="00A45935" w:rsidRPr="008F1F04" w:rsidRDefault="00A45935" w:rsidP="00547012">
      <w:pPr>
        <w:pStyle w:val="Hlistbullet"/>
      </w:pPr>
      <w:r>
        <w:rPr>
          <w:b/>
        </w:rPr>
        <w:t xml:space="preserve">ETAPA </w:t>
      </w:r>
      <w:r w:rsidRPr="00FA63BD">
        <w:rPr>
          <w:b/>
        </w:rPr>
        <w:t>3</w:t>
      </w:r>
      <w:r>
        <w:rPr>
          <w:b/>
        </w:rPr>
        <w:t xml:space="preserve">: </w:t>
      </w:r>
      <w:r>
        <w:rPr>
          <w:b/>
          <w:bCs/>
        </w:rPr>
        <w:t xml:space="preserve">Colectarea dovezilor pentru a răspunde la IEC </w:t>
      </w:r>
      <w:r>
        <w:t>cu ajutorul metodelor specificate. Conceperea de întrebări deschise pentru utilizarea metodelor incluse în tabelul de mai jos (sondaje, grupuri de reflecție și metoda Delphi), respectând criteriile de apreciere și indicatorii propuși, precum și rezultatele identificării potențialului de inovare.</w:t>
      </w:r>
    </w:p>
    <w:p w:rsidR="00A45935" w:rsidRPr="008F1F04" w:rsidRDefault="00A45935" w:rsidP="00547012">
      <w:pPr>
        <w:pStyle w:val="Hlistbullet"/>
      </w:pPr>
      <w:r>
        <w:rPr>
          <w:b/>
        </w:rPr>
        <w:t xml:space="preserve">ETAPA </w:t>
      </w:r>
      <w:r w:rsidRPr="00FA63BD">
        <w:rPr>
          <w:b/>
        </w:rPr>
        <w:t>4</w:t>
      </w:r>
      <w:r>
        <w:rPr>
          <w:b/>
        </w:rPr>
        <w:t xml:space="preserve">: </w:t>
      </w:r>
      <w:r>
        <w:rPr>
          <w:b/>
          <w:bCs/>
        </w:rPr>
        <w:t>Analizarea și interpretarea dovezilor colectate</w:t>
      </w:r>
      <w:r>
        <w:t xml:space="preserve"> și utilizarea acestora pentru a răspunde la IEC nr. </w:t>
      </w:r>
      <w:r w:rsidRPr="00FA63BD">
        <w:t>2</w:t>
      </w:r>
      <w:r>
        <w:t xml:space="preserve"> în ceea ce privește consolidarea legăturilor privind inovarea.</w:t>
      </w:r>
    </w:p>
    <w:p w:rsidR="00A45935" w:rsidRPr="00897804" w:rsidRDefault="00A45935" w:rsidP="00897804">
      <w:pPr>
        <w:pStyle w:val="HHeadingtables"/>
        <w:rPr>
          <w:color w:val="6F6F6F"/>
          <w:sz w:val="18"/>
          <w:szCs w:val="18"/>
        </w:rPr>
      </w:pPr>
      <w:bookmarkStart w:id="115" w:name="_Toc508889192"/>
      <w:r>
        <w:rPr>
          <w:color w:val="6F6F6F"/>
          <w:sz w:val="18"/>
          <w:szCs w:val="18"/>
        </w:rPr>
        <w:t xml:space="preserve">Metode recomandate pentru IEC nr. </w:t>
      </w:r>
      <w:r w:rsidRPr="00FA63BD">
        <w:rPr>
          <w:color w:val="6F6F6F"/>
          <w:sz w:val="18"/>
          <w:szCs w:val="18"/>
        </w:rPr>
        <w:t>2</w:t>
      </w:r>
      <w:bookmarkEnd w:id="115"/>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1"/>
      </w:tblGrid>
      <w:tr w:rsidR="00A45935" w:rsidRPr="00E05D08" w:rsidTr="008A60B4">
        <w:trPr>
          <w:tblHeader/>
        </w:trPr>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Metode</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Sfaturi privind modul de utilizare a metodelor</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Sondaj adresat proiectelor de cooperare și beneficiarilor finali</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Selectați un eșantion de proiecte de cooperare (de exemplu, în funcție de sector, de dimensiunea grupului operațional, de situarea geografică etc.) pentru a colecta date și informații de la beneficiari pentru indicatori prin intermediul unui sondaj.</w:t>
            </w:r>
          </w:p>
          <w:p w:rsidR="00A45935" w:rsidRPr="00385368" w:rsidRDefault="00A45935" w:rsidP="008C0B17">
            <w:pPr>
              <w:numPr>
                <w:ilvl w:val="0"/>
                <w:numId w:val="21"/>
              </w:numPr>
              <w:spacing w:before="60" w:after="120" w:line="280" w:lineRule="atLeast"/>
              <w:ind w:left="459"/>
              <w:rPr>
                <w:sz w:val="18"/>
                <w:szCs w:val="18"/>
              </w:rPr>
            </w:pPr>
            <w:r>
              <w:rPr>
                <w:sz w:val="18"/>
                <w:szCs w:val="18"/>
              </w:rPr>
              <w:t xml:space="preserve">Selectați, printre altele, proiectele de cooperare care pot avea o influență asupra gestionării mediului și a performanței de mediu (de exemplu, submăsurile </w:t>
            </w:r>
            <w:r w:rsidRPr="00FA63BD">
              <w:rPr>
                <w:sz w:val="18"/>
                <w:szCs w:val="18"/>
              </w:rPr>
              <w:t>5</w:t>
            </w:r>
            <w:r>
              <w:rPr>
                <w:sz w:val="18"/>
                <w:szCs w:val="18"/>
              </w:rPr>
              <w:t xml:space="preserve">, </w:t>
            </w:r>
            <w:r w:rsidRPr="00FA63BD">
              <w:rPr>
                <w:sz w:val="18"/>
                <w:szCs w:val="18"/>
              </w:rPr>
              <w:t>6</w:t>
            </w:r>
            <w:r>
              <w:rPr>
                <w:sz w:val="18"/>
                <w:szCs w:val="18"/>
              </w:rPr>
              <w:t xml:space="preserve">, </w:t>
            </w:r>
            <w:r w:rsidRPr="00FA63BD">
              <w:rPr>
                <w:sz w:val="18"/>
                <w:szCs w:val="18"/>
              </w:rPr>
              <w:t>8</w:t>
            </w:r>
            <w:r>
              <w:rPr>
                <w:sz w:val="18"/>
                <w:szCs w:val="18"/>
              </w:rPr>
              <w:t xml:space="preserve"> și </w:t>
            </w:r>
            <w:r w:rsidRPr="00FA63BD">
              <w:rPr>
                <w:sz w:val="18"/>
                <w:szCs w:val="18"/>
              </w:rPr>
              <w:t>9</w:t>
            </w:r>
            <w:r>
              <w:rPr>
                <w:sz w:val="18"/>
                <w:szCs w:val="18"/>
              </w:rPr>
              <w:t xml:space="preserve"> sau grupurile operaționale din acest domeniu - M</w:t>
            </w:r>
            <w:r w:rsidRPr="00FA63BD">
              <w:rPr>
                <w:sz w:val="18"/>
                <w:szCs w:val="18"/>
              </w:rPr>
              <w:t>16</w:t>
            </w:r>
            <w:r>
              <w:rPr>
                <w:sz w:val="18"/>
                <w:szCs w:val="18"/>
              </w:rPr>
              <w:t>.</w:t>
            </w:r>
            <w:r w:rsidRPr="00FA63BD">
              <w:rPr>
                <w:sz w:val="18"/>
                <w:szCs w:val="18"/>
              </w:rPr>
              <w:t>1</w:t>
            </w:r>
            <w:r>
              <w:rPr>
                <w:sz w:val="18"/>
                <w:szCs w:val="18"/>
              </w:rPr>
              <w:t>).</w:t>
            </w:r>
          </w:p>
          <w:p w:rsidR="00A45935" w:rsidRPr="00385368" w:rsidRDefault="00A45935" w:rsidP="008C0B17">
            <w:pPr>
              <w:numPr>
                <w:ilvl w:val="0"/>
                <w:numId w:val="21"/>
              </w:numPr>
              <w:spacing w:before="60" w:after="120" w:line="280" w:lineRule="atLeast"/>
              <w:ind w:left="459"/>
              <w:rPr>
                <w:sz w:val="18"/>
                <w:szCs w:val="18"/>
              </w:rPr>
            </w:pPr>
            <w:r>
              <w:rPr>
                <w:sz w:val="18"/>
                <w:szCs w:val="18"/>
              </w:rPr>
              <w:t>Concepeți sondaje care includ întrebări deschise cu privire la modul în care proiectele de cooperare contribuie la: a) schimbul de idei inovatoare, b) consolidarea capacității de inovare, c) crearea unui mediu favorizant pentru inovare.</w:t>
            </w:r>
          </w:p>
          <w:p w:rsidR="00A45935" w:rsidRPr="00385368" w:rsidRDefault="00A45935" w:rsidP="008C0B17">
            <w:pPr>
              <w:numPr>
                <w:ilvl w:val="0"/>
                <w:numId w:val="21"/>
              </w:numPr>
              <w:spacing w:before="60" w:after="120" w:line="280" w:lineRule="atLeast"/>
              <w:ind w:left="459"/>
            </w:pPr>
            <w:r>
              <w:rPr>
                <w:sz w:val="18"/>
                <w:szCs w:val="18"/>
              </w:rPr>
              <w:t>Utilizați rezultatele sondajelor pentru: evaluarea modului în care diferite forme de proiecte de cooperare (cooperare între diferiți actori, clustere și rețele și grupuri operaționale) contribuie la legături mai puternice între cercetare/inovare și practică.</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Grupuri de reflecție structurate</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Organizați grupuri de reflecție cu părțile interesate din domeniul inovării (de exemplu, servicii de sprijinire a inovării, consilieri care acționează în calitate de brokeri inovaționali, centre de cercetare și de inovare etc.).</w:t>
            </w:r>
          </w:p>
          <w:p w:rsidR="00A45935" w:rsidRPr="00385368" w:rsidRDefault="00A45935" w:rsidP="008C0B17">
            <w:pPr>
              <w:numPr>
                <w:ilvl w:val="0"/>
                <w:numId w:val="22"/>
              </w:numPr>
              <w:spacing w:before="60" w:after="120" w:line="280" w:lineRule="atLeast"/>
              <w:ind w:left="459"/>
              <w:rPr>
                <w:sz w:val="18"/>
                <w:szCs w:val="18"/>
              </w:rPr>
            </w:pPr>
            <w:r>
              <w:rPr>
                <w:sz w:val="18"/>
                <w:szCs w:val="18"/>
              </w:rPr>
              <w:t>Analizați modul în care legăturile dintre părțile interesate influențează capacitatea de inovare și de creare a unui mediu favorabil pentru inovare.</w:t>
            </w:r>
          </w:p>
          <w:p w:rsidR="00A45935" w:rsidRPr="00385368" w:rsidRDefault="00A45935" w:rsidP="008C0B17">
            <w:pPr>
              <w:numPr>
                <w:ilvl w:val="0"/>
                <w:numId w:val="22"/>
              </w:numPr>
              <w:spacing w:before="60" w:after="120" w:line="280" w:lineRule="atLeast"/>
              <w:ind w:left="459"/>
              <w:rPr>
                <w:sz w:val="18"/>
                <w:szCs w:val="18"/>
              </w:rPr>
            </w:pPr>
            <w:r>
              <w:rPr>
                <w:sz w:val="18"/>
                <w:szCs w:val="18"/>
              </w:rPr>
              <w:t>Luați în considerare opțiunea unui grup de reflecție tematic (de exemplu, un grup de reflecție pentru proiectele de cooperare care vizează probleme de mediu, altul pentru grupurile operaționale PEI etc.).</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lastRenderedPageBreak/>
              <w:t>Metoda Delphi</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Organizați un proces Delphi cu experții în materie de inovare (de exemplu, experți implicați în proiectele de cooperare, dar și cadre universitare etc.) pentru a obține opinii cu privire la criteriile relevante.</w:t>
            </w:r>
          </w:p>
        </w:tc>
      </w:tr>
    </w:tbl>
    <w:p w:rsidR="00A45935" w:rsidRPr="00E05D08" w:rsidRDefault="00A45935" w:rsidP="00E05D08">
      <w:pPr>
        <w:spacing w:after="0" w:line="240" w:lineRule="auto"/>
        <w:rPr>
          <w:rFonts w:eastAsia="Times New Roman" w:cs="Times New Roman"/>
          <w:sz w:val="18"/>
          <w:szCs w:val="24"/>
        </w:rPr>
      </w:pP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2CA26B4B" wp14:editId="6DFAE453">
                <wp:extent cx="5707380" cy="4804914"/>
                <wp:effectExtent l="0" t="0" r="26670" b="15240"/>
                <wp:docPr id="26" name="Rectangle: Diagonal Corners Rounded 26"/>
                <wp:cNvGraphicFramePr/>
                <a:graphic xmlns:a="http://schemas.openxmlformats.org/drawingml/2006/main">
                  <a:graphicData uri="http://schemas.microsoft.com/office/word/2010/wordprocessingShape">
                    <wps:wsp>
                      <wps:cNvSpPr/>
                      <wps:spPr>
                        <a:xfrm>
                          <a:off x="0" y="0"/>
                          <a:ext cx="5707380" cy="4804914"/>
                        </a:xfrm>
                        <a:prstGeom prst="round2DiagRect">
                          <a:avLst>
                            <a:gd name="adj1" fmla="val 7299"/>
                            <a:gd name="adj2" fmla="val 0"/>
                          </a:avLst>
                        </a:prstGeom>
                        <a:noFill/>
                        <a:ln w="25400" cap="flat" cmpd="sng" algn="ctr">
                          <a:solidFill>
                            <a:srgbClr val="F07E31"/>
                          </a:solidFill>
                          <a:prstDash val="solid"/>
                        </a:ln>
                        <a:effectLst/>
                      </wps:spPr>
                      <wps:txbx>
                        <w:txbxContent>
                          <w:p w:rsidR="008A60B4" w:rsidRPr="001954EB" w:rsidRDefault="008A60B4" w:rsidP="00E05D08">
                            <w:pPr>
                              <w:pStyle w:val="HStandard"/>
                              <w:rPr>
                                <w:b/>
                                <w:color w:val="F07E31"/>
                                <w:sz w:val="18"/>
                                <w:szCs w:val="18"/>
                              </w:rPr>
                            </w:pPr>
                            <w:r>
                              <w:rPr>
                                <w:noProof/>
                                <w:sz w:val="18"/>
                                <w:szCs w:val="18"/>
                                <w:lang w:val="en-GB" w:eastAsia="en-GB"/>
                              </w:rPr>
                              <w:drawing>
                                <wp:inline distT="0" distB="0" distL="0" distR="0" wp14:anchorId="1BAF3E15" wp14:editId="2CED66D3">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Exemple din rapoartele anuale de punere în aplicare prezentate în 2017</w:t>
                            </w:r>
                          </w:p>
                          <w:p w:rsidR="008A60B4" w:rsidRPr="00547012" w:rsidRDefault="008A60B4" w:rsidP="00E05D08">
                            <w:pPr>
                              <w:rPr>
                                <w:rFonts w:cs="Arial"/>
                                <w:sz w:val="18"/>
                                <w:szCs w:val="18"/>
                              </w:rPr>
                            </w:pPr>
                            <w:r>
                              <w:rPr>
                                <w:b/>
                                <w:bCs/>
                                <w:sz w:val="18"/>
                                <w:szCs w:val="18"/>
                              </w:rPr>
                              <w:t>Mecklenburg-Vorpommern (DE)</w:t>
                            </w:r>
                            <w:r>
                              <w:rPr>
                                <w:sz w:val="18"/>
                                <w:szCs w:val="18"/>
                              </w:rPr>
                              <w:t xml:space="preserve"> - utilizează trei criterii de apreciere în ceea ce privește inovarea:</w:t>
                            </w:r>
                          </w:p>
                          <w:p w:rsidR="008A60B4" w:rsidRPr="001954EB" w:rsidRDefault="008A60B4" w:rsidP="008C0B17">
                            <w:pPr>
                              <w:numPr>
                                <w:ilvl w:val="0"/>
                                <w:numId w:val="57"/>
                              </w:numPr>
                              <w:rPr>
                                <w:rFonts w:cs="Arial"/>
                                <w:sz w:val="18"/>
                                <w:szCs w:val="18"/>
                              </w:rPr>
                            </w:pPr>
                            <w:r>
                              <w:rPr>
                                <w:sz w:val="18"/>
                                <w:szCs w:val="18"/>
                              </w:rPr>
                              <w:t xml:space="preserve">procesele sprijinite de PDR sunt inovatoare și se bazează pe cunoștințele obținute, </w:t>
                            </w:r>
                          </w:p>
                          <w:p w:rsidR="008A60B4" w:rsidRPr="001954EB" w:rsidRDefault="008A60B4" w:rsidP="008C0B17">
                            <w:pPr>
                              <w:numPr>
                                <w:ilvl w:val="0"/>
                                <w:numId w:val="57"/>
                              </w:numPr>
                              <w:rPr>
                                <w:rFonts w:cs="Arial"/>
                                <w:sz w:val="18"/>
                                <w:szCs w:val="18"/>
                              </w:rPr>
                            </w:pPr>
                            <w:r>
                              <w:rPr>
                                <w:sz w:val="18"/>
                                <w:szCs w:val="18"/>
                              </w:rPr>
                              <w:t>acțiunile inovatoare sunt puse în aplicare și diseminate de grupurile operaționale ale PEI;</w:t>
                            </w:r>
                          </w:p>
                          <w:p w:rsidR="008A60B4" w:rsidRPr="001954EB" w:rsidRDefault="008A60B4" w:rsidP="008C0B17">
                            <w:pPr>
                              <w:numPr>
                                <w:ilvl w:val="0"/>
                                <w:numId w:val="57"/>
                              </w:numPr>
                              <w:rPr>
                                <w:rFonts w:cs="Arial"/>
                                <w:sz w:val="18"/>
                                <w:szCs w:val="18"/>
                              </w:rPr>
                            </w:pPr>
                            <w:r>
                              <w:rPr>
                                <w:sz w:val="18"/>
                                <w:szCs w:val="18"/>
                              </w:rPr>
                              <w:t>rezultatele obținute au dus la îmbunătățirea poziției pe piață a partenerilor implicați, prin intermediul inovării.</w:t>
                            </w:r>
                          </w:p>
                          <w:p w:rsidR="008A60B4" w:rsidRPr="00547012" w:rsidRDefault="008A60B4" w:rsidP="00E05D08">
                            <w:pPr>
                              <w:rPr>
                                <w:rFonts w:cs="Arial"/>
                                <w:sz w:val="18"/>
                                <w:szCs w:val="18"/>
                              </w:rPr>
                            </w:pPr>
                            <w:r>
                              <w:rPr>
                                <w:sz w:val="18"/>
                                <w:szCs w:val="18"/>
                              </w:rPr>
                              <w:t>Sunt utilizate mai multe metode pentru a colecta informații de la grupurile operaționale PEI. Acestea vizează diferite dimensiuni ale inovațiilor și au scopul de a analiza calitatea și efectele grupurilor operaționale:</w:t>
                            </w:r>
                          </w:p>
                          <w:p w:rsidR="008A60B4" w:rsidRPr="001954EB" w:rsidRDefault="008A60B4" w:rsidP="008C0B17">
                            <w:pPr>
                              <w:numPr>
                                <w:ilvl w:val="0"/>
                                <w:numId w:val="58"/>
                              </w:numPr>
                              <w:rPr>
                                <w:rFonts w:cs="Arial"/>
                                <w:sz w:val="18"/>
                                <w:szCs w:val="18"/>
                              </w:rPr>
                            </w:pPr>
                            <w:r>
                              <w:rPr>
                                <w:sz w:val="18"/>
                                <w:szCs w:val="18"/>
                              </w:rPr>
                              <w:t>analiza de bază (evaluarea condițiilor-cadru, interviuri cu actorii etc.);</w:t>
                            </w:r>
                          </w:p>
                          <w:p w:rsidR="008A60B4" w:rsidRPr="001954EB" w:rsidRDefault="008A60B4" w:rsidP="008C0B17">
                            <w:pPr>
                              <w:numPr>
                                <w:ilvl w:val="0"/>
                                <w:numId w:val="58"/>
                              </w:numPr>
                              <w:rPr>
                                <w:rFonts w:cs="Arial"/>
                                <w:sz w:val="18"/>
                                <w:szCs w:val="18"/>
                              </w:rPr>
                            </w:pPr>
                            <w:r>
                              <w:rPr>
                                <w:sz w:val="18"/>
                                <w:szCs w:val="18"/>
                              </w:rPr>
                              <w:t xml:space="preserve">evaluarea caracteristicilor inovărilor și a tipurilor de inovare prin analiza criteriilor de selecție și a studiilor de caz; </w:t>
                            </w:r>
                          </w:p>
                          <w:p w:rsidR="008A60B4" w:rsidRPr="001954EB" w:rsidRDefault="008A60B4" w:rsidP="008C0B17">
                            <w:pPr>
                              <w:numPr>
                                <w:ilvl w:val="0"/>
                                <w:numId w:val="58"/>
                              </w:numPr>
                              <w:rPr>
                                <w:rFonts w:cs="Arial"/>
                                <w:sz w:val="18"/>
                                <w:szCs w:val="18"/>
                              </w:rPr>
                            </w:pPr>
                            <w:r>
                              <w:rPr>
                                <w:sz w:val="18"/>
                                <w:szCs w:val="18"/>
                              </w:rPr>
                              <w:t>analiza rezultatelor obținute și a diseminării acestora (sondaj și autoevaluare a grupurilor operaționale).</w:t>
                            </w:r>
                          </w:p>
                          <w:p w:rsidR="008A60B4" w:rsidRPr="00547012" w:rsidRDefault="008A60B4" w:rsidP="00E05D08">
                            <w:pPr>
                              <w:rPr>
                                <w:rFonts w:cs="Arial"/>
                                <w:sz w:val="18"/>
                                <w:szCs w:val="18"/>
                              </w:rPr>
                            </w:pPr>
                            <w:r>
                              <w:rPr>
                                <w:sz w:val="18"/>
                                <w:szCs w:val="18"/>
                              </w:rPr>
                              <w:t xml:space="preserve">Sursele de date și informații includ datele de monitorizare, formularele de cerere, documentația proiectelor, datele statistice primare colectate prin sondaje și datele statistice secundare din diverse surse. </w:t>
                            </w:r>
                          </w:p>
                          <w:p w:rsidR="008A60B4" w:rsidRPr="00547012" w:rsidRDefault="008A60B4" w:rsidP="00E05D08">
                            <w:pPr>
                              <w:rPr>
                                <w:rFonts w:cs="Arial"/>
                                <w:sz w:val="18"/>
                                <w:szCs w:val="18"/>
                              </w:rPr>
                            </w:pPr>
                            <w:r>
                              <w:rPr>
                                <w:sz w:val="18"/>
                                <w:szCs w:val="18"/>
                              </w:rPr>
                              <w:t xml:space="preserve">Sondajul adresat beneficiarilor (grupurile operaționale PEI) este efectuat înainte și după intervenție. </w:t>
                            </w:r>
                          </w:p>
                          <w:p w:rsidR="008A60B4" w:rsidRPr="001954EB" w:rsidRDefault="008A60B4" w:rsidP="00E05D08">
                            <w:pPr>
                              <w:pStyle w:val="HStandard"/>
                              <w:rPr>
                                <w:sz w:val="18"/>
                                <w:szCs w:val="18"/>
                              </w:rPr>
                            </w:pPr>
                            <w:r>
                              <w:rPr>
                                <w:b/>
                                <w:bCs/>
                                <w:sz w:val="18"/>
                                <w:szCs w:val="18"/>
                              </w:rPr>
                              <w:t>Republica Cehă</w:t>
                            </w:r>
                            <w:r>
                              <w:rPr>
                                <w:sz w:val="18"/>
                                <w:szCs w:val="18"/>
                              </w:rPr>
                              <w:t xml:space="preserve"> - sugerează utilizarea unei abordări bazate pe studii de caz pentru colectarea informațiilor de la grupurile operaționale și de la proiectele de cooperare legate de inovare.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A26B4B" id="Rectangle: Diagonal Corners Rounded 26" o:spid="_x0000_s1048" style="width:449.4pt;height:378.35pt;visibility:visible;mso-wrap-style:square;mso-left-percent:-10001;mso-top-percent:-10001;mso-position-horizontal:absolute;mso-position-horizontal-relative:char;mso-position-vertical:absolute;mso-position-vertical-relative:line;mso-left-percent:-10001;mso-top-percent:-10001;v-text-anchor:middle" coordsize="5707380,48049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" adj="-11796480,,5400" path="m350711,l5707380,r,l5707380,4454203v,193692,-157019,350711,-350711,350711l,4804914r,l,350711c,157019,157019,,350711,xe" filled="f" strokecolor="#f07e31" strokeweight="2pt">
                <v:stroke joinstyle="miter"/>
                <v:formulas/>
                <v:path arrowok="t" o:connecttype="custom" o:connectlocs="350711,0;5707380,0;5707380,0;5707380,4454203;5356669,4804914;0,4804914;0,4804914;0,350711;350711,0" o:connectangles="0,0,0,0,0,0,0,0,0" textboxrect="0,0,5707380,4804914"/>
                <v:textbox>
                  <w:txbxContent>
                    <w:p w:rsidR="008A60B4" w:rsidRPr="001954EB" w:rsidRDefault="008A60B4" w:rsidP="00E05D08">
                      <w:pPr>
                        <w:pStyle w:val="HStandard"/>
                        <w:rPr>
                          <w:b/>
                          <w:color w:val="F07E31"/>
                          <w:sz w:val="18"/>
                          <w:szCs w:val="18"/>
                        </w:rPr>
                      </w:pPr>
                      <w:r>
                        <w:rPr>
                          <w:noProof/>
                          <w:sz w:val="18"/>
                          <w:szCs w:val="18"/>
                          <w:lang w:val="en-GB" w:eastAsia="en-GB"/>
                        </w:rPr>
                        <w:drawing>
                          <wp:inline distT="0" distB="0" distL="0" distR="0" wp14:anchorId="1BAF3E15" wp14:editId="2CED66D3">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Exemple din rapoartele anuale de punere în aplicare prezentate în 2017</w:t>
                      </w:r>
                    </w:p>
                    <w:p w:rsidR="008A60B4" w:rsidRPr="00547012" w:rsidRDefault="008A60B4" w:rsidP="00E05D08">
                      <w:pPr>
                        <w:rPr>
                          <w:rFonts w:cs="Arial"/>
                          <w:sz w:val="18"/>
                          <w:szCs w:val="18"/>
                        </w:rPr>
                      </w:pPr>
                      <w:r>
                        <w:rPr>
                          <w:b/>
                          <w:bCs/>
                          <w:sz w:val="18"/>
                          <w:szCs w:val="18"/>
                        </w:rPr>
                        <w:t>Mecklenburg-Vorpommern (DE)</w:t>
                      </w:r>
                      <w:r>
                        <w:rPr>
                          <w:sz w:val="18"/>
                          <w:szCs w:val="18"/>
                        </w:rPr>
                        <w:t xml:space="preserve"> - utilizează trei criterii de apreciere în ceea ce privește inovarea:</w:t>
                      </w:r>
                    </w:p>
                    <w:p w:rsidR="008A60B4" w:rsidRPr="001954EB" w:rsidRDefault="008A60B4" w:rsidP="008C0B17">
                      <w:pPr>
                        <w:numPr>
                          <w:ilvl w:val="0"/>
                          <w:numId w:val="57"/>
                        </w:numPr>
                        <w:rPr>
                          <w:rFonts w:cs="Arial"/>
                          <w:sz w:val="18"/>
                          <w:szCs w:val="18"/>
                        </w:rPr>
                      </w:pPr>
                      <w:r>
                        <w:rPr>
                          <w:sz w:val="18"/>
                          <w:szCs w:val="18"/>
                        </w:rPr>
                        <w:t xml:space="preserve">procesele sprijinite de PDR sunt inovatoare și se bazează pe cunoștințele obținute, </w:t>
                      </w:r>
                    </w:p>
                    <w:p w:rsidR="008A60B4" w:rsidRPr="001954EB" w:rsidRDefault="008A60B4" w:rsidP="008C0B17">
                      <w:pPr>
                        <w:numPr>
                          <w:ilvl w:val="0"/>
                          <w:numId w:val="57"/>
                        </w:numPr>
                        <w:rPr>
                          <w:rFonts w:cs="Arial"/>
                          <w:sz w:val="18"/>
                          <w:szCs w:val="18"/>
                        </w:rPr>
                      </w:pPr>
                      <w:r>
                        <w:rPr>
                          <w:sz w:val="18"/>
                          <w:szCs w:val="18"/>
                        </w:rPr>
                        <w:t>acțiunile inovatoare sunt puse în aplicare și diseminate de grupurile operaționale ale PEI;</w:t>
                      </w:r>
                    </w:p>
                    <w:p w:rsidR="008A60B4" w:rsidRPr="001954EB" w:rsidRDefault="008A60B4" w:rsidP="008C0B17">
                      <w:pPr>
                        <w:numPr>
                          <w:ilvl w:val="0"/>
                          <w:numId w:val="57"/>
                        </w:numPr>
                        <w:rPr>
                          <w:rFonts w:cs="Arial"/>
                          <w:sz w:val="18"/>
                          <w:szCs w:val="18"/>
                        </w:rPr>
                      </w:pPr>
                      <w:r>
                        <w:rPr>
                          <w:sz w:val="18"/>
                          <w:szCs w:val="18"/>
                        </w:rPr>
                        <w:t>rezultatele obținute au dus la îmbunătățirea poziției pe piață a partenerilor implicați, prin intermediul inovării.</w:t>
                      </w:r>
                    </w:p>
                    <w:p w:rsidR="008A60B4" w:rsidRPr="00547012" w:rsidRDefault="008A60B4" w:rsidP="00E05D08">
                      <w:pPr>
                        <w:rPr>
                          <w:rFonts w:cs="Arial"/>
                          <w:sz w:val="18"/>
                          <w:szCs w:val="18"/>
                        </w:rPr>
                      </w:pPr>
                      <w:r>
                        <w:rPr>
                          <w:sz w:val="18"/>
                          <w:szCs w:val="18"/>
                        </w:rPr>
                        <w:t>Sunt utilizate mai multe metode pentru a colecta informații de la grupurile operaționale PEI. Acestea vizează diferite dimensiuni ale inovațiilor și au scopul de a analiza calitatea și efectele grupurilor operaționale:</w:t>
                      </w:r>
                    </w:p>
                    <w:p w:rsidR="008A60B4" w:rsidRPr="001954EB" w:rsidRDefault="008A60B4" w:rsidP="008C0B17">
                      <w:pPr>
                        <w:numPr>
                          <w:ilvl w:val="0"/>
                          <w:numId w:val="58"/>
                        </w:numPr>
                        <w:rPr>
                          <w:rFonts w:cs="Arial"/>
                          <w:sz w:val="18"/>
                          <w:szCs w:val="18"/>
                        </w:rPr>
                      </w:pPr>
                      <w:r>
                        <w:rPr>
                          <w:sz w:val="18"/>
                          <w:szCs w:val="18"/>
                        </w:rPr>
                        <w:t>analiza de bază (evaluarea condițiilor-cadru, interviuri cu actorii etc.);</w:t>
                      </w:r>
                    </w:p>
                    <w:p w:rsidR="008A60B4" w:rsidRPr="001954EB" w:rsidRDefault="008A60B4" w:rsidP="008C0B17">
                      <w:pPr>
                        <w:numPr>
                          <w:ilvl w:val="0"/>
                          <w:numId w:val="58"/>
                        </w:numPr>
                        <w:rPr>
                          <w:rFonts w:cs="Arial"/>
                          <w:sz w:val="18"/>
                          <w:szCs w:val="18"/>
                        </w:rPr>
                      </w:pPr>
                      <w:r>
                        <w:rPr>
                          <w:sz w:val="18"/>
                          <w:szCs w:val="18"/>
                        </w:rPr>
                        <w:t xml:space="preserve">evaluarea caracteristicilor inovărilor și a tipurilor de inovare prin analiza criteriilor de selecție și a studiilor de caz; </w:t>
                      </w:r>
                    </w:p>
                    <w:p w:rsidR="008A60B4" w:rsidRPr="001954EB" w:rsidRDefault="008A60B4" w:rsidP="008C0B17">
                      <w:pPr>
                        <w:numPr>
                          <w:ilvl w:val="0"/>
                          <w:numId w:val="58"/>
                        </w:numPr>
                        <w:rPr>
                          <w:rFonts w:cs="Arial"/>
                          <w:sz w:val="18"/>
                          <w:szCs w:val="18"/>
                        </w:rPr>
                      </w:pPr>
                      <w:r>
                        <w:rPr>
                          <w:sz w:val="18"/>
                          <w:szCs w:val="18"/>
                        </w:rPr>
                        <w:t>analiza rezultatelor obținute și a diseminării acestora (sondaj și autoevaluare a grupurilor operaționale).</w:t>
                      </w:r>
                    </w:p>
                    <w:p w:rsidR="008A60B4" w:rsidRPr="00547012" w:rsidRDefault="008A60B4" w:rsidP="00E05D08">
                      <w:pPr>
                        <w:rPr>
                          <w:rFonts w:cs="Arial"/>
                          <w:sz w:val="18"/>
                          <w:szCs w:val="18"/>
                        </w:rPr>
                      </w:pPr>
                      <w:r>
                        <w:rPr>
                          <w:sz w:val="18"/>
                          <w:szCs w:val="18"/>
                        </w:rPr>
                        <w:t xml:space="preserve">Sursele de date și informații includ datele de monitorizare, formularele de cerere, documentația proiectelor, datele statistice primare colectate prin sondaje și datele statistice secundare din diverse surse. </w:t>
                      </w:r>
                    </w:p>
                    <w:p w:rsidR="008A60B4" w:rsidRPr="00547012" w:rsidRDefault="008A60B4" w:rsidP="00E05D08">
                      <w:pPr>
                        <w:rPr>
                          <w:rFonts w:cs="Arial"/>
                          <w:sz w:val="18"/>
                          <w:szCs w:val="18"/>
                        </w:rPr>
                      </w:pPr>
                      <w:r>
                        <w:rPr>
                          <w:sz w:val="18"/>
                          <w:szCs w:val="18"/>
                        </w:rPr>
                        <w:t xml:space="preserve">Sondajul adresat beneficiarilor (grupurile operaționale PEI) este efectuat înainte și după intervenție. </w:t>
                      </w:r>
                    </w:p>
                    <w:p w:rsidR="008A60B4" w:rsidRPr="001954EB" w:rsidRDefault="008A60B4" w:rsidP="00E05D08">
                      <w:pPr>
                        <w:pStyle w:val="HStandard"/>
                        <w:rPr>
                          <w:sz w:val="18"/>
                          <w:szCs w:val="18"/>
                        </w:rPr>
                      </w:pPr>
                      <w:r>
                        <w:rPr>
                          <w:b/>
                          <w:bCs/>
                          <w:sz w:val="18"/>
                          <w:szCs w:val="18"/>
                        </w:rPr>
                        <w:t>Republica Cehă</w:t>
                      </w:r>
                      <w:r>
                        <w:rPr>
                          <w:sz w:val="18"/>
                          <w:szCs w:val="18"/>
                        </w:rPr>
                        <w:t xml:space="preserve"> - sugerează utilizarea unei abordări bazate pe studii de caz pentru colectarea informațiilor de la grupurile operaționale și de la proiectele de cooperare legate de inovare.</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Riscuri și soluții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Riscuri</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Soluții</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În cazul anumitor indicatori, este posibil ca datele să nu fie disponibile decât după încheierea perioadei de programare (de exemplu, numărul operațiunilor de cooperare care continuă după sprijinul PDR).</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Tipurile de structuri de cooperare create (structură juridică, componență, declarație de angajament al partenerilor etc.) pot fi analizate printr-o evaluare calitativă (de exemplu, prin utilizarea grupurilor de reflecție sau a interviurilor cu partenerii grupurilor operaționale).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Colectarea de informații privind anumiți indicatori care ar putea să nu fi fost incluși în sistemul de monitorizare al PDR (de exemplu, indicatori suplimentari).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Colectarea informațiilor se poate realiza prin sondaje și interviuri. </w:t>
            </w:r>
          </w:p>
          <w:p w:rsidR="00A45935" w:rsidRPr="00385368" w:rsidRDefault="00A45935" w:rsidP="00E05D08">
            <w:pPr>
              <w:spacing w:after="120" w:line="280" w:lineRule="atLeast"/>
              <w:ind w:left="27" w:right="47"/>
              <w:mirrorIndents/>
              <w:rPr>
                <w:sz w:val="18"/>
                <w:szCs w:val="18"/>
              </w:rPr>
            </w:pPr>
            <w:r>
              <w:rPr>
                <w:sz w:val="18"/>
                <w:szCs w:val="18"/>
              </w:rPr>
              <w:t xml:space="preserve">Ca alternativă, autoritățile de management pot lua în considerare includerea colectării datelor pentru indicatorii suplimentari prin intermediul bazei de date a operațiunilor. </w:t>
            </w:r>
          </w:p>
        </w:tc>
      </w:tr>
    </w:tbl>
    <w:p w:rsidR="008A60B4" w:rsidRDefault="008A60B4">
      <w:pPr>
        <w:jc w:val="left"/>
        <w:rPr>
          <w:b/>
          <w:szCs w:val="20"/>
        </w:rPr>
      </w:pPr>
      <w:r>
        <w:rPr>
          <w:b/>
          <w:szCs w:val="20"/>
        </w:rPr>
        <w:br w:type="page"/>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Concluzii și recomandări</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Concluziile și recomandările principale ar trebui să abordeze cel puțin următoarele aspecte de politică:</w:t>
      </w:r>
    </w:p>
    <w:p w:rsidR="00A45935" w:rsidRPr="00E54929" w:rsidRDefault="00A45935" w:rsidP="00547012">
      <w:pPr>
        <w:pStyle w:val="Hlistbullet"/>
        <w:rPr>
          <w:rFonts w:eastAsia="Calibri"/>
          <w:shd w:val="clear" w:color="auto" w:fill="FFFFFF"/>
        </w:rPr>
      </w:pPr>
      <w:r>
        <w:rPr>
          <w:b/>
          <w:shd w:val="clear" w:color="auto" w:fill="FFFFFF"/>
        </w:rPr>
        <w:t>Tendința PDR de a utiliza măsura de cooperare pentru a identifica inovarea în zonele rurale.</w:t>
      </w:r>
      <w:r>
        <w:rPr>
          <w:shd w:val="clear" w:color="auto" w:fill="FFFFFF"/>
        </w:rPr>
        <w:t xml:space="preserve"> Crearea unui grup operațional, de exemplu, arată că a fost identificată o idee inovatoare și că aceasta poate fi pusă în aplicare prin corelarea dintre cercetare și practică. Domeniul de aplicare, conținutul și durata proiectului elaborat și pus în aplicare de grupul operațional furnizează informații utile pentru formularea unor concluzii suplimentare în acest sens.</w:t>
      </w:r>
    </w:p>
    <w:p w:rsidR="00A45935" w:rsidRPr="00E54929" w:rsidRDefault="00A45935" w:rsidP="00547012">
      <w:pPr>
        <w:pStyle w:val="Hlistbullet"/>
        <w:rPr>
          <w:rFonts w:eastAsia="Calibri"/>
          <w:shd w:val="clear" w:color="auto" w:fill="FFFFFF"/>
        </w:rPr>
      </w:pPr>
      <w:r>
        <w:rPr>
          <w:b/>
          <w:shd w:val="clear" w:color="auto" w:fill="FFFFFF"/>
        </w:rPr>
        <w:t>Efectele proiectelor de cooperare asupra capacității de inovare.</w:t>
      </w:r>
      <w:r>
        <w:rPr>
          <w:shd w:val="clear" w:color="auto" w:fill="FFFFFF"/>
        </w:rPr>
        <w:t xml:space="preserve"> Analiza numărului și a tipului proiectelor de cooperare, precum și implicarea părților interesate din domeniul inovării pot permite formularea de concluzii relevante privind realizările măsurii de cooperare în ceea ce privește capacitatea de inovare în zonele rurale.</w:t>
      </w:r>
    </w:p>
    <w:p w:rsidR="00A45935" w:rsidRPr="00E54929" w:rsidRDefault="00A45935" w:rsidP="00547012">
      <w:pPr>
        <w:pStyle w:val="Hlistbullet"/>
        <w:rPr>
          <w:rFonts w:eastAsia="Calibri"/>
          <w:shd w:val="clear" w:color="auto" w:fill="FFFFFF"/>
        </w:rPr>
      </w:pPr>
      <w:r>
        <w:rPr>
          <w:b/>
          <w:bCs/>
          <w:shd w:val="clear" w:color="auto" w:fill="FFFFFF"/>
        </w:rPr>
        <w:t xml:space="preserve">Efectele proiectelor de cooperare asupra creării unui mediu favorizant pentru inovare </w:t>
      </w:r>
      <w:r>
        <w:rPr>
          <w:shd w:val="clear" w:color="auto" w:fill="FFFFFF"/>
        </w:rPr>
        <w:t>(și anume, măsura în care proiectele de cooperare au permis crearea unor structuri și proceduri care să faciliteze generarea de idei inovatoare). Acest lucru include, de exemplu, structuri și metode de brokeraj inovațional, stabilirea de legături permanente între IMM-uri, serviciile de sprijinire a inovării și organismele de finanțare etc.</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Informații suplimentare</w:t>
      </w:r>
    </w:p>
    <w:p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4D163A50" wp14:editId="68C7FA22">
                <wp:extent cx="5633451" cy="1792224"/>
                <wp:effectExtent l="0" t="0" r="24765" b="17780"/>
                <wp:docPr id="27" name="Rectangle: Diagonal Corners Rounded 27"/>
                <wp:cNvGraphicFramePr/>
                <a:graphic xmlns:a="http://schemas.openxmlformats.org/drawingml/2006/main">
                  <a:graphicData uri="http://schemas.microsoft.com/office/word/2010/wordprocessingShape">
                    <wps:wsp>
                      <wps:cNvSpPr/>
                      <wps:spPr>
                        <a:xfrm>
                          <a:off x="0" y="0"/>
                          <a:ext cx="5633451" cy="1792224"/>
                        </a:xfrm>
                        <a:prstGeom prst="round2DiagRect">
                          <a:avLst>
                            <a:gd name="adj1" fmla="val 11556"/>
                            <a:gd name="adj2" fmla="val 0"/>
                          </a:avLst>
                        </a:prstGeom>
                        <a:noFill/>
                        <a:ln w="25400" cap="flat" cmpd="sng" algn="ctr">
                          <a:solidFill>
                            <a:srgbClr val="59638E"/>
                          </a:solidFill>
                          <a:prstDash val="solid"/>
                        </a:ln>
                        <a:effectLst/>
                      </wps:spPr>
                      <wps:txbx>
                        <w:txbxContent>
                          <w:p w:rsidR="008A60B4" w:rsidRDefault="008A60B4" w:rsidP="00E05D08">
                            <w:pPr>
                              <w:pStyle w:val="HStandard"/>
                              <w:rPr>
                                <w:color w:val="000000"/>
                                <w:sz w:val="18"/>
                              </w:rPr>
                            </w:pPr>
                            <w:r>
                              <w:rPr>
                                <w:noProof/>
                                <w:lang w:val="en-GB" w:eastAsia="en-GB"/>
                              </w:rPr>
                              <w:drawing>
                                <wp:inline distT="0" distB="0" distL="0" distR="0" wp14:anchorId="5EA791DD" wp14:editId="5D93C292">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A60B4" w:rsidRPr="000041C9" w:rsidRDefault="008A60B4" w:rsidP="00E05D08">
                            <w:pPr>
                              <w:pStyle w:val="HStandard"/>
                              <w:rPr>
                                <w:sz w:val="18"/>
                                <w:szCs w:val="18"/>
                              </w:rPr>
                            </w:pPr>
                            <w:r>
                              <w:t>Ghid - „</w:t>
                            </w:r>
                            <w:hyperlink r:id="rId54" w:history="1">
                              <w:r>
                                <w:rPr>
                                  <w:rStyle w:val="Hyperlink"/>
                                  <w:sz w:val="18"/>
                                  <w:szCs w:val="18"/>
                                </w:rPr>
                                <w:t>Evaluarea rezultatelor PDR:</w:t>
                              </w:r>
                            </w:hyperlink>
                            <w:hyperlink r:id="rId55" w:history="1">
                              <w:r>
                                <w:rPr>
                                  <w:rStyle w:val="Hyperlink"/>
                                  <w:sz w:val="18"/>
                                  <w:szCs w:val="18"/>
                                </w:rPr>
                                <w:t>pregătirea raportării cu privire la evaluare în 2017</w:t>
                              </w:r>
                            </w:hyperlink>
                            <w:r>
                              <w:t>”, anexa 11;</w:t>
                            </w:r>
                            <w:r>
                              <w:rPr>
                                <w:sz w:val="18"/>
                                <w:szCs w:val="18"/>
                              </w:rPr>
                              <w:t xml:space="preserve"> </w:t>
                            </w:r>
                          </w:p>
                          <w:p w:rsidR="008A60B4" w:rsidRDefault="008A60B4" w:rsidP="00E05D08">
                            <w:pPr>
                              <w:pStyle w:val="HStandard"/>
                              <w:rPr>
                                <w:sz w:val="18"/>
                                <w:szCs w:val="18"/>
                              </w:rPr>
                            </w:pPr>
                            <w:r>
                              <w:t>Documentul de orientare „</w:t>
                            </w:r>
                            <w:hyperlink r:id="rId56" w:history="1">
                              <w:r>
                                <w:rPr>
                                  <w:rStyle w:val="Hyperlink"/>
                                  <w:sz w:val="18"/>
                                </w:rPr>
                                <w:t>Măsura de cooperare</w:t>
                              </w:r>
                            </w:hyperlink>
                            <w:r>
                              <w:t>”, articolul 35 din Regulamentul (UE) nr. 1305/2013, noiembrie 2014</w:t>
                            </w:r>
                          </w:p>
                          <w:p w:rsidR="008A60B4" w:rsidRPr="000041C9" w:rsidRDefault="008A60B4" w:rsidP="00E05D08">
                            <w:pPr>
                              <w:pStyle w:val="HStandard"/>
                              <w:rPr>
                                <w:sz w:val="18"/>
                                <w:szCs w:val="18"/>
                              </w:rPr>
                            </w:pPr>
                            <w:r>
                              <w:rPr>
                                <w:sz w:val="18"/>
                                <w:szCs w:val="18"/>
                              </w:rPr>
                              <w:t xml:space="preserve">Documentele din cadrul atelierului REDR privind măsura M16 „Cooperare”, iunie 2016, Bruxelles: </w:t>
                            </w:r>
                            <w:hyperlink r:id="rId57" w:history="1">
                              <w:r>
                                <w:rPr>
                                  <w:rStyle w:val="Hyperlink"/>
                                  <w:sz w:val="18"/>
                                  <w:szCs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163A50" id="Rectangle: Diagonal Corners Rounded 27" o:spid="_x0000_s1049" style="width:443.6pt;height:141.1pt;visibility:visible;mso-wrap-style:square;mso-left-percent:-10001;mso-top-percent:-10001;mso-position-horizontal:absolute;mso-position-horizontal-relative:char;mso-position-vertical:absolute;mso-position-vertical-relative:line;mso-left-percent:-10001;mso-top-percent:-10001;v-text-anchor:middle" coordsize="5633451,17922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" adj="-11796480,,5400" path="m207109,l5633451,r,l5633451,1585115v,114383,-92726,207109,-207109,207109l,1792224r,l,207109c,92726,92726,,207109,xe" filled="f" strokecolor="#59638e" strokeweight="2pt">
                <v:stroke joinstyle="miter"/>
                <v:formulas/>
                <v:path arrowok="t" o:connecttype="custom" o:connectlocs="207109,0;5633451,0;5633451,0;5633451,1585115;5426342,1792224;0,1792224;0,1792224;0,207109;207109,0" o:connectangles="0,0,0,0,0,0,0,0,0" textboxrect="0,0,5633451,1792224"/>
                <v:textbox>
                  <w:txbxContent>
                    <w:p w:rsidR="008A60B4" w:rsidRDefault="008A60B4" w:rsidP="00E05D08">
                      <w:pPr>
                        <w:pStyle w:val="HStandard"/>
                        <w:rPr>
                          <w:color w:val="000000"/>
                          <w:sz w:val="18"/>
                        </w:rPr>
                      </w:pPr>
                      <w:r>
                        <w:rPr>
                          <w:noProof/>
                          <w:lang w:val="en-GB" w:eastAsia="en-GB"/>
                        </w:rPr>
                        <w:drawing>
                          <wp:inline distT="0" distB="0" distL="0" distR="0" wp14:anchorId="5EA791DD" wp14:editId="5D93C292">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A60B4" w:rsidRPr="000041C9" w:rsidRDefault="008A60B4" w:rsidP="00E05D08">
                      <w:pPr>
                        <w:pStyle w:val="HStandard"/>
                        <w:rPr>
                          <w:sz w:val="18"/>
                          <w:szCs w:val="18"/>
                        </w:rPr>
                      </w:pPr>
                      <w:r>
                        <w:t>Ghid - „</w:t>
                      </w:r>
                      <w:hyperlink r:id="rId58" w:history="1">
                        <w:r>
                          <w:rPr>
                            <w:rStyle w:val="Hyperlink"/>
                            <w:sz w:val="18"/>
                            <w:szCs w:val="18"/>
                          </w:rPr>
                          <w:t>Evaluarea rezultatelor PDR:</w:t>
                        </w:r>
                      </w:hyperlink>
                      <w:hyperlink r:id="rId59" w:history="1">
                        <w:r>
                          <w:rPr>
                            <w:rStyle w:val="Hyperlink"/>
                            <w:sz w:val="18"/>
                            <w:szCs w:val="18"/>
                          </w:rPr>
                          <w:t>pregătirea raportării cu privire la evaluare în 2017</w:t>
                        </w:r>
                      </w:hyperlink>
                      <w:r>
                        <w:t>”, anexa 11;</w:t>
                      </w:r>
                      <w:r>
                        <w:rPr>
                          <w:sz w:val="18"/>
                          <w:szCs w:val="18"/>
                        </w:rPr>
                        <w:t xml:space="preserve"> </w:t>
                      </w:r>
                    </w:p>
                    <w:p w:rsidR="008A60B4" w:rsidRDefault="008A60B4" w:rsidP="00E05D08">
                      <w:pPr>
                        <w:pStyle w:val="HStandard"/>
                        <w:rPr>
                          <w:sz w:val="18"/>
                          <w:szCs w:val="18"/>
                        </w:rPr>
                      </w:pPr>
                      <w:r>
                        <w:t>Documentul de orientare „</w:t>
                      </w:r>
                      <w:hyperlink r:id="rId60" w:history="1">
                        <w:r>
                          <w:rPr>
                            <w:rStyle w:val="Hyperlink"/>
                            <w:sz w:val="18"/>
                          </w:rPr>
                          <w:t>Măsura de cooperare</w:t>
                        </w:r>
                      </w:hyperlink>
                      <w:r>
                        <w:t>”, articolul 35 din Regulamentul (UE) nr. 1305/2013, noiembrie 2014</w:t>
                      </w:r>
                    </w:p>
                    <w:p w:rsidR="008A60B4" w:rsidRPr="000041C9" w:rsidRDefault="008A60B4" w:rsidP="00E05D08">
                      <w:pPr>
                        <w:pStyle w:val="HStandard"/>
                        <w:rPr>
                          <w:sz w:val="18"/>
                          <w:szCs w:val="18"/>
                        </w:rPr>
                      </w:pPr>
                      <w:r>
                        <w:rPr>
                          <w:sz w:val="18"/>
                          <w:szCs w:val="18"/>
                        </w:rPr>
                        <w:t xml:space="preserve">Documentele din cadrul atelierului REDR privind măsura M16 „Cooperare”, iunie 2016, Bruxelles: </w:t>
                      </w:r>
                      <w:hyperlink r:id="rId61" w:history="1">
                        <w:r>
                          <w:rPr>
                            <w:rStyle w:val="Hyperlink"/>
                            <w:sz w:val="18"/>
                            <w:szCs w:val="18"/>
                          </w:rPr>
                          <w:t>http://enrd.ec.europa.eu/news-events/events/enrd-workshop-measure-16-cooperation_en</w:t>
                        </w:r>
                      </w:hyperlink>
                    </w:p>
                  </w:txbxContent>
                </v:textbox>
                <w10:anchorlock/>
              </v:shape>
            </w:pict>
          </mc:Fallback>
        </mc:AlternateContent>
      </w:r>
      <w:bookmarkStart w:id="116" w:name="_Toc501382133"/>
    </w:p>
    <w:p w:rsidR="00D50380" w:rsidRDefault="00D50380" w:rsidP="0079071D">
      <w:pPr>
        <w:pStyle w:val="HHeading3"/>
        <w:numPr>
          <w:ilvl w:val="2"/>
          <w:numId w:val="119"/>
        </w:numPr>
        <w:tabs>
          <w:tab w:val="clear" w:pos="567"/>
        </w:tabs>
        <w:spacing w:before="480" w:line="280" w:lineRule="exact"/>
        <w:ind w:left="567" w:hanging="567"/>
      </w:pPr>
      <w:bookmarkStart w:id="117" w:name="CEQ_NRN"/>
      <w:bookmarkStart w:id="118" w:name="_Toc508889183"/>
      <w:bookmarkEnd w:id="117"/>
      <w:r>
        <w:t xml:space="preserve">IEC nr. </w:t>
      </w:r>
      <w:r w:rsidRPr="00FA63BD">
        <w:t>21</w:t>
      </w:r>
      <w:r>
        <w:t xml:space="preserve">: „În ce măsură a contribuit rețeaua națională de dezvoltare rurală la îndeplinirea obiectivelor prevăzute la articolul </w:t>
      </w:r>
      <w:r w:rsidRPr="00FA63BD">
        <w:t>54</w:t>
      </w:r>
      <w:r>
        <w:t xml:space="preserve"> alineatul (</w:t>
      </w:r>
      <w:r w:rsidRPr="00FA63BD">
        <w:t>2</w:t>
      </w:r>
      <w:r>
        <w:t xml:space="preserve">) din Regulamentul (UE) nr. </w:t>
      </w:r>
      <w:r w:rsidRPr="00FA63BD">
        <w:t>1305</w:t>
      </w:r>
      <w:r>
        <w:t>/</w:t>
      </w:r>
      <w:r w:rsidRPr="00FA63BD">
        <w:t>2013</w:t>
      </w:r>
      <w:r>
        <w:t>?”</w:t>
      </w:r>
      <w:bookmarkEnd w:id="118"/>
    </w:p>
    <w:bookmarkEnd w:id="116"/>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Înțelegerea IEC</w:t>
      </w:r>
    </w:p>
    <w:p w:rsidR="00A45935" w:rsidRPr="00E05D08" w:rsidRDefault="00A45935" w:rsidP="00E05D08">
      <w:pPr>
        <w:spacing w:after="120" w:line="280" w:lineRule="atLeast"/>
        <w:mirrorIndents/>
        <w:rPr>
          <w:rFonts w:eastAsia="Calibri" w:cs="Times New Roman"/>
          <w:szCs w:val="20"/>
        </w:rPr>
      </w:pPr>
      <w:r>
        <w:t>Această întrebare se referă la îndeplinirea celor patru obiective ale RNDR</w:t>
      </w:r>
      <w:r>
        <w:rPr>
          <w:rFonts w:eastAsia="Times New Roman" w:cs="Times New Roman"/>
          <w:szCs w:val="20"/>
          <w:vertAlign w:val="superscript"/>
          <w:lang w:eastAsia="de-DE"/>
        </w:rPr>
        <w:footnoteReference w:id="57"/>
      </w:r>
      <w:r>
        <w:t>. Prezentul ghid</w:t>
      </w:r>
      <w:r>
        <w:rPr>
          <w:rFonts w:eastAsia="Times New Roman" w:cs="Times New Roman"/>
          <w:szCs w:val="20"/>
          <w:vertAlign w:val="superscript"/>
          <w:lang w:eastAsia="de-DE"/>
        </w:rPr>
        <w:footnoteReference w:id="58"/>
      </w:r>
      <w:r>
        <w:t xml:space="preserve"> abordează IEC nr. </w:t>
      </w:r>
      <w:r w:rsidRPr="00FA63BD">
        <w:t>21</w:t>
      </w:r>
      <w:r>
        <w:t xml:space="preserve"> în raport cu obiectivul RNDR „de a încuraja inovarea în agricultură, producția alimentară, silvicultură și zonele rurale”, în scopul evaluării inovării, astfel cum va fi încurajată de RNDR-uri începând din </w:t>
      </w:r>
      <w:r w:rsidRPr="00FA63BD">
        <w:t>2019</w:t>
      </w:r>
      <w:r>
        <w:t xml:space="preserve">. </w:t>
      </w:r>
    </w:p>
    <w:p w:rsidR="00A45935" w:rsidRPr="00E05D08" w:rsidRDefault="00A45935" w:rsidP="00E05D08">
      <w:pPr>
        <w:spacing w:after="120" w:line="280" w:lineRule="atLeast"/>
        <w:mirrorIndents/>
        <w:rPr>
          <w:rFonts w:eastAsia="Calibri" w:cs="Times New Roman"/>
          <w:szCs w:val="20"/>
        </w:rPr>
      </w:pPr>
      <w:r>
        <w:t>RNDR funcționează prin diferite grupuri de acțiuni stabilite în planul de acțiune al RNDR și include diferite tipuri de părți interesate, printre care și actori din domeniul inovării. Prin urmare, este important să se recunoască grupurile de acțiune</w:t>
      </w:r>
      <w:r>
        <w:rPr>
          <w:rFonts w:eastAsia="Calibri" w:cs="Times New Roman"/>
          <w:szCs w:val="20"/>
          <w:vertAlign w:val="superscript"/>
        </w:rPr>
        <w:footnoteReference w:id="59"/>
      </w:r>
      <w:r>
        <w:t xml:space="preserve"> care au potențialul de a încuraja inovarea prin cele trei </w:t>
      </w:r>
      <w:r>
        <w:lastRenderedPageBreak/>
        <w:t xml:space="preserve">modalități (a se vedea </w:t>
      </w:r>
      <w:hyperlink w:anchor="Innovation_RD" w:history="1">
        <w:r>
          <w:rPr>
            <w:rStyle w:val="Hyperlink"/>
            <w:sz w:val="20"/>
            <w:szCs w:val="20"/>
          </w:rPr>
          <w:t xml:space="preserve">capitolul </w:t>
        </w:r>
        <w:r w:rsidRPr="00FA63BD">
          <w:rPr>
            <w:rStyle w:val="Hyperlink"/>
            <w:sz w:val="20"/>
            <w:szCs w:val="20"/>
          </w:rPr>
          <w:t>1</w:t>
        </w:r>
        <w:r>
          <w:rPr>
            <w:rStyle w:val="Hyperlink"/>
            <w:sz w:val="20"/>
            <w:szCs w:val="20"/>
          </w:rPr>
          <w:t>.</w:t>
        </w:r>
        <w:r w:rsidRPr="00FA63BD">
          <w:rPr>
            <w:rStyle w:val="Hyperlink"/>
            <w:sz w:val="20"/>
            <w:szCs w:val="20"/>
          </w:rPr>
          <w:t>1</w:t>
        </w:r>
      </w:hyperlink>
      <w:r>
        <w:t xml:space="preserve">) și tipurile de părți interesate din cadrul sistemului de inovare care sunt implicate și pot fi afectate de aceste acțiuni în ceea ce privește încurajarea inovării. </w:t>
      </w:r>
    </w:p>
    <w:p w:rsidR="001327F5" w:rsidRDefault="00A45935" w:rsidP="00E05D08">
      <w:pPr>
        <w:spacing w:after="120" w:line="280" w:lineRule="atLeast"/>
        <w:mirrorIndents/>
        <w:rPr>
          <w:rFonts w:eastAsia="Calibri" w:cs="Times New Roman"/>
          <w:szCs w:val="20"/>
        </w:rPr>
      </w:pPr>
      <w:r>
        <w:t>Acțiunile incluse în planul de acțiune al RNDR s-ar încadra în șapte grupuri de activități, astfel cum se prevede în regulament</w:t>
      </w:r>
      <w:r>
        <w:rPr>
          <w:rFonts w:eastAsia="Calibri" w:cs="Times New Roman"/>
          <w:szCs w:val="20"/>
          <w:vertAlign w:val="superscript"/>
        </w:rPr>
        <w:footnoteReference w:id="60"/>
      </w:r>
      <w:r>
        <w:t>. Exemple ale modului în care aceste activități ar putea fi legate de încurajarea inovării sunt prezentate în casetele de mai jos.</w:t>
      </w:r>
    </w:p>
    <w:p w:rsidR="001327F5" w:rsidRPr="00E05D08" w:rsidRDefault="001327F5" w:rsidP="001327F5">
      <w:pPr>
        <w:spacing w:after="120" w:line="280" w:lineRule="atLeast"/>
        <w:mirrorIndents/>
        <w:rPr>
          <w:rFonts w:eastAsia="Calibri" w:cs="Times New Roman"/>
          <w:szCs w:val="20"/>
        </w:rPr>
      </w:pPr>
      <w:r>
        <w:t>RNDR-urile, ca parte a asistenței tehnice, au ca scop însoțirea și sprijinirea punerii în aplicare a PDR și contribuie direct la încurajarea inovării ca obiectiv transversal. Cu toate acestea, RNDR-urile pot acționa, de asemenea, în sinergie cu alți actori din domeniul inovării pentru dezvoltarea rurală, cum ar fi GAL-urile din cadrul LEADER sau PEI-AGRI (a se vedea exemplul din casetă).</w:t>
      </w:r>
    </w:p>
    <w:p w:rsidR="00A45935" w:rsidRPr="00E05D08" w:rsidRDefault="00547012"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734016" behindDoc="1" locked="0" layoutInCell="1" allowOverlap="1" wp14:anchorId="0D4D2D94" wp14:editId="64DA5058">
                <wp:simplePos x="0" y="0"/>
                <wp:positionH relativeFrom="column">
                  <wp:posOffset>0</wp:posOffset>
                </wp:positionH>
                <wp:positionV relativeFrom="paragraph">
                  <wp:posOffset>294640</wp:posOffset>
                </wp:positionV>
                <wp:extent cx="5780405" cy="7134225"/>
                <wp:effectExtent l="0" t="0" r="10795" b="28575"/>
                <wp:wrapTight wrapText="bothSides">
                  <wp:wrapPolygon edited="0">
                    <wp:start x="854" y="0"/>
                    <wp:lineTo x="0" y="346"/>
                    <wp:lineTo x="0" y="21629"/>
                    <wp:lineTo x="20786" y="21629"/>
                    <wp:lineTo x="20857" y="21629"/>
                    <wp:lineTo x="21498" y="21283"/>
                    <wp:lineTo x="21569" y="20937"/>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7134225"/>
                        </a:xfrm>
                        <a:prstGeom prst="round2DiagRect">
                          <a:avLst>
                            <a:gd name="adj1" fmla="val 6054"/>
                            <a:gd name="adj2" fmla="val 0"/>
                          </a:avLst>
                        </a:prstGeom>
                        <a:noFill/>
                        <a:ln w="25400" cap="flat" cmpd="sng" algn="ctr">
                          <a:solidFill>
                            <a:srgbClr val="F07E31"/>
                          </a:solidFill>
                          <a:prstDash val="solid"/>
                        </a:ln>
                        <a:effectLst/>
                      </wps:spPr>
                      <wps:txbx>
                        <w:txbxContent>
                          <w:p w:rsidR="008A60B4" w:rsidRPr="0079762F" w:rsidRDefault="008A60B4" w:rsidP="00E05D08">
                            <w:pPr>
                              <w:pStyle w:val="HStandard"/>
                              <w:ind w:left="567" w:hanging="567"/>
                              <w:rPr>
                                <w:i/>
                                <w:sz w:val="18"/>
                                <w:szCs w:val="18"/>
                              </w:rPr>
                            </w:pPr>
                            <w:r>
                              <w:rPr>
                                <w:noProof/>
                                <w:sz w:val="18"/>
                                <w:szCs w:val="18"/>
                                <w:lang w:val="en-GB" w:eastAsia="en-GB"/>
                              </w:rPr>
                              <w:drawing>
                                <wp:inline distT="0" distB="0" distL="0" distR="0" wp14:anchorId="77BA3587" wp14:editId="3DA46FBC">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Cultivarea ideilor noi și împărtășirea inovațiilor:</w:t>
                            </w:r>
                          </w:p>
                          <w:p w:rsidR="008A60B4" w:rsidRPr="0079762F" w:rsidRDefault="008A60B4" w:rsidP="008C0B17">
                            <w:pPr>
                              <w:pStyle w:val="HStandard"/>
                              <w:numPr>
                                <w:ilvl w:val="0"/>
                                <w:numId w:val="26"/>
                              </w:numPr>
                              <w:ind w:left="567" w:hanging="567"/>
                              <w:rPr>
                                <w:sz w:val="18"/>
                                <w:szCs w:val="18"/>
                              </w:rPr>
                            </w:pPr>
                            <w:r>
                              <w:rPr>
                                <w:sz w:val="18"/>
                                <w:szCs w:val="18"/>
                              </w:rPr>
                              <w:t>colectarea de exemple de proiecte care vizează toate prioritățile PDR: acestea se pot concentra, de exemplu, asupra proiectelor inovatoare sau asupra creării de baze de date ale proiectelor inovatoare și asupra contribuirii, în acest mod, la identificarea și împărtășirea inovărilor.</w:t>
                            </w:r>
                          </w:p>
                          <w:p w:rsidR="008A60B4" w:rsidRPr="0079762F" w:rsidRDefault="008A60B4" w:rsidP="008C0B17">
                            <w:pPr>
                              <w:pStyle w:val="HStandard"/>
                              <w:numPr>
                                <w:ilvl w:val="0"/>
                                <w:numId w:val="26"/>
                              </w:numPr>
                              <w:ind w:left="567" w:hanging="567"/>
                              <w:rPr>
                                <w:sz w:val="18"/>
                                <w:szCs w:val="18"/>
                              </w:rPr>
                            </w:pPr>
                            <w:r>
                              <w:rPr>
                                <w:sz w:val="18"/>
                                <w:szCs w:val="18"/>
                              </w:rPr>
                              <w:t>facilitarea schimburilor tematice și analitice dintre părțile interesate din domeniul dezvoltării rurale, împărtășirea și diseminarea constatărilor. Astfel de schimburi pot încuraja, de asemenea, inovarea, prin cultivarea și împărtășirea de idei noi și prin crearea condițiilor pentru dezvoltarea de noi cunoștințe.</w:t>
                            </w:r>
                          </w:p>
                          <w:p w:rsidR="008A60B4" w:rsidRDefault="008A60B4" w:rsidP="008C0B17">
                            <w:pPr>
                              <w:pStyle w:val="HStandard"/>
                              <w:numPr>
                                <w:ilvl w:val="0"/>
                                <w:numId w:val="26"/>
                              </w:numPr>
                              <w:ind w:left="567" w:hanging="567"/>
                              <w:rPr>
                                <w:sz w:val="18"/>
                                <w:szCs w:val="18"/>
                              </w:rPr>
                            </w:pPr>
                            <w:r>
                              <w:rPr>
                                <w:sz w:val="18"/>
                                <w:szCs w:val="18"/>
                              </w:rPr>
                              <w:t>publicitate și informare cu privire la PDR și activități de informare și de comunicare destinate publicului larg. Acestea pot include, printre altele, informații privind realizările legate de inovare ale PDR, realizările grupurilor operaționale PEI, modul în care strategiile și parteneriatele DLRC promovează inovarea și exemple de astfel de parteneriate și proiecte inovatoare LEADER/DLRC etc.</w:t>
                            </w:r>
                          </w:p>
                          <w:p w:rsidR="008A60B4" w:rsidRPr="00E05D08" w:rsidRDefault="008A60B4" w:rsidP="008A0CFF">
                            <w:pPr>
                              <w:pStyle w:val="HStandard"/>
                              <w:rPr>
                                <w:b/>
                                <w:color w:val="F07E31"/>
                                <w:sz w:val="18"/>
                                <w:szCs w:val="18"/>
                              </w:rPr>
                            </w:pPr>
                            <w:r>
                              <w:rPr>
                                <w:b/>
                                <w:color w:val="F07E31"/>
                                <w:sz w:val="18"/>
                                <w:szCs w:val="18"/>
                              </w:rPr>
                              <w:t>Consolidarea capacității de inovare:</w:t>
                            </w:r>
                          </w:p>
                          <w:p w:rsidR="008A60B4" w:rsidRPr="0079762F" w:rsidRDefault="008A60B4" w:rsidP="008A0CFF">
                            <w:pPr>
                              <w:pStyle w:val="HStandard"/>
                              <w:numPr>
                                <w:ilvl w:val="0"/>
                                <w:numId w:val="26"/>
                              </w:numPr>
                              <w:rPr>
                                <w:sz w:val="18"/>
                                <w:szCs w:val="18"/>
                              </w:rPr>
                            </w:pPr>
                            <w:r>
                              <w:rPr>
                                <w:sz w:val="18"/>
                                <w:szCs w:val="18"/>
                              </w:rPr>
                              <w:t>furnizarea de activități de formare profesională și de colaborare în rețea pentru consilieri și serviciile de sprijinire a inovării, axate pe inovarea în agricultură, silvicultură și alte sectoare implicate în PDR. Formarea profesională a consilierilor și a serviciilor de sprijinire a inovării poate, de exemplu, să faciliteze crearea de grupuri operaționale PEI și, prin urmare, să contribuie la consolidarea capacității de inovare în zonele rurale, întrucât este de așteptat ca grupurile operaționale să dezvolte proiecte inovatoare.</w:t>
                            </w:r>
                          </w:p>
                          <w:p w:rsidR="008A60B4" w:rsidRPr="00ED3BAD" w:rsidRDefault="008A60B4" w:rsidP="008A0CFF">
                            <w:pPr>
                              <w:pStyle w:val="HStandard"/>
                              <w:numPr>
                                <w:ilvl w:val="0"/>
                                <w:numId w:val="26"/>
                              </w:numPr>
                              <w:rPr>
                                <w:sz w:val="18"/>
                                <w:szCs w:val="18"/>
                              </w:rPr>
                            </w:pPr>
                            <w:r>
                              <w:rPr>
                                <w:sz w:val="18"/>
                                <w:szCs w:val="18"/>
                              </w:rPr>
                              <w:t>furnizarea de activități de formare și de colaborare în rețea pentru GAL-uri, în special servicii de asistență tehnică pentru cooperarea interregională și transnațională, facilitarea cooperării între GAL-uri și căutarea de parteneri în cadrul măsurii M16 (cooperare). RNDR poate, de exemplu, să faciliteze eforturile de cooperare care sprijină experimentarea și inovarea.</w:t>
                            </w:r>
                          </w:p>
                          <w:p w:rsidR="008A60B4" w:rsidRPr="0079762F" w:rsidRDefault="008A60B4" w:rsidP="008A0CFF">
                            <w:pPr>
                              <w:pStyle w:val="HStandard"/>
                              <w:ind w:left="567" w:hanging="567"/>
                              <w:rPr>
                                <w:i/>
                                <w:sz w:val="18"/>
                                <w:szCs w:val="18"/>
                              </w:rPr>
                            </w:pPr>
                            <w:r>
                              <w:rPr>
                                <w:b/>
                                <w:color w:val="F07E31"/>
                                <w:sz w:val="18"/>
                                <w:szCs w:val="18"/>
                              </w:rPr>
                              <w:t>Crearea unui mediu favorizant pentru inovare:</w:t>
                            </w:r>
                          </w:p>
                          <w:p w:rsidR="008A60B4" w:rsidRPr="00ED3BAD" w:rsidRDefault="008A60B4" w:rsidP="008A0CFF">
                            <w:pPr>
                              <w:pStyle w:val="HStandard"/>
                              <w:numPr>
                                <w:ilvl w:val="0"/>
                                <w:numId w:val="29"/>
                              </w:numPr>
                              <w:ind w:left="567" w:hanging="567"/>
                              <w:rPr>
                                <w:sz w:val="18"/>
                                <w:szCs w:val="18"/>
                              </w:rPr>
                            </w:pPr>
                            <w:r>
                              <w:rPr>
                                <w:sz w:val="18"/>
                                <w:szCs w:val="18"/>
                              </w:rPr>
                              <w:t>participarea și aducerea de contribuții la activitățile rețelelor europene, în special REDR și PEI-AGRI, pot oferi posibilitatea de a promova un mediu favorizant pentru inovare prin intermediul acestor rețele.</w:t>
                            </w:r>
                          </w:p>
                          <w:p w:rsidR="008A60B4" w:rsidRPr="00547012" w:rsidRDefault="008A60B4" w:rsidP="00547012">
                            <w:pPr>
                              <w:pStyle w:val="HStandard"/>
                              <w:numPr>
                                <w:ilvl w:val="0"/>
                                <w:numId w:val="29"/>
                              </w:numPr>
                              <w:ind w:left="567" w:hanging="567"/>
                              <w:rPr>
                                <w:sz w:val="18"/>
                                <w:szCs w:val="18"/>
                              </w:rPr>
                            </w:pPr>
                            <w:r>
                              <w:rPr>
                                <w:sz w:val="18"/>
                                <w:szCs w:val="18"/>
                              </w:rPr>
                              <w:t>RNDR-urile pot stimula inovarea prin crearea de legături între actorii din domeniul inovării (fermieri, cercetători, ONG-uri, GAL-uri etc.), prin colectarea de informații, prin animarea inițiativelor ascendente, prin sprijinirea îmbunătățirii ideilor inovatoare și prin acordarea de asistență pentru găsirea unor parteneri și a finanțării, toate acestea contribuind la crearea unui mediu favorizant pentru inovare.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D2D94" id="Rectangle: Diagonal Corners Rounded 28" o:spid="_x0000_s1050" style="position:absolute;left:0;text-align:left;margin-left:0;margin-top:23.2pt;width:455.15pt;height:561.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7134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" adj="-11796480,,5400" path="m349946,l5780405,r,l5780405,6784279v,193270,-156676,349946,-349946,349946l,7134225r,l,349946c,156676,156676,,349946,xe" filled="f" strokecolor="#f07e31" strokeweight="2pt">
                <v:stroke joinstyle="miter"/>
                <v:formulas/>
                <v:path arrowok="t" o:connecttype="custom" o:connectlocs="349946,0;5780405,0;5780405,0;5780405,6784279;5430459,7134225;0,7134225;0,7134225;0,349946;349946,0" o:connectangles="0,0,0,0,0,0,0,0,0" textboxrect="0,0,5780405,7134225"/>
                <v:textbox>
                  <w:txbxContent>
                    <w:p w:rsidR="008A60B4" w:rsidRPr="0079762F" w:rsidRDefault="008A60B4" w:rsidP="00E05D08">
                      <w:pPr>
                        <w:pStyle w:val="HStandard"/>
                        <w:ind w:left="567" w:hanging="567"/>
                        <w:rPr>
                          <w:i/>
                          <w:sz w:val="18"/>
                          <w:szCs w:val="18"/>
                        </w:rPr>
                      </w:pPr>
                      <w:r>
                        <w:rPr>
                          <w:noProof/>
                          <w:sz w:val="18"/>
                          <w:szCs w:val="18"/>
                          <w:lang w:val="en-GB" w:eastAsia="en-GB"/>
                        </w:rPr>
                        <w:drawing>
                          <wp:inline distT="0" distB="0" distL="0" distR="0" wp14:anchorId="77BA3587" wp14:editId="3DA46FBC">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Cultivarea ideilor noi și împărtășirea inovațiilor:</w:t>
                      </w:r>
                    </w:p>
                    <w:p w:rsidR="008A60B4" w:rsidRPr="0079762F" w:rsidRDefault="008A60B4" w:rsidP="008C0B17">
                      <w:pPr>
                        <w:pStyle w:val="HStandard"/>
                        <w:numPr>
                          <w:ilvl w:val="0"/>
                          <w:numId w:val="26"/>
                        </w:numPr>
                        <w:ind w:left="567" w:hanging="567"/>
                        <w:rPr>
                          <w:sz w:val="18"/>
                          <w:szCs w:val="18"/>
                        </w:rPr>
                      </w:pPr>
                      <w:r>
                        <w:rPr>
                          <w:sz w:val="18"/>
                          <w:szCs w:val="18"/>
                        </w:rPr>
                        <w:t>colectarea de exemple de proiecte care vizează toate prioritățile PDR: acestea se pot concentra, de exemplu, asupra proiectelor inovatoare sau asupra creării de baze de date ale proiectelor inovatoare și asupra contribuirii, în acest mod, la identificarea și împărtășirea inovărilor.</w:t>
                      </w:r>
                    </w:p>
                    <w:p w:rsidR="008A60B4" w:rsidRPr="0079762F" w:rsidRDefault="008A60B4" w:rsidP="008C0B17">
                      <w:pPr>
                        <w:pStyle w:val="HStandard"/>
                        <w:numPr>
                          <w:ilvl w:val="0"/>
                          <w:numId w:val="26"/>
                        </w:numPr>
                        <w:ind w:left="567" w:hanging="567"/>
                        <w:rPr>
                          <w:sz w:val="18"/>
                          <w:szCs w:val="18"/>
                        </w:rPr>
                      </w:pPr>
                      <w:r>
                        <w:rPr>
                          <w:sz w:val="18"/>
                          <w:szCs w:val="18"/>
                        </w:rPr>
                        <w:t>facilitarea schimburilor tematice și analitice dintre părțile interesate din domeniul dezvoltării rurale, împărtășirea și diseminarea constatărilor. Astfel de schimburi pot încuraja, de asemenea, inovarea, prin cultivarea și împărtășirea de idei noi și prin crearea condițiilor pentru dezvoltarea de noi cunoștințe.</w:t>
                      </w:r>
                    </w:p>
                    <w:p w:rsidR="008A60B4" w:rsidRDefault="008A60B4" w:rsidP="008C0B17">
                      <w:pPr>
                        <w:pStyle w:val="HStandard"/>
                        <w:numPr>
                          <w:ilvl w:val="0"/>
                          <w:numId w:val="26"/>
                        </w:numPr>
                        <w:ind w:left="567" w:hanging="567"/>
                        <w:rPr>
                          <w:sz w:val="18"/>
                          <w:szCs w:val="18"/>
                        </w:rPr>
                      </w:pPr>
                      <w:r>
                        <w:rPr>
                          <w:sz w:val="18"/>
                          <w:szCs w:val="18"/>
                        </w:rPr>
                        <w:t>publicitate și informare cu privire la PDR și activități de informare și de comunicare destinate publicului larg. Acestea pot include, printre altele, informații privind realizările legate de inovare ale PDR, realizările grupurilor operaționale PEI, modul în care strategiile și parteneriatele DLRC promovează inovarea și exemple de astfel de parteneriate și proiecte inovatoare LEADER/DLRC etc.</w:t>
                      </w:r>
                    </w:p>
                    <w:p w:rsidR="008A60B4" w:rsidRPr="00E05D08" w:rsidRDefault="008A60B4" w:rsidP="008A0CFF">
                      <w:pPr>
                        <w:pStyle w:val="HStandard"/>
                        <w:rPr>
                          <w:b/>
                          <w:color w:val="F07E31"/>
                          <w:sz w:val="18"/>
                          <w:szCs w:val="18"/>
                        </w:rPr>
                      </w:pPr>
                      <w:r>
                        <w:rPr>
                          <w:b/>
                          <w:color w:val="F07E31"/>
                          <w:sz w:val="18"/>
                          <w:szCs w:val="18"/>
                        </w:rPr>
                        <w:t>Consolidarea capacității de inovare:</w:t>
                      </w:r>
                    </w:p>
                    <w:p w:rsidR="008A60B4" w:rsidRPr="0079762F" w:rsidRDefault="008A60B4" w:rsidP="008A0CFF">
                      <w:pPr>
                        <w:pStyle w:val="HStandard"/>
                        <w:numPr>
                          <w:ilvl w:val="0"/>
                          <w:numId w:val="26"/>
                        </w:numPr>
                        <w:rPr>
                          <w:sz w:val="18"/>
                          <w:szCs w:val="18"/>
                        </w:rPr>
                      </w:pPr>
                      <w:r>
                        <w:rPr>
                          <w:sz w:val="18"/>
                          <w:szCs w:val="18"/>
                        </w:rPr>
                        <w:t>furnizarea de activități de formare profesională și de colaborare în rețea pentru consilieri și serviciile de sprijinire a inovării, axate pe inovarea în agricultură, silvicultură și alte sectoare implicate în PDR. Formarea profesională a consilierilor și a serviciilor de sprijinire a inovării poate, de exemplu, să faciliteze crearea de grupuri operaționale PEI și, prin urmare, să contribuie la consolidarea capacității de inovare în zonele rurale, întrucât este de așteptat ca grupurile operaționale să dezvolte proiecte inovatoare.</w:t>
                      </w:r>
                    </w:p>
                    <w:p w:rsidR="008A60B4" w:rsidRPr="00ED3BAD" w:rsidRDefault="008A60B4" w:rsidP="008A0CFF">
                      <w:pPr>
                        <w:pStyle w:val="HStandard"/>
                        <w:numPr>
                          <w:ilvl w:val="0"/>
                          <w:numId w:val="26"/>
                        </w:numPr>
                        <w:rPr>
                          <w:sz w:val="18"/>
                          <w:szCs w:val="18"/>
                        </w:rPr>
                      </w:pPr>
                      <w:r>
                        <w:rPr>
                          <w:sz w:val="18"/>
                          <w:szCs w:val="18"/>
                        </w:rPr>
                        <w:t>furnizarea de activități de formare și de colaborare în rețea pentru GAL-uri, în special servicii de asistență tehnică pentru cooperarea interregională și transnațională, facilitarea cooperării între GAL-uri și căutarea de parteneri în cadrul măsurii M16 (cooperare). RNDR poate, de exemplu, să faciliteze eforturile de cooperare care sprijină experimentarea și inovarea.</w:t>
                      </w:r>
                    </w:p>
                    <w:p w:rsidR="008A60B4" w:rsidRPr="0079762F" w:rsidRDefault="008A60B4" w:rsidP="008A0CFF">
                      <w:pPr>
                        <w:pStyle w:val="HStandard"/>
                        <w:ind w:left="567" w:hanging="567"/>
                        <w:rPr>
                          <w:i/>
                          <w:sz w:val="18"/>
                          <w:szCs w:val="18"/>
                        </w:rPr>
                      </w:pPr>
                      <w:r>
                        <w:rPr>
                          <w:b/>
                          <w:color w:val="F07E31"/>
                          <w:sz w:val="18"/>
                          <w:szCs w:val="18"/>
                        </w:rPr>
                        <w:t>Crearea unui mediu favorizant pentru inovare:</w:t>
                      </w:r>
                    </w:p>
                    <w:p w:rsidR="008A60B4" w:rsidRPr="00ED3BAD" w:rsidRDefault="008A60B4" w:rsidP="008A0CFF">
                      <w:pPr>
                        <w:pStyle w:val="HStandard"/>
                        <w:numPr>
                          <w:ilvl w:val="0"/>
                          <w:numId w:val="29"/>
                        </w:numPr>
                        <w:ind w:left="567" w:hanging="567"/>
                        <w:rPr>
                          <w:sz w:val="18"/>
                          <w:szCs w:val="18"/>
                        </w:rPr>
                      </w:pPr>
                      <w:r>
                        <w:rPr>
                          <w:sz w:val="18"/>
                          <w:szCs w:val="18"/>
                        </w:rPr>
                        <w:t>participarea și aducerea de contribuții la activitățile rețelelor europene, în special REDR și PEI-AGRI, pot oferi posibilitatea de a promova un mediu favorizant pentru inovare prin intermediul acestor rețele.</w:t>
                      </w:r>
                    </w:p>
                    <w:p w:rsidR="008A60B4" w:rsidRPr="00547012" w:rsidRDefault="008A60B4" w:rsidP="00547012">
                      <w:pPr>
                        <w:pStyle w:val="HStandard"/>
                        <w:numPr>
                          <w:ilvl w:val="0"/>
                          <w:numId w:val="29"/>
                        </w:numPr>
                        <w:ind w:left="567" w:hanging="567"/>
                        <w:rPr>
                          <w:sz w:val="18"/>
                          <w:szCs w:val="18"/>
                        </w:rPr>
                      </w:pPr>
                      <w:r>
                        <w:rPr>
                          <w:sz w:val="18"/>
                          <w:szCs w:val="18"/>
                        </w:rPr>
                        <w:t>RNDR-urile pot stimula inovarea prin crearea de legături între actorii din domeniul inovării (fermieri, cercetători, ONG-uri, GAL-uri etc.), prin colectarea de informații, prin animarea inițiativelor ascendente, prin sprijinirea îmbunătățirii ideilor inovatoare și prin acordarea de asistență pentru găsirea unor parteneri și a finanțării, toate acestea contribuind la crearea unui mediu favorizant pentru inovare.</w:t>
                      </w:r>
                    </w:p>
                  </w:txbxContent>
                </v:textbox>
                <w10:wrap type="tight"/>
              </v:shape>
            </w:pict>
          </mc:Fallback>
        </mc:AlternateContent>
      </w:r>
    </w:p>
    <w:p w:rsidR="00A45935" w:rsidRPr="00E05D08" w:rsidRDefault="00A45935" w:rsidP="00E05D08">
      <w:pPr>
        <w:spacing w:before="120" w:after="120" w:line="280" w:lineRule="atLeast"/>
        <w:mirrorIndents/>
        <w:rPr>
          <w:rFonts w:eastAsia="Times New Roman" w:cs="Times New Roman"/>
          <w:szCs w:val="20"/>
        </w:rPr>
      </w:pPr>
      <w:r>
        <w:t>Trebuie remarcat faptul că această întrebare de evaluare se referă la RNDR-urile care încurajează inovarea nu numai în sectorul agricol, ci în zonele rurale în întregul lor. RNDR-urile pot fi active în multe moduri pentru a încuraja inovarea și a aduce „ceva nou” în comunitățile rurale, prin:</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colaborarea cu organizațiile și întreprinderile din mediul rural pentru a genera noi idei și abordări pentru satisfacerea nevoilor comune;</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valorificarea bunelor practici prin crearea de legături între practicienii din domeniul dezvoltării rurale și experții, cadrele universitare și institutele de cercetare relevante;</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lastRenderedPageBreak/>
        <w:t>furnizarea de cursuri de formare pe teme specifice legate de inovare;</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 xml:space="preserve">ajutarea GAL-urilor și a părților interesate LEADER, astfel încât acestea să sprijine inovarea ca un principiu-cheie al strategiilor lor de dezvoltare locală și să genereze noi idei și abordări. </w:t>
      </w:r>
    </w:p>
    <w:p w:rsidR="00A45935" w:rsidRPr="00E05D08" w:rsidRDefault="00A45935" w:rsidP="00E05D08">
      <w:pPr>
        <w:spacing w:after="120" w:line="280" w:lineRule="atLeast"/>
        <w:mirrorIndents/>
        <w:rPr>
          <w:rFonts w:eastAsia="Times New Roman" w:cs="Times New Roman"/>
          <w:szCs w:val="20"/>
        </w:rPr>
      </w:pPr>
      <w:r>
        <w:t xml:space="preserve">Prin urmare, este important ca, înainte de a aborda IEC nr. </w:t>
      </w:r>
      <w:r w:rsidRPr="00FA63BD">
        <w:t>21</w:t>
      </w:r>
      <w:r>
        <w:t>, să se clarifice aceste aspecte și să se obțină o bună înțelegere a modului în care o anumită RNDR poate stimula inovarea prin activitățile desfășurate.</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Provocări specifice </w:t>
      </w:r>
    </w:p>
    <w:p w:rsidR="00A45935" w:rsidRPr="00C9522B" w:rsidRDefault="00A45935" w:rsidP="00547012">
      <w:pPr>
        <w:pStyle w:val="Hlistbullet"/>
      </w:pPr>
      <w:r>
        <w:rPr>
          <w:b/>
          <w:bCs/>
          <w:shd w:val="clear" w:color="auto" w:fill="FFFFFF"/>
        </w:rPr>
        <w:t>Elaborarea unor elemente de evaluare suplimentare și specifice programului pentru evaluarea inovării în raport cu RNDR-uri.</w:t>
      </w:r>
      <w:r>
        <w:rPr>
          <w:shd w:val="clear" w:color="auto" w:fill="FFFFFF"/>
        </w:rPr>
        <w:t xml:space="preserve"> Cum se pot</w:t>
      </w:r>
      <w:r>
        <w:t xml:space="preserve"> elabora și utiliza indicatorii suplimentari (de rezultat și de impact), pe lângă indicatorii de realizare deja furnizați de SCME pentru </w:t>
      </w:r>
      <w:r>
        <w:rPr>
          <w:shd w:val="clear" w:color="auto" w:fill="FFFFFF"/>
        </w:rPr>
        <w:t>a</w:t>
      </w:r>
      <w:r>
        <w:t xml:space="preserve"> răspunde la IEC nr. </w:t>
      </w:r>
      <w:r w:rsidRPr="00FA63BD">
        <w:t>21</w:t>
      </w:r>
      <w:r>
        <w:t xml:space="preserve">, din perspectiva încurajării inovării? </w:t>
      </w:r>
    </w:p>
    <w:p w:rsidR="00A45935" w:rsidRPr="00C9522B" w:rsidRDefault="00A45935" w:rsidP="00547012">
      <w:pPr>
        <w:pStyle w:val="Hlistbullet"/>
      </w:pPr>
      <w:r>
        <w:rPr>
          <w:b/>
          <w:bCs/>
          <w:shd w:val="clear" w:color="auto" w:fill="FFFFFF"/>
        </w:rPr>
        <w:t>Atribuirea proceselor de inovare către intervențiile RNDR</w:t>
      </w:r>
      <w:r>
        <w:rPr>
          <w:b/>
          <w:shd w:val="clear" w:color="auto" w:fill="FFFFFF"/>
        </w:rPr>
        <w:t xml:space="preserve">. </w:t>
      </w:r>
      <w:r>
        <w:rPr>
          <w:shd w:val="clear" w:color="auto" w:fill="FFFFFF"/>
        </w:rPr>
        <w:t xml:space="preserve">Cum se evaluează măsura în care procesele de inovare generate în zonele rurale pot fi atribuite direct sau </w:t>
      </w:r>
      <w:r>
        <w:t>indirect</w:t>
      </w:r>
      <w:r>
        <w:rPr>
          <w:shd w:val="clear" w:color="auto" w:fill="FFFFFF"/>
        </w:rPr>
        <w:t xml:space="preserve"> activităților RNDR?</w:t>
      </w:r>
    </w:p>
    <w:p w:rsidR="00A45935" w:rsidRPr="00C9522B" w:rsidRDefault="00A45935" w:rsidP="00547012">
      <w:pPr>
        <w:pStyle w:val="Hlistbullet"/>
      </w:pPr>
      <w:r>
        <w:rPr>
          <w:b/>
          <w:bCs/>
        </w:rPr>
        <w:t>Atribuirea către RNDR a inovării promovate prin PDR</w:t>
      </w:r>
      <w:r>
        <w:t xml:space="preserve">, în special prin evaluarea măsurii în care inovarea promovată prin intermediul PDR poate fi legată de activitățile RNDR. Aceasta înseamnă că efectele activităților RNDR asupra promovării inovării ar trebui să fie izolate de efectele altor intervenții din cadrul PDR (alte măsuri etc.).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bCs/>
          <w:color w:val="57825E"/>
          <w:szCs w:val="20"/>
          <w:shd w:val="clear" w:color="auto" w:fill="FFFFFF"/>
        </w:rPr>
        <w:t xml:space="preserve">Abordare sugerată pentru a răspunde la IEC nr. </w:t>
      </w:r>
      <w:r w:rsidRPr="00FA63BD">
        <w:rPr>
          <w:b/>
          <w:bCs/>
          <w:color w:val="57825E"/>
          <w:szCs w:val="20"/>
          <w:shd w:val="clear" w:color="auto" w:fill="FFFFFF"/>
        </w:rPr>
        <w:t>21</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Logica de intervenție </w:t>
      </w:r>
    </w:p>
    <w:p w:rsidR="00A45935" w:rsidRPr="00E05D08" w:rsidRDefault="00A45935" w:rsidP="00E05D08">
      <w:pPr>
        <w:spacing w:after="120" w:line="280" w:lineRule="atLeast"/>
        <w:mirrorIndents/>
        <w:rPr>
          <w:rFonts w:eastAsia="Times New Roman" w:cs="Times New Roman"/>
          <w:szCs w:val="20"/>
        </w:rPr>
      </w:pPr>
      <w:r>
        <w:t>Abordarea PDR referitoare la inovare, astfel cum este stabilită pe parcursul conceperii programului</w:t>
      </w:r>
      <w:r>
        <w:rPr>
          <w:rFonts w:eastAsia="Times New Roman" w:cs="Times New Roman"/>
          <w:szCs w:val="20"/>
          <w:vertAlign w:val="superscript"/>
          <w:lang w:eastAsia="de-DE"/>
        </w:rPr>
        <w:footnoteReference w:id="61"/>
      </w:r>
      <w:r>
        <w:t xml:space="preserve">, include, de asemenea, RNDR. În pregătirea evaluării care trebuie raportată în raportul anual de punere în aplicare ce urmează să fie prezentat în </w:t>
      </w:r>
      <w:r w:rsidRPr="00FA63BD">
        <w:t>2019</w:t>
      </w:r>
      <w:r>
        <w:t>, grupul de acțiuni al RNDR inclus în planul de acțiune al RNDR este examinat în privința potențialului său de a încuraja inovarea în același mod ca măsurile PDR. Acest lucru se referă la potențialul RNDR: a) de a identifica și a împărtăși idei noi, b) de a consolida capacitatea de inovare, c) de a crea un mediu favorizant pentru inovare. În consecință, toate activitățile puse în aplicare în cadrul grupului de acțiuni al RNDR care și-au demonstrat potențialul de inovare sunt luate în considerare ca parte a logicii de intervenție subiacente legate de inovație a RNDR.</w:t>
      </w:r>
    </w:p>
    <w:p w:rsidR="00A45935" w:rsidRPr="00E05D08" w:rsidRDefault="00A45935" w:rsidP="006E2A31">
      <w:pPr>
        <w:pStyle w:val="HStandard"/>
        <w:rPr>
          <w:b/>
          <w:sz w:val="16"/>
        </w:rPr>
      </w:pPr>
      <w:r>
        <w:t xml:space="preserve">Figura de mai jos ilustrează logica de intervenție legată de inovare a RNDR și modul în care poate fi reconstruită pe baza logicii de intervenție existente a RNDR sau pe baza planului de acțiune al RNDR. </w:t>
      </w:r>
      <w:r>
        <w:br w:type="page"/>
      </w:r>
    </w:p>
    <w:p w:rsidR="00A45935" w:rsidRPr="00CB68D9" w:rsidRDefault="00A45935" w:rsidP="00676B41">
      <w:pPr>
        <w:pStyle w:val="HHeadingfigures"/>
      </w:pPr>
      <w:bookmarkStart w:id="119" w:name="_Toc508889207"/>
      <w:r>
        <w:lastRenderedPageBreak/>
        <w:t>Logica de intervenție a RNDR în ceea ce privește inovarea</w:t>
      </w:r>
      <w:bookmarkEnd w:id="119"/>
    </w:p>
    <w:p w:rsidR="00A45935" w:rsidRPr="00E05D08" w:rsidRDefault="006F3795" w:rsidP="00E05D08">
      <w:pPr>
        <w:spacing w:before="240" w:after="120" w:line="280" w:lineRule="atLeast"/>
        <w:ind w:left="-142"/>
        <w:mirrorIndents/>
        <w:jc w:val="center"/>
        <w:rPr>
          <w:rFonts w:eastAsia="Times New Roman" w:cs="Times New Roman"/>
          <w:b/>
          <w:szCs w:val="20"/>
        </w:rPr>
      </w:pPr>
      <w:r>
        <w:rPr>
          <w:noProof/>
          <w:lang w:val="en-GB" w:eastAsia="en-GB"/>
        </w:rPr>
        <w:drawing>
          <wp:inline distT="0" distB="0" distL="0" distR="0" wp14:anchorId="2F5ABE37" wp14:editId="47401F65">
            <wp:extent cx="5731510" cy="3528114"/>
            <wp:effectExtent l="0" t="0" r="254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3528114"/>
                    </a:xfrm>
                    <a:prstGeom prst="rect">
                      <a:avLst/>
                    </a:prstGeom>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 xml:space="preserve">Sursă: Serviciul european de asistență pentru evaluare în domeniul dezvoltării rurale, </w:t>
      </w:r>
      <w:r w:rsidRPr="00FA63BD">
        <w:rPr>
          <w:i/>
          <w:sz w:val="16"/>
          <w:szCs w:val="20"/>
        </w:rPr>
        <w:t>2017</w:t>
      </w:r>
    </w:p>
    <w:p w:rsidR="00A45935" w:rsidRPr="00E05D08" w:rsidRDefault="00A45935" w:rsidP="00E05D08">
      <w:pPr>
        <w:spacing w:before="120" w:after="120" w:line="280" w:lineRule="atLeast"/>
        <w:mirrorIndents/>
        <w:rPr>
          <w:rFonts w:eastAsia="Times New Roman" w:cs="Times New Roman"/>
          <w:szCs w:val="20"/>
        </w:rPr>
      </w:pPr>
      <w:r>
        <w:t>Pe baza figurii, o logică de intervenție legată de inovare a RNDR poate fi reconstruită în felul următor:</w:t>
      </w:r>
    </w:p>
    <w:p w:rsidR="00A45935" w:rsidRPr="00BC2432" w:rsidRDefault="00A45935" w:rsidP="00676B41">
      <w:pPr>
        <w:pStyle w:val="Hlistbullet"/>
      </w:pPr>
      <w:r>
        <w:rPr>
          <w:b/>
          <w:bCs/>
        </w:rPr>
        <w:t xml:space="preserve">ETAPA </w:t>
      </w:r>
      <w:r w:rsidRPr="00FA63BD">
        <w:rPr>
          <w:b/>
          <w:bCs/>
        </w:rPr>
        <w:t>1</w:t>
      </w:r>
      <w:r>
        <w:rPr>
          <w:b/>
          <w:bCs/>
        </w:rPr>
        <w:t>:</w:t>
      </w:r>
      <w:r>
        <w:t xml:space="preserve"> Identificarea nevoilor de inovare ale teritoriului PDR care pot fi abordate prin intermediul rețelelor de dezvoltare rurală. </w:t>
      </w:r>
    </w:p>
    <w:p w:rsidR="00A45935" w:rsidRPr="00BC2432" w:rsidRDefault="00A45935" w:rsidP="00676B41">
      <w:pPr>
        <w:pStyle w:val="Hlistbullet"/>
      </w:pPr>
      <w:r>
        <w:rPr>
          <w:b/>
        </w:rPr>
        <w:t xml:space="preserve">ETAPA </w:t>
      </w:r>
      <w:r w:rsidRPr="00FA63BD">
        <w:rPr>
          <w:b/>
        </w:rPr>
        <w:t>2</w:t>
      </w:r>
      <w:r>
        <w:rPr>
          <w:b/>
        </w:rPr>
        <w:t>:</w:t>
      </w:r>
      <w:r>
        <w:t xml:space="preserve"> Corelarea activităților, astfel cum sunt enumerate în planul de acțiune al RNDR (și predefinite în cadrul de reglementare al perioadei de programare </w:t>
      </w:r>
      <w:r w:rsidRPr="00FA63BD">
        <w:t>2014</w:t>
      </w:r>
      <w:r>
        <w:t>-</w:t>
      </w:r>
      <w:r w:rsidRPr="00FA63BD">
        <w:t>2020</w:t>
      </w:r>
      <w:r>
        <w:rPr>
          <w:rFonts w:cs="Arial"/>
          <w:vertAlign w:val="superscript"/>
        </w:rPr>
        <w:footnoteReference w:id="62"/>
      </w:r>
      <w:r>
        <w:t xml:space="preserve">), cu cele trei modalități și, prin urmare, cu obiectivul general de a încuraja inovarea prin RNDR (pe baza analizei potențialul de inovare al măsurilor – a se vedea </w:t>
      </w:r>
      <w:hyperlink w:anchor="Screening_Potential" w:history="1">
        <w:r>
          <w:rPr>
            <w:rStyle w:val="Hyperlink"/>
            <w:sz w:val="20"/>
          </w:rPr>
          <w:t xml:space="preserve">capitolul </w:t>
        </w:r>
        <w:r w:rsidRPr="00FA63BD">
          <w:rPr>
            <w:rStyle w:val="Hyperlink"/>
            <w:sz w:val="20"/>
          </w:rPr>
          <w:t>2</w:t>
        </w:r>
        <w:r>
          <w:rPr>
            <w:rStyle w:val="Hyperlink"/>
            <w:sz w:val="20"/>
          </w:rPr>
          <w:t>.</w:t>
        </w:r>
        <w:r w:rsidRPr="00FA63BD">
          <w:rPr>
            <w:rStyle w:val="Hyperlink"/>
            <w:sz w:val="20"/>
          </w:rPr>
          <w:t>2</w:t>
        </w:r>
      </w:hyperlink>
      <w:r>
        <w:t>)</w:t>
      </w:r>
    </w:p>
    <w:p w:rsidR="00A45935" w:rsidRPr="00BC2432" w:rsidRDefault="00A45935" w:rsidP="00676B41">
      <w:pPr>
        <w:pStyle w:val="Hlistbullet"/>
      </w:pPr>
      <w:r>
        <w:rPr>
          <w:b/>
        </w:rPr>
        <w:t xml:space="preserve">ETAPA </w:t>
      </w:r>
      <w:r w:rsidRPr="00FA63BD">
        <w:rPr>
          <w:b/>
        </w:rPr>
        <w:t>3</w:t>
      </w:r>
      <w:r>
        <w:rPr>
          <w:b/>
        </w:rPr>
        <w:t>:</w:t>
      </w:r>
      <w:r>
        <w:t xml:space="preserve"> Utilizarea teoriei schimbării pentru a defini realizările preconizate, astfel cum sunt generate de activități, care conduc la rezultatele preconizate, astfel cum sunt corelate cu cele trei modalități. Impacturile sunt legate de obiectivele comune ale RNDR și de obiectivele PDR.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Elemente de evaluare </w:t>
      </w:r>
    </w:p>
    <w:p w:rsidR="00A45935" w:rsidRPr="00E05D08" w:rsidRDefault="00A45935" w:rsidP="00676B41">
      <w:pPr>
        <w:spacing w:after="120" w:line="280" w:lineRule="atLeast"/>
        <w:ind w:left="142"/>
        <w:mirrorIndents/>
        <w:rPr>
          <w:rFonts w:eastAsia="Times New Roman" w:cs="Times New Roman"/>
          <w:szCs w:val="20"/>
        </w:rPr>
      </w:pPr>
      <w:r>
        <w:t xml:space="preserve">Există un singur criteriu de apreciere pentru a răspunde la IEC nr. </w:t>
      </w:r>
      <w:r w:rsidRPr="00FA63BD">
        <w:t>21</w:t>
      </w:r>
      <w:r>
        <w:t>, și anume „Inovarea în agricultură, producția alimentară, silvicultură și zonele rurale a fost încurajată de RNDR”</w:t>
      </w:r>
      <w:r>
        <w:rPr>
          <w:rFonts w:eastAsia="Times New Roman" w:cs="Times New Roman"/>
          <w:szCs w:val="20"/>
          <w:vertAlign w:val="superscript"/>
          <w:lang w:eastAsia="de-DE"/>
        </w:rPr>
        <w:footnoteReference w:id="63"/>
      </w:r>
      <w:r>
        <w:t>. Acesta este sprijinit de doi indicatori de realizare comuni</w:t>
      </w:r>
      <w:r>
        <w:rPr>
          <w:rFonts w:eastAsia="Times New Roman" w:cs="Times New Roman"/>
          <w:szCs w:val="20"/>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rPr>
          <w:szCs w:val="20"/>
        </w:rPr>
      </w:pPr>
      <w:r>
        <w:t>Numărul schimburilor tematice și analitice stabilite cu sprijinul RNDR (O</w:t>
      </w:r>
      <w:r w:rsidRPr="00FA63BD">
        <w:t>24</w:t>
      </w:r>
      <w:r>
        <w:t>)</w:t>
      </w:r>
    </w:p>
    <w:p w:rsidR="00A45935" w:rsidRPr="005D0347" w:rsidRDefault="00A45935" w:rsidP="008C0B17">
      <w:pPr>
        <w:numPr>
          <w:ilvl w:val="0"/>
          <w:numId w:val="95"/>
        </w:numPr>
        <w:tabs>
          <w:tab w:val="left" w:pos="426"/>
        </w:tabs>
        <w:ind w:left="426" w:hanging="284"/>
        <w:mirrorIndents/>
        <w:rPr>
          <w:szCs w:val="20"/>
        </w:rPr>
      </w:pPr>
      <w:r>
        <w:t>Numărul activităților REDR la care a participat RNDR (O</w:t>
      </w:r>
      <w:r w:rsidRPr="00FA63BD">
        <w:t>26</w:t>
      </w:r>
      <w:r>
        <w:t>)</w:t>
      </w:r>
    </w:p>
    <w:p w:rsidR="00A45935" w:rsidRPr="00E05D08" w:rsidRDefault="00A45935" w:rsidP="00E05D08">
      <w:pPr>
        <w:spacing w:after="120" w:line="280" w:lineRule="atLeast"/>
        <w:mirrorIndents/>
        <w:rPr>
          <w:rFonts w:eastAsia="Times New Roman" w:cs="Times New Roman"/>
          <w:szCs w:val="20"/>
        </w:rPr>
      </w:pPr>
      <w:r>
        <w:t xml:space="preserve">Criteriile de apreciere și indicatorii suplimentari sunt propuși în tabelul </w:t>
      </w:r>
      <w:r w:rsidRPr="00FA63BD">
        <w:t>5</w:t>
      </w:r>
      <w:r>
        <w:t>. În acest scop, criteriul de apreciere existent a fost împărțit în mai multe criterii, pe baza celor trei modalități de inovare.</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20" w:name="_Toc508889193"/>
      <w:r>
        <w:rPr>
          <w:color w:val="6F6F6F"/>
          <w:sz w:val="18"/>
          <w:szCs w:val="18"/>
        </w:rPr>
        <w:lastRenderedPageBreak/>
        <w:t xml:space="preserve">Criteriile de apreciere, indicatorii și sursele de date suplimentare propuse pentru a răspunde la IEC nr. </w:t>
      </w:r>
      <w:r w:rsidRPr="00FA63BD">
        <w:rPr>
          <w:color w:val="6F6F6F"/>
          <w:sz w:val="18"/>
          <w:szCs w:val="18"/>
        </w:rPr>
        <w:t>21</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Criterii de apreciere</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Indicatori</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Date necesare</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Surse de date</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Elemente de evaluare comune (SCME și elementele propuse în documentul de lucru „</w:t>
            </w:r>
            <w:r>
              <w:rPr>
                <w:b/>
                <w:i/>
                <w:iCs/>
                <w:color w:val="FFFFFF"/>
                <w:sz w:val="18"/>
                <w:szCs w:val="18"/>
              </w:rPr>
              <w:t xml:space="preserve">Întrebări de evaluare comune pentru perioada </w:t>
            </w:r>
            <w:r w:rsidRPr="00FA63BD">
              <w:rPr>
                <w:b/>
                <w:bCs/>
                <w:i/>
                <w:iCs/>
                <w:color w:val="FFFFFF"/>
                <w:sz w:val="18"/>
                <w:szCs w:val="18"/>
              </w:rPr>
              <w:t>2014</w:t>
            </w:r>
            <w:r>
              <w:rPr>
                <w:b/>
                <w:bCs/>
                <w:i/>
                <w:iCs/>
                <w:color w:val="FFFFFF"/>
                <w:sz w:val="18"/>
                <w:szCs w:val="18"/>
              </w:rPr>
              <w:t>-</w:t>
            </w:r>
            <w:r w:rsidRPr="00FA63BD">
              <w:rPr>
                <w:b/>
                <w:bCs/>
                <w:i/>
                <w:iCs/>
                <w:color w:val="FFFFFF"/>
                <w:sz w:val="18"/>
                <w:szCs w:val="18"/>
              </w:rPr>
              <w:t>2020</w:t>
            </w:r>
            <w:r>
              <w:rPr>
                <w:b/>
                <w:color w:val="FFFFFF"/>
                <w:sz w:val="18"/>
                <w:szCs w:val="18"/>
              </w:rPr>
              <w:t>”)</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Inovarea în agricultură, producția alimentară, silvicultură și zonele rurale a fost încurajată de RNDR.</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w:t>
            </w:r>
            <w:r w:rsidRPr="00FA63BD">
              <w:rPr>
                <w:sz w:val="18"/>
                <w:szCs w:val="18"/>
                <w14:textFill>
                  <w14:solidFill>
                    <w14:srgbClr w14:val="373737">
                      <w14:lumMod w14:val="75000"/>
                    </w14:srgbClr>
                  </w14:solidFill>
                </w14:textFill>
              </w:rPr>
              <w:t>24</w:t>
            </w:r>
            <w:r>
              <w:rPr>
                <w:sz w:val="18"/>
                <w:szCs w:val="18"/>
                <w14:textFill>
                  <w14:solidFill>
                    <w14:srgbClr w14:val="373737">
                      <w14:lumMod w14:val="75000"/>
                    </w14:srgbClr>
                  </w14:solidFill>
                </w14:textFill>
              </w:rPr>
              <w:t xml:space="preserve"> – Numărul schimburilor tematice și analitice stabilite cu sprijinul RNDR (al celor legate de inovare).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w:t>
            </w:r>
            <w:r w:rsidRPr="00FA63BD">
              <w:rPr>
                <w:sz w:val="18"/>
                <w:szCs w:val="18"/>
                <w14:textFill>
                  <w14:solidFill>
                    <w14:srgbClr w14:val="373737">
                      <w14:lumMod w14:val="75000"/>
                    </w14:srgbClr>
                  </w14:solidFill>
                </w14:textFill>
              </w:rPr>
              <w:t>25</w:t>
            </w:r>
            <w:r>
              <w:rPr>
                <w:sz w:val="18"/>
                <w:szCs w:val="18"/>
                <w14:textFill>
                  <w14:solidFill>
                    <w14:srgbClr w14:val="373737">
                      <w14:lumMod w14:val="75000"/>
                    </w14:srgbClr>
                  </w14:solidFill>
                </w14:textFill>
              </w:rPr>
              <w:t xml:space="preserve"> – Numărul instrumentelor de comunicare ale RNDR (al celor legate de inovare).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w:t>
            </w:r>
            <w:r w:rsidRPr="00FA63BD">
              <w:rPr>
                <w:sz w:val="18"/>
                <w:szCs w:val="18"/>
                <w14:textFill>
                  <w14:solidFill>
                    <w14:srgbClr w14:val="373737">
                      <w14:lumMod w14:val="75000"/>
                    </w14:srgbClr>
                  </w14:solidFill>
                </w14:textFill>
              </w:rPr>
              <w:t>26</w:t>
            </w:r>
            <w:r>
              <w:rPr>
                <w:sz w:val="18"/>
                <w:szCs w:val="18"/>
                <w14:textFill>
                  <w14:solidFill>
                    <w14:srgbClr w14:val="373737">
                      <w14:lumMod w14:val="75000"/>
                    </w14:srgbClr>
                  </w14:solidFill>
                </w14:textFill>
              </w:rPr>
              <w:t xml:space="preserve"> – Numărul activităților REDR la care a participat RNDR (al celor legate de inovare)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Indicator suplimentar: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 al proiectelor inovatoare încurajate de RNDR din numărul total de proiecte inovatoare sprijinite de PDR.</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Date privind schimburile tematice și analitice inovatoare stabilite de RNDR.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Date privind instrumentele de comunicare legate de inovare stabilite de RNDR.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Informații privind activitățile REDR legate de inovare la care a participat RNDR.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Date privind proiectele de inovare ale PDR inițiate/sprijinite de RNDR.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Sistemul de monitorizare al PDR.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Monitorizarea și autoevaluarea RNDR.</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Monitorizarea REDR (statistici de rețea).</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Elemente de evaluare suplimentare legate de contribuția RNDR la identificarea și împărtășirea inovării (opțional)</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Activitățile de publicitate, de informare și de comunicare realizate de RNDR în ceea ce privește inovarea în cadrul PDR s-au intensificat.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activităților de publicitate, de informare și de comunicare privind inovarea desfășurate de RNDR.</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activităților de publicitate, de informare și de comunicare, în funcție de teme.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Monitorizarea și autoevaluarea RNDR-urilor.</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Interviuri.</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Publicații ale RNDR.</w:t>
            </w:r>
          </w:p>
        </w:tc>
      </w:tr>
    </w:tbl>
    <w:p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Criterii de apreciere</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Indicatori</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Date necesare</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Surse de date</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Elemente de evaluare suplimentare legate de contribuția RNDR la consolidarea capacității de inovare (opțional)</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Activitățile RNDR privind formarea și colaborarea în rețea s-au intensificat pentru: a) consilieri și serviciile de sprijinire a inovării și/sau b) GAL-uri.</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activităților RNDR de formare profesională și de colaborare în rețea pentru: a) consilieri și serviciile de sprijinire a inovării și/sau b) GAL-uri.</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activităților de formare profesională și de colaborare în rețea, în funcție de grupul-țintă.</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RNDR-uri (monitorizare, autoevaluare, interviuri, publicații).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GAL-uri (interviuri, sondaje, grupuri de reflecție).</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Capacitatea consilierilor și a serviciilor de sprijinire a inovării de a facilita crearea grupurilor operaționale s-a îmbunătățit datorită activităților RNDR.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grupurilor operaționale care au fost create cu sprijinul consilierilor/serviciilor de sprijinire a inovării care au beneficiat de activități de formare profesională/de colaborare în rețea din partea RNDR.</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grupurilor operaționale create cu sprijinul consilierilor/serviciilor de sprijinire a inovării.</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grupurilor operaționale create cu sprijinul consilierilor/serviciilor de sprijinire a inovării care au beneficiat de activități de formare profesională/de colaborare în rețea din partea RNDR.</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RNDR-uri (monitorizare, autoevaluare, interviuri, publicații).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Sondaje/grupuri de reflecție implicând grupurile operaționale.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Sondaje/grupuri de reflecție implicând consilieri (servicii de sprijinire a inovării).</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Elemente de evaluare suplimentare legate de contribuția RNDR la crearea unui mediu favorizant pentru inovare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Participarea RNDR la activitățile REDR legate de inovare a crescut.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activităților REDR la care a participat RNDR (O.</w:t>
            </w:r>
            <w:r w:rsidRPr="00FA63BD">
              <w:rPr>
                <w:sz w:val="18"/>
                <w:szCs w:val="18"/>
                <w14:textFill>
                  <w14:solidFill>
                    <w14:srgbClr w14:val="373737">
                      <w14:lumMod w14:val="75000"/>
                    </w14:srgbClr>
                  </w14:solidFill>
                </w14:textFill>
              </w:rPr>
              <w:t>26</w:t>
            </w:r>
            <w:r>
              <w:rPr>
                <w:sz w:val="18"/>
                <w:szCs w:val="18"/>
                <w14:textFill>
                  <w14:solidFill>
                    <w14:srgbClr w14:val="373737">
                      <w14:lumMod w14:val="75000"/>
                    </w14:srgbClr>
                  </w14:solidFill>
                </w14:textFill>
              </w:rPr>
              <w:t xml:space="preserve">), dintre care cele cu teme privind inovarea.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activităților REDR la care a participat RNDR (elementul de date O.</w:t>
            </w:r>
            <w:r w:rsidRPr="00FA63BD">
              <w:rPr>
                <w:sz w:val="18"/>
                <w:szCs w:val="18"/>
                <w14:textFill>
                  <w14:solidFill>
                    <w14:srgbClr w14:val="373737">
                      <w14:lumMod w14:val="75000"/>
                    </w14:srgbClr>
                  </w14:solidFill>
                </w14:textFill>
              </w:rPr>
              <w:t>26</w:t>
            </w:r>
            <w:r>
              <w:rPr>
                <w:sz w:val="18"/>
                <w:szCs w:val="18"/>
                <w14:textFill>
                  <w14:solidFill>
                    <w14:srgbClr w14:val="373737">
                      <w14:lumMod w14:val="75000"/>
                    </w14:srgbClr>
                  </w14:solidFill>
                </w14:textFill>
              </w:rPr>
              <w:t>), în funcție de temă.</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Tabele de monitorizare.</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RNDR-uri (monitorizare, autoevaluare, interviuri, publicații).</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Participarea RNDR la activitățile PEI a crescut.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și tipul contribuțiilor RNDR la PEI-AGRI, dintre care: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furnizarea de exemple de proiecte/bune practici care vizează inovarea;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organizarea de reuniuni privind inovarea;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evenimente destinate colaborării în rețea între părțile interesate din domeniul </w:t>
            </w:r>
            <w:r>
              <w:rPr>
                <w:sz w:val="18"/>
                <w:szCs w:val="18"/>
                <w14:textFill>
                  <w14:solidFill>
                    <w14:srgbClr w14:val="373737">
                      <w14:lumMod w14:val="75000"/>
                    </w14:srgbClr>
                  </w14:solidFill>
                </w14:textFill>
              </w:rPr>
              <w:lastRenderedPageBreak/>
              <w:t>inovării, și anume GAL-urile și grupurile operaționale;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schimburi transfrontaliere de informații privind proiectele, inițiativele de cercetare, rețelele tematice și posibilitățile de finanțare din cadrul programului Orizont </w:t>
            </w:r>
            <w:r w:rsidRPr="00FA63BD">
              <w:rPr>
                <w:sz w:val="18"/>
                <w:szCs w:val="18"/>
                <w14:textFill>
                  <w14:solidFill>
                    <w14:srgbClr w14:val="373737">
                      <w14:lumMod w14:val="75000"/>
                    </w14:srgbClr>
                  </w14:solidFill>
                </w14:textFill>
              </w:rPr>
              <w:t>2020</w:t>
            </w:r>
            <w:r>
              <w:rPr>
                <w:sz w:val="18"/>
                <w:szCs w:val="18"/>
                <w14:textFill>
                  <w14:solidFill>
                    <w14:srgbClr w14:val="373737">
                      <w14:lumMod w14:val="75000"/>
                    </w14:srgbClr>
                  </w14:solidFill>
                </w14:textFill>
              </w:rPr>
              <w: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sprijinirea activităților adresate serviciilor de sprijinire a inovării în vederea animării acțiunilor inovatoare și a creării de grupuri operaționale;</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sprijin pentru căutarea de parteneri.</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Numărul de contribuții ale RNDR la PEI în funcție de tip, astfel cum se prevede la articolul </w:t>
            </w:r>
            <w:r w:rsidRPr="00FA63BD">
              <w:rPr>
                <w:sz w:val="18"/>
                <w:szCs w:val="18"/>
                <w14:textFill>
                  <w14:solidFill>
                    <w14:srgbClr w14:val="373737">
                      <w14:lumMod w14:val="75000"/>
                    </w14:srgbClr>
                  </w14:solidFill>
                </w14:textFill>
              </w:rPr>
              <w:t>35</w:t>
            </w:r>
            <w:r>
              <w:rPr>
                <w:sz w:val="18"/>
                <w:szCs w:val="18"/>
                <w14:textFill>
                  <w14:solidFill>
                    <w14:srgbClr w14:val="373737">
                      <w14:lumMod w14:val="75000"/>
                    </w14:srgbClr>
                  </w14:solidFill>
                </w14:textFill>
              </w:rPr>
              <w:t xml:space="preserve"> alineatul (</w:t>
            </w:r>
            <w:r w:rsidRPr="00FA63BD">
              <w:rPr>
                <w:sz w:val="18"/>
                <w:szCs w:val="18"/>
                <w14:textFill>
                  <w14:solidFill>
                    <w14:srgbClr w14:val="373737">
                      <w14:lumMod w14:val="75000"/>
                    </w14:srgbClr>
                  </w14:solidFill>
                </w14:textFill>
              </w:rPr>
              <w:t>2</w:t>
            </w:r>
            <w:r>
              <w:rPr>
                <w:sz w:val="18"/>
                <w:szCs w:val="18"/>
                <w14:textFill>
                  <w14:solidFill>
                    <w14:srgbClr w14:val="373737">
                      <w14:lumMod w14:val="75000"/>
                    </w14:srgbClr>
                  </w14:solidFill>
                </w14:textFill>
              </w:rPr>
              <w:t xml:space="preserve">) literele (a)-(f) din Regulamentul (UE) nr. </w:t>
            </w:r>
            <w:r w:rsidRPr="00FA63BD">
              <w:rPr>
                <w:sz w:val="18"/>
                <w:szCs w:val="18"/>
                <w14:textFill>
                  <w14:solidFill>
                    <w14:srgbClr w14:val="373737">
                      <w14:lumMod w14:val="75000"/>
                    </w14:srgbClr>
                  </w14:solidFill>
                </w14:textFill>
              </w:rPr>
              <w:t>1305</w:t>
            </w:r>
            <w:r>
              <w:rPr>
                <w:sz w:val="18"/>
                <w:szCs w:val="18"/>
                <w14:textFill>
                  <w14:solidFill>
                    <w14:srgbClr w14:val="373737">
                      <w14:lumMod w14:val="75000"/>
                    </w14:srgbClr>
                  </w14:solidFill>
                </w14:textFill>
              </w:rPr>
              <w:t>/</w:t>
            </w:r>
            <w:r w:rsidRPr="00FA63BD">
              <w:rPr>
                <w:sz w:val="18"/>
                <w:szCs w:val="18"/>
                <w14:textFill>
                  <w14:solidFill>
                    <w14:srgbClr w14:val="373737">
                      <w14:lumMod w14:val="75000"/>
                    </w14:srgbClr>
                  </w14:solidFill>
                </w14:textFill>
              </w:rPr>
              <w:t>2013</w:t>
            </w:r>
            <w:r>
              <w:rPr>
                <w:sz w:val="18"/>
                <w:szCs w:val="18"/>
                <w14:textFill>
                  <w14:solidFill>
                    <w14:srgbClr w14:val="373737">
                      <w14:lumMod w14:val="75000"/>
                    </w14:srgbClr>
                  </w14:solidFill>
                </w14:textFill>
              </w:rPr>
              <w: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RNDR-uri (monitorizare, autoevaluare, interviuri, publicații).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Structura rețelei la nivelul statelor membre pentru serviciile de sprijinire a inovării (dacă este separată de RNDR).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Punctul de servicii PEI.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Sondaje/grupuri de reflecție implicând proiectele grupurilor operaționale.</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Intensificarea colaborării, a schimburilor și a colaborării în rețea între partenerii din cadrul proiectului de inovare.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Numărul de rețele/parteneriate/grupuri de cooperare suplimentare în rândul partenerilor din cadrul proiectelor de inovare încurajați de RNDR.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Numărul de rețele, parteneriate și/sau grupuri de cooperare în rândul partenerilor din cadrul proiectelor de inovare care au fost susținuți de RNDR.</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Baza de date RNDR.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Sondaje/grupuri de reflecție.</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Metodologia de evaluare propusă </w:t>
      </w:r>
    </w:p>
    <w:p w:rsidR="00A45935" w:rsidRPr="00E05D08" w:rsidRDefault="00A45935" w:rsidP="00E05D08">
      <w:pPr>
        <w:spacing w:after="120" w:line="280" w:lineRule="atLeast"/>
        <w:mirrorIndents/>
        <w:rPr>
          <w:rFonts w:eastAsia="Times New Roman" w:cs="Arial"/>
          <w:szCs w:val="20"/>
        </w:rPr>
      </w:pPr>
      <w:r>
        <w:t xml:space="preserve">Se recomandă următoarele etape pentru a răspunde la IEC nr. </w:t>
      </w:r>
      <w:r w:rsidRPr="00FA63BD">
        <w:t>21</w:t>
      </w:r>
      <w:r>
        <w:t>:</w:t>
      </w:r>
    </w:p>
    <w:p w:rsidR="00A45935" w:rsidRPr="007707EC" w:rsidRDefault="00A45935" w:rsidP="00676B41">
      <w:pPr>
        <w:pStyle w:val="Hlistbullet"/>
      </w:pPr>
      <w:r>
        <w:rPr>
          <w:b/>
        </w:rPr>
        <w:t xml:space="preserve">ETAPA </w:t>
      </w:r>
      <w:r w:rsidRPr="00FA63BD">
        <w:rPr>
          <w:b/>
        </w:rPr>
        <w:t>1</w:t>
      </w:r>
      <w:r>
        <w:rPr>
          <w:b/>
        </w:rPr>
        <w:t xml:space="preserve">: </w:t>
      </w:r>
      <w:r>
        <w:rPr>
          <w:b/>
          <w:bCs/>
        </w:rPr>
        <w:t xml:space="preserve">Pentru a identifica contribuția RNDR la încurajarea inovării, colectați informații </w:t>
      </w:r>
      <w:r>
        <w:t xml:space="preserve">de la părțile interesate implicate în acțiunile RNDR care au un potențial de inovare. Aceasta se poate realiza prin utilizarea criteriilor de apreciere și a indicatorilor și prin punerea în aplicare a metodelor incluse în tabelul </w:t>
      </w:r>
      <w:r w:rsidRPr="00FA63BD">
        <w:t>6</w:t>
      </w:r>
      <w:r>
        <w:t xml:space="preserve"> de mai jos.</w:t>
      </w:r>
    </w:p>
    <w:p w:rsidR="00A45935" w:rsidRPr="007707EC" w:rsidRDefault="00A45935" w:rsidP="00676B41">
      <w:pPr>
        <w:pStyle w:val="Hlistbullet"/>
      </w:pPr>
      <w:r>
        <w:rPr>
          <w:b/>
        </w:rPr>
        <w:t xml:space="preserve">ETAPA </w:t>
      </w:r>
      <w:r w:rsidRPr="00FA63BD">
        <w:rPr>
          <w:b/>
        </w:rPr>
        <w:t>2</w:t>
      </w:r>
      <w:r>
        <w:rPr>
          <w:b/>
        </w:rPr>
        <w:t xml:space="preserve">: Cuantificați indicatorii de realizare și indicatorii specifici RNDR legați de inovare </w:t>
      </w:r>
      <w:r>
        <w:t xml:space="preserve">utilizând datele de monitorizare privind activitățile RNDR din baza de date a operațiunilor PDR și sistemul de monitorizare al RNDR. </w:t>
      </w:r>
    </w:p>
    <w:p w:rsidR="00A45935" w:rsidRPr="007707EC" w:rsidRDefault="00A45935" w:rsidP="00676B41">
      <w:pPr>
        <w:pStyle w:val="Hlistbullet"/>
      </w:pPr>
      <w:r>
        <w:rPr>
          <w:b/>
        </w:rPr>
        <w:t xml:space="preserve">ETAPA </w:t>
      </w:r>
      <w:r w:rsidRPr="00FA63BD">
        <w:rPr>
          <w:b/>
        </w:rPr>
        <w:t>3</w:t>
      </w:r>
      <w:r>
        <w:rPr>
          <w:b/>
        </w:rPr>
        <w:t xml:space="preserve">: </w:t>
      </w:r>
      <w:r>
        <w:rPr>
          <w:b/>
          <w:bCs/>
        </w:rPr>
        <w:t xml:space="preserve">Aplicați teoria schimbării pentru a compara constatările privind </w:t>
      </w:r>
      <w:r w:rsidR="006C483F">
        <w:t>activitățile RNDR puse în aplicare</w:t>
      </w:r>
      <w:r w:rsidR="006C483F">
        <w:rPr>
          <w:b/>
          <w:bCs/>
        </w:rPr>
        <w:t xml:space="preserve"> cu </w:t>
      </w:r>
      <w:r>
        <w:rPr>
          <w:b/>
          <w:bCs/>
        </w:rPr>
        <w:t>potențialul de inovare</w:t>
      </w:r>
      <w:r w:rsidR="006C483F">
        <w:t xml:space="preserve"> al activităților RNDR stabilit</w:t>
      </w:r>
      <w:r>
        <w:t xml:space="preserve"> la înc</w:t>
      </w:r>
      <w:r w:rsidR="006C483F">
        <w:t>eputul procesului de evaluare</w:t>
      </w:r>
      <w:r>
        <w:t>. Acest lucru include realizarea unei cronologii cauzale și a unei prezentări narative a realizărilor activităților RNDR în ceea ce privește modalitățile de inovare și modul în care s-au desfășurat acestea (utilizând, de asemenea, informațiile din sistemul de monitorizare).</w:t>
      </w:r>
      <w:r>
        <w:rPr>
          <w:b/>
        </w:rPr>
        <w:t xml:space="preserve"> </w:t>
      </w:r>
      <w:r>
        <w:rPr>
          <w:b/>
          <w:bCs/>
        </w:rPr>
        <w:t>Validarea</w:t>
      </w:r>
      <w:r>
        <w:t xml:space="preserve"> celor de mai sus cu ajutorul tehnicilor de triangulare.</w:t>
      </w:r>
    </w:p>
    <w:p w:rsidR="00A45935" w:rsidRPr="007707EC" w:rsidRDefault="00A45935" w:rsidP="00676B41">
      <w:pPr>
        <w:pStyle w:val="Hlistbullet"/>
      </w:pPr>
      <w:r>
        <w:rPr>
          <w:b/>
        </w:rPr>
        <w:t xml:space="preserve">ETAPA </w:t>
      </w:r>
      <w:r w:rsidRPr="00FA63BD">
        <w:rPr>
          <w:b/>
        </w:rPr>
        <w:t>4</w:t>
      </w:r>
      <w:r>
        <w:rPr>
          <w:b/>
        </w:rPr>
        <w:t xml:space="preserve">: Furnizarea unui răspuns la IEC prin evaluarea măsurii în care RNDR a contribuit la încurajarea inovării </w:t>
      </w:r>
      <w:r>
        <w:t>prin intermediul diferitelor grupuri de activități, cu utilizarea unei scări Likert</w:t>
      </w:r>
      <w:r>
        <w:rPr>
          <w:rFonts w:cs="Arial"/>
          <w:vertAlign w:val="superscript"/>
        </w:rPr>
        <w:footnoteReference w:id="65"/>
      </w:r>
      <w:r>
        <w:t>. Evaluatorul ar trebui, de asemenea, să evalueze nivelul de încredere pe care îl prezintă în constatări partea interesată intervievată/care a făcut obiectul sondajului, pe o scară de cinci puncte similară. Punctajele acordate vor trebui să fie justificate.</w:t>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0DF6048E" wp14:editId="3219817F">
                <wp:extent cx="5828030" cy="3482035"/>
                <wp:effectExtent l="0" t="0" r="20320" b="23495"/>
                <wp:docPr id="550" name="Rectangle: Diagonal Corners Rounded 550"/>
                <wp:cNvGraphicFramePr/>
                <a:graphic xmlns:a="http://schemas.openxmlformats.org/drawingml/2006/main">
                  <a:graphicData uri="http://schemas.microsoft.com/office/word/2010/wordprocessingShape">
                    <wps:wsp>
                      <wps:cNvSpPr/>
                      <wps:spPr>
                        <a:xfrm>
                          <a:off x="0" y="0"/>
                          <a:ext cx="5828030" cy="3482035"/>
                        </a:xfrm>
                        <a:prstGeom prst="round2DiagRect">
                          <a:avLst>
                            <a:gd name="adj1" fmla="val 6942"/>
                            <a:gd name="adj2" fmla="val 0"/>
                          </a:avLst>
                        </a:prstGeom>
                        <a:noFill/>
                        <a:ln w="25400" cap="flat" cmpd="sng" algn="ctr">
                          <a:solidFill>
                            <a:srgbClr val="F07E31"/>
                          </a:solidFill>
                          <a:prstDash val="solid"/>
                        </a:ln>
                        <a:effectLst/>
                      </wps:spPr>
                      <wps:txbx>
                        <w:txbxContent>
                          <w:p w:rsidR="008A60B4" w:rsidRPr="00E05D08" w:rsidRDefault="008A60B4" w:rsidP="00E05D08">
                            <w:pPr>
                              <w:pStyle w:val="HStandard"/>
                              <w:ind w:left="567" w:hanging="567"/>
                              <w:rPr>
                                <w:b/>
                                <w:color w:val="F07E31"/>
                                <w:sz w:val="18"/>
                                <w:szCs w:val="18"/>
                              </w:rPr>
                            </w:pPr>
                            <w:r>
                              <w:rPr>
                                <w:noProof/>
                                <w:sz w:val="18"/>
                                <w:szCs w:val="18"/>
                                <w:lang w:val="en-GB" w:eastAsia="en-GB"/>
                              </w:rPr>
                              <w:drawing>
                                <wp:inline distT="0" distB="0" distL="0" distR="0" wp14:anchorId="0CCAFA00" wp14:editId="61E591E9">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Exemple din rapoartele anuale de punere în aplicare prezentate în 2017</w:t>
                            </w:r>
                          </w:p>
                          <w:p w:rsidR="008A60B4" w:rsidRPr="00EF653F" w:rsidRDefault="008A60B4" w:rsidP="00E05D08">
                            <w:pPr>
                              <w:pStyle w:val="HStandard"/>
                              <w:rPr>
                                <w:sz w:val="18"/>
                                <w:szCs w:val="18"/>
                              </w:rPr>
                            </w:pPr>
                            <w:r>
                              <w:rPr>
                                <w:b/>
                                <w:bCs/>
                                <w:sz w:val="18"/>
                                <w:szCs w:val="18"/>
                              </w:rPr>
                              <w:t>Republica Cehă</w:t>
                            </w:r>
                            <w:r>
                              <w:rPr>
                                <w:sz w:val="18"/>
                                <w:szCs w:val="18"/>
                              </w:rPr>
                              <w:t xml:space="preserve"> - menționează studii de caz pe baza informațiilor colectate de la beneficiarii proiectelor inovatoare. Republica Cehă propune urmărirea datelor referitoare la proiectele inovatoare în ceea ce privește indicatorii de realizare O.24 și O.25, cu ajutorul bazei de date a operațiunilor, și utilizarea acestor date în evaluarea din 2019:</w:t>
                            </w:r>
                          </w:p>
                          <w:p w:rsidR="008A60B4" w:rsidRPr="00EF653F" w:rsidRDefault="008A60B4" w:rsidP="008C0B17">
                            <w:pPr>
                              <w:pStyle w:val="HStandard"/>
                              <w:numPr>
                                <w:ilvl w:val="0"/>
                                <w:numId w:val="49"/>
                              </w:numPr>
                              <w:tabs>
                                <w:tab w:val="left" w:pos="5702"/>
                              </w:tabs>
                              <w:ind w:left="567" w:hanging="567"/>
                              <w:rPr>
                                <w:sz w:val="18"/>
                                <w:szCs w:val="18"/>
                              </w:rPr>
                            </w:pPr>
                            <w:r>
                              <w:rPr>
                                <w:sz w:val="18"/>
                                <w:szCs w:val="18"/>
                              </w:rPr>
                              <w:t xml:space="preserve">O.24 - Numărul schimburilor tematice și analitice dintre părțile interesate din domeniul dezvoltării rurale, realizate cu sprijinul RNDR – schimburi axate pe consilieri și pe serviciile de sprijinire a inovării. </w:t>
                            </w:r>
                          </w:p>
                          <w:p w:rsidR="008A60B4" w:rsidRPr="00EF653F" w:rsidRDefault="008A60B4" w:rsidP="008C0B17">
                            <w:pPr>
                              <w:pStyle w:val="HStandard"/>
                              <w:numPr>
                                <w:ilvl w:val="0"/>
                                <w:numId w:val="49"/>
                              </w:numPr>
                              <w:tabs>
                                <w:tab w:val="left" w:pos="5702"/>
                              </w:tabs>
                              <w:ind w:left="567" w:hanging="567"/>
                              <w:rPr>
                                <w:sz w:val="18"/>
                                <w:szCs w:val="18"/>
                              </w:rPr>
                            </w:pPr>
                            <w:r>
                              <w:rPr>
                                <w:sz w:val="18"/>
                                <w:szCs w:val="18"/>
                              </w:rPr>
                              <w:t>O.25 - Numărul de instrumente de comunicare ale RNDR axate pe consilieri și pe serviciile de sprijinire a inovării.</w:t>
                            </w:r>
                          </w:p>
                          <w:p w:rsidR="008A60B4" w:rsidRDefault="008A60B4" w:rsidP="00E05D08">
                            <w:pPr>
                              <w:pStyle w:val="HStandard"/>
                              <w:rPr>
                                <w:sz w:val="18"/>
                                <w:szCs w:val="18"/>
                              </w:rPr>
                            </w:pPr>
                            <w:r>
                              <w:rPr>
                                <w:b/>
                                <w:bCs/>
                                <w:sz w:val="18"/>
                                <w:szCs w:val="18"/>
                              </w:rPr>
                              <w:t>Slovacia</w:t>
                            </w:r>
                            <w:r>
                              <w:rPr>
                                <w:sz w:val="18"/>
                                <w:szCs w:val="18"/>
                              </w:rPr>
                              <w:t xml:space="preserve"> - descrie interviurile cu actorii implicați (RNDR și participanții la activitățile RNDR) realizate pentru a colecta date pentru indicatori suplimentari: Procentajul (%) proiectelor inovatoare sprijinite de RNDR din numărul total de proiecte inovatoare sprijinite de PDR. </w:t>
                            </w:r>
                          </w:p>
                          <w:p w:rsidR="008A60B4" w:rsidRPr="00ED3BAD" w:rsidRDefault="008A60B4" w:rsidP="00E05D08">
                            <w:pPr>
                              <w:pStyle w:val="HStandard"/>
                              <w:rPr>
                                <w:sz w:val="18"/>
                                <w:szCs w:val="18"/>
                              </w:rPr>
                            </w:pPr>
                            <w:r>
                              <w:rPr>
                                <w:b/>
                                <w:bCs/>
                                <w:sz w:val="18"/>
                                <w:szCs w:val="18"/>
                              </w:rPr>
                              <w:t>Castilla y León (ES)</w:t>
                            </w:r>
                            <w:r>
                              <w:rPr>
                                <w:sz w:val="18"/>
                                <w:szCs w:val="18"/>
                              </w:rPr>
                              <w:t xml:space="preserve"> - recomandă introducerea în sistemul de monitorizare a unui indicator care măsoară numărul participanților la proiectele din cadrul M16.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F6048E" id="Rectangle: Diagonal Corners Rounded 550" o:spid="_x0000_s1051" style="width:458.9pt;height:274.2pt;visibility:visible;mso-wrap-style:square;mso-left-percent:-10001;mso-top-percent:-10001;mso-position-horizontal:absolute;mso-position-horizontal-relative:char;mso-position-vertical:absolute;mso-position-vertical-relative:line;mso-left-percent:-10001;mso-top-percent:-10001;v-text-anchor:middle" coordsize="5828030,3482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" adj="-11796480,,5400" path="m241723,l5828030,r,l5828030,3240312v,133500,-108223,241723,-241723,241723l,3482035r,l,241723c,108223,108223,,241723,xe" filled="f" strokecolor="#f07e31" strokeweight="2pt">
                <v:stroke joinstyle="miter"/>
                <v:formulas/>
                <v:path arrowok="t" o:connecttype="custom" o:connectlocs="241723,0;5828030,0;5828030,0;5828030,3240312;5586307,3482035;0,3482035;0,3482035;0,241723;241723,0" o:connectangles="0,0,0,0,0,0,0,0,0" textboxrect="0,0,5828030,3482035"/>
                <v:textbox>
                  <w:txbxContent>
                    <w:p w:rsidR="008A60B4" w:rsidRPr="00E05D08" w:rsidRDefault="008A60B4" w:rsidP="00E05D08">
                      <w:pPr>
                        <w:pStyle w:val="HStandard"/>
                        <w:ind w:left="567" w:hanging="567"/>
                        <w:rPr>
                          <w:b/>
                          <w:color w:val="F07E31"/>
                          <w:sz w:val="18"/>
                          <w:szCs w:val="18"/>
                        </w:rPr>
                      </w:pPr>
                      <w:r>
                        <w:rPr>
                          <w:noProof/>
                          <w:sz w:val="18"/>
                          <w:szCs w:val="18"/>
                          <w:lang w:val="en-GB" w:eastAsia="en-GB"/>
                        </w:rPr>
                        <w:drawing>
                          <wp:inline distT="0" distB="0" distL="0" distR="0" wp14:anchorId="0CCAFA00" wp14:editId="61E591E9">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Exemple din rapoartele anuale de punere în aplicare prezentate în 2017</w:t>
                      </w:r>
                    </w:p>
                    <w:p w:rsidR="008A60B4" w:rsidRPr="00EF653F" w:rsidRDefault="008A60B4" w:rsidP="00E05D08">
                      <w:pPr>
                        <w:pStyle w:val="HStandard"/>
                        <w:rPr>
                          <w:sz w:val="18"/>
                          <w:szCs w:val="18"/>
                        </w:rPr>
                      </w:pPr>
                      <w:r>
                        <w:rPr>
                          <w:b/>
                          <w:bCs/>
                          <w:sz w:val="18"/>
                          <w:szCs w:val="18"/>
                        </w:rPr>
                        <w:t>Republica Cehă</w:t>
                      </w:r>
                      <w:r>
                        <w:rPr>
                          <w:sz w:val="18"/>
                          <w:szCs w:val="18"/>
                        </w:rPr>
                        <w:t xml:space="preserve"> - menționează studii de caz pe baza informațiilor colectate de la beneficiarii proiectelor inovatoare. Republica Cehă propune urmărirea datelor referitoare la proiectele inovatoare în ceea ce privește indicatorii de realizare O.24 și O.25, cu ajutorul bazei de date a operațiunilor, și utilizarea acestor date în evaluarea din 2019:</w:t>
                      </w:r>
                    </w:p>
                    <w:p w:rsidR="008A60B4" w:rsidRPr="00EF653F" w:rsidRDefault="008A60B4" w:rsidP="008C0B17">
                      <w:pPr>
                        <w:pStyle w:val="HStandard"/>
                        <w:numPr>
                          <w:ilvl w:val="0"/>
                          <w:numId w:val="49"/>
                        </w:numPr>
                        <w:tabs>
                          <w:tab w:val="left" w:pos="5702"/>
                        </w:tabs>
                        <w:ind w:left="567" w:hanging="567"/>
                        <w:rPr>
                          <w:sz w:val="18"/>
                          <w:szCs w:val="18"/>
                        </w:rPr>
                      </w:pPr>
                      <w:r>
                        <w:rPr>
                          <w:sz w:val="18"/>
                          <w:szCs w:val="18"/>
                        </w:rPr>
                        <w:t xml:space="preserve">O.24 - Numărul schimburilor tematice și analitice dintre părțile interesate din domeniul dezvoltării rurale, realizate cu sprijinul RNDR – schimburi axate pe consilieri și pe serviciile de sprijinire a inovării. </w:t>
                      </w:r>
                    </w:p>
                    <w:p w:rsidR="008A60B4" w:rsidRPr="00EF653F" w:rsidRDefault="008A60B4" w:rsidP="008C0B17">
                      <w:pPr>
                        <w:pStyle w:val="HStandard"/>
                        <w:numPr>
                          <w:ilvl w:val="0"/>
                          <w:numId w:val="49"/>
                        </w:numPr>
                        <w:tabs>
                          <w:tab w:val="left" w:pos="5702"/>
                        </w:tabs>
                        <w:ind w:left="567" w:hanging="567"/>
                        <w:rPr>
                          <w:sz w:val="18"/>
                          <w:szCs w:val="18"/>
                        </w:rPr>
                      </w:pPr>
                      <w:r>
                        <w:rPr>
                          <w:sz w:val="18"/>
                          <w:szCs w:val="18"/>
                        </w:rPr>
                        <w:t>O.25 - Numărul de instrumente de comunicare ale RNDR axate pe consilieri și pe serviciile de sprijinire a inovării.</w:t>
                      </w:r>
                    </w:p>
                    <w:p w:rsidR="008A60B4" w:rsidRDefault="008A60B4" w:rsidP="00E05D08">
                      <w:pPr>
                        <w:pStyle w:val="HStandard"/>
                        <w:rPr>
                          <w:sz w:val="18"/>
                          <w:szCs w:val="18"/>
                        </w:rPr>
                      </w:pPr>
                      <w:r>
                        <w:rPr>
                          <w:b/>
                          <w:bCs/>
                          <w:sz w:val="18"/>
                          <w:szCs w:val="18"/>
                        </w:rPr>
                        <w:t>Slovacia</w:t>
                      </w:r>
                      <w:r>
                        <w:rPr>
                          <w:sz w:val="18"/>
                          <w:szCs w:val="18"/>
                        </w:rPr>
                        <w:t xml:space="preserve"> - descrie interviurile cu actorii implicați (RNDR și participanții la activitățile RNDR) realizate pentru a colecta date pentru indicatori suplimentari: Procentajul (%) proiectelor inovatoare sprijinite de RNDR din numărul total de proiecte inovatoare sprijinite de PDR. </w:t>
                      </w:r>
                    </w:p>
                    <w:p w:rsidR="008A60B4" w:rsidRPr="00ED3BAD" w:rsidRDefault="008A60B4" w:rsidP="00E05D08">
                      <w:pPr>
                        <w:pStyle w:val="HStandard"/>
                        <w:rPr>
                          <w:sz w:val="18"/>
                          <w:szCs w:val="18"/>
                        </w:rPr>
                      </w:pPr>
                      <w:r>
                        <w:rPr>
                          <w:b/>
                          <w:bCs/>
                          <w:sz w:val="18"/>
                          <w:szCs w:val="18"/>
                        </w:rPr>
                        <w:t>Castilla y León (ES)</w:t>
                      </w:r>
                      <w:r>
                        <w:rPr>
                          <w:sz w:val="18"/>
                          <w:szCs w:val="18"/>
                        </w:rPr>
                        <w:t xml:space="preserve"> - recomandă introducerea în sistemul de monitorizare a unui indicator care măsoară numărul participanților la proiectele din cadrul M16.</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t xml:space="preserve">Ghidul </w:t>
      </w:r>
      <w:hyperlink r:id="rId63" w:history="1">
        <w:r>
          <w:rPr>
            <w:rStyle w:val="Hyperlink"/>
            <w:sz w:val="20"/>
            <w:szCs w:val="20"/>
          </w:rPr>
          <w:t xml:space="preserve">Evaluarea rețelelor naționale de dezvoltare rurală în perioada </w:t>
        </w:r>
        <w:r w:rsidRPr="00FA63BD">
          <w:rPr>
            <w:rStyle w:val="Hyperlink"/>
            <w:sz w:val="20"/>
            <w:szCs w:val="20"/>
          </w:rPr>
          <w:t>2014</w:t>
        </w:r>
        <w:r>
          <w:rPr>
            <w:rStyle w:val="Hyperlink"/>
            <w:sz w:val="20"/>
            <w:szCs w:val="20"/>
          </w:rPr>
          <w:t>-</w:t>
        </w:r>
        <w:r w:rsidRPr="00FA63BD">
          <w:rPr>
            <w:rStyle w:val="Hyperlink"/>
            <w:sz w:val="20"/>
            <w:szCs w:val="20"/>
          </w:rPr>
          <w:t>2020</w:t>
        </w:r>
      </w:hyperlink>
      <w:r>
        <w:rPr>
          <w:rFonts w:eastAsia="Times New Roman" w:cs="Times New Roman"/>
          <w:szCs w:val="20"/>
          <w:vertAlign w:val="superscript"/>
          <w:lang w:eastAsia="de-DE"/>
        </w:rPr>
        <w:footnoteReference w:id="66"/>
      </w:r>
      <w:r>
        <w:t xml:space="preserve"> oferă o descriere detaliată a metodelor și instrumentelor pentru evaluarea RNDR-urilor. Ghidul propune o abordare mixtă </w:t>
      </w:r>
      <w:r>
        <w:lastRenderedPageBreak/>
        <w:t xml:space="preserve">care combină metodele calitative și cantitative. La rândul lor, acestea includ sondaje, metode bazate pe dialog, metode analitice și metode de diagnosticare. </w:t>
      </w:r>
    </w:p>
    <w:p w:rsidR="00A45935" w:rsidRPr="00E05D08" w:rsidRDefault="00A45935" w:rsidP="00E05D08">
      <w:pPr>
        <w:spacing w:after="120" w:line="280" w:lineRule="atLeast"/>
        <w:mirrorIndents/>
        <w:rPr>
          <w:rFonts w:eastAsia="Times New Roman" w:cs="Times New Roman"/>
          <w:szCs w:val="20"/>
        </w:rPr>
      </w:pPr>
      <w:r>
        <w:t xml:space="preserve">Tabelul următor oferă o scurtă prezentare generală a metodelor de furnizare a unui răspuns la IEC nr. </w:t>
      </w:r>
      <w:r w:rsidRPr="00FA63BD">
        <w:t>21</w:t>
      </w:r>
      <w:r>
        <w:t xml:space="preserve"> în ceea ce privește obiectivul de inovare (d) al RNDR-urilor. O descriere completă a acestor metode se găsește în ghidul „</w:t>
      </w:r>
      <w:hyperlink r:id="rId64" w:history="1">
        <w:r>
          <w:rPr>
            <w:rStyle w:val="Hyperlink"/>
            <w:sz w:val="20"/>
            <w:szCs w:val="20"/>
          </w:rPr>
          <w:t xml:space="preserve">Evaluarea rețelelor naționale de dezvoltare rurală în perioada </w:t>
        </w:r>
        <w:r w:rsidRPr="00FA63BD">
          <w:rPr>
            <w:rStyle w:val="Hyperlink"/>
            <w:sz w:val="20"/>
            <w:szCs w:val="20"/>
          </w:rPr>
          <w:t>2014</w:t>
        </w:r>
        <w:r>
          <w:rPr>
            <w:rStyle w:val="Hyperlink"/>
            <w:sz w:val="20"/>
            <w:szCs w:val="20"/>
          </w:rPr>
          <w:t>-</w:t>
        </w:r>
        <w:r w:rsidRPr="00FA63BD">
          <w:rPr>
            <w:rStyle w:val="Hyperlink"/>
            <w:sz w:val="20"/>
            <w:szCs w:val="20"/>
          </w:rPr>
          <w:t>2020</w:t>
        </w:r>
      </w:hyperlink>
      <w:r>
        <w:t>”.</w:t>
      </w:r>
    </w:p>
    <w:p w:rsidR="00A45935" w:rsidRPr="00E05D08" w:rsidRDefault="00A45935" w:rsidP="00B421B9">
      <w:pPr>
        <w:pStyle w:val="HHeading1"/>
        <w:rPr>
          <w:b w:val="0"/>
          <w:color w:val="373737"/>
          <w:sz w:val="16"/>
        </w:rPr>
        <w:sectPr w:rsidR="00A45935" w:rsidRPr="00E05D08" w:rsidSect="001F6F07">
          <w:headerReference w:type="first" r:id="rId65"/>
          <w:endnotePr>
            <w:numFmt w:val="decimal"/>
          </w:endnotePr>
          <w:pgSz w:w="11907" w:h="16840" w:code="9"/>
          <w:pgMar w:top="1440" w:right="1440" w:bottom="1134" w:left="1440" w:header="567" w:footer="1020" w:gutter="0"/>
          <w:cols w:space="708"/>
          <w:noEndnote/>
          <w:docGrid w:linePitch="435"/>
        </w:sectPr>
      </w:pPr>
    </w:p>
    <w:p w:rsidR="00A45935" w:rsidRPr="00D57D0A" w:rsidRDefault="00A45935" w:rsidP="00D57D0A">
      <w:pPr>
        <w:pStyle w:val="HHeadingtables"/>
        <w:rPr>
          <w:color w:val="6F6F6F"/>
          <w:sz w:val="18"/>
          <w:szCs w:val="18"/>
        </w:rPr>
      </w:pPr>
      <w:bookmarkStart w:id="121" w:name="_Toc508889194"/>
      <w:r>
        <w:rPr>
          <w:color w:val="6F6F6F"/>
          <w:sz w:val="18"/>
          <w:szCs w:val="18"/>
        </w:rPr>
        <w:t xml:space="preserve">Metode recomandate pentru IEC nr. </w:t>
      </w:r>
      <w:r w:rsidRPr="00FA63BD">
        <w:rPr>
          <w:color w:val="6F6F6F"/>
          <w:sz w:val="18"/>
          <w:szCs w:val="18"/>
        </w:rPr>
        <w:t>21</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Metodă</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 xml:space="preserve">Sfaturi privind utilizarea fiecărei metode de furnizare a unui răspuns la IEC nr. </w:t>
            </w:r>
            <w:r w:rsidRPr="00FA63BD">
              <w:rPr>
                <w:b/>
                <w:color w:val="FFFFFF"/>
                <w:sz w:val="18"/>
              </w:rPr>
              <w:t>21</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Sondaje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Pot fi utilizate pentru a colecta date și informații privind inovarea care nu se află în bazele de date de monitorizare, în special în ceea ce privește indicatorii suplimentari.</w:t>
            </w:r>
          </w:p>
          <w:p w:rsidR="00A45935" w:rsidRPr="00385368" w:rsidRDefault="00A45935" w:rsidP="00E05D08">
            <w:pPr>
              <w:spacing w:after="120" w:line="280" w:lineRule="atLeast"/>
              <w:rPr>
                <w:rFonts w:eastAsia="Calibri" w:cs="Arial"/>
                <w:sz w:val="18"/>
                <w:szCs w:val="18"/>
              </w:rPr>
            </w:pPr>
            <w:r>
              <w:rPr>
                <w:sz w:val="18"/>
                <w:szCs w:val="18"/>
              </w:rPr>
              <w:t>Sondajele pot fi adresate RNDR-urilor, grupurilor operaționale PEI, beneficiarilor de proiecte și altor părți interesate din domeniul inovării.</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Grupuri de reflecție (metodă bazată pe dialog)</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Utilizate ca mijloace pentru metodele de evaluare bazate pe dialog, grupurile de reflecție pot fi organizate după cum urmează pentru IEC nr. </w:t>
            </w:r>
            <w:r w:rsidRPr="00FA63BD">
              <w:rPr>
                <w:sz w:val="18"/>
                <w:szCs w:val="18"/>
              </w:rPr>
              <w:t>21</w:t>
            </w:r>
            <w:r>
              <w:rPr>
                <w:sz w:val="18"/>
                <w:szCs w:val="18"/>
              </w:rPr>
              <w:t>:</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într-o arhitectură pe două niveluri, creând grupuri de reflecție la diferite niveluri (și anume consilieri/servicii de sprijinire a inovării și GAL-uri). Ambele niveluri pot beneficia de activități de formare profesională și de colaborare în rețea din partea RNDR. </w:t>
            </w:r>
          </w:p>
          <w:p w:rsidR="00A45935" w:rsidRPr="00385368" w:rsidRDefault="00A45935" w:rsidP="008C0B17">
            <w:pPr>
              <w:numPr>
                <w:ilvl w:val="0"/>
                <w:numId w:val="40"/>
              </w:numPr>
              <w:spacing w:before="60" w:after="120" w:line="280" w:lineRule="atLeast"/>
              <w:ind w:left="317"/>
              <w:rPr>
                <w:rFonts w:cs="Arial"/>
                <w:sz w:val="18"/>
              </w:rPr>
            </w:pPr>
            <w:r>
              <w:rPr>
                <w:sz w:val="18"/>
              </w:rPr>
              <w:t>concentrate pe domeniul tematic al inovării (de exemplu, crearea de grupuri de persoane cu o diversitate de perspective pentru validarea activităților RNDR care vizează încurajarea inovării).</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Analiza funcțională a rețelelor (metodă de diagnosticare)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Combinați un sondaj online adresat grupurilor operaționale (făcând distincție între cei care au primit o formă de sprijin – funcție de brokeraj, formare profesională etc. – din partea RNDR și cei care nu au primit sprijin) cu o serie de interviuri aprofundate cu grupuri operaționale selectate. Ca alternativă, poate fi organizat un grup de discuții pentru a reflecta asupra rezultatelor preliminare ale sondajului online.</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Analiza părților interesate (metodă de diagnosticare)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Aceasta se poate adresa părților interesate din domeniul inovării la diferite niveluri: RNDR sau structurii rețelei de la nivelul statelor membre pentru serviciile de sprijinire a inovării (dacă este separată de RNDR), coordonatorilor rețelelor tematice, coordonatorilor grupurilor operaționale și chiar punctului de servicii PEI. </w:t>
            </w:r>
          </w:p>
          <w:p w:rsidR="00A45935" w:rsidRPr="00385368" w:rsidRDefault="00A45935" w:rsidP="00E05D08">
            <w:pPr>
              <w:spacing w:after="120" w:line="280" w:lineRule="atLeast"/>
              <w:rPr>
                <w:rFonts w:eastAsia="Calibri" w:cs="Arial"/>
                <w:sz w:val="18"/>
                <w:szCs w:val="18"/>
              </w:rPr>
            </w:pPr>
            <w:r>
              <w:rPr>
                <w:sz w:val="18"/>
                <w:szCs w:val="18"/>
              </w:rPr>
              <w:t xml:space="preserve">Analizarea părților interesate va contribui la colectarea de informații privind indicatorii pentru care nu sunt colectate date prin intermediul bazei de date de monitorizare. În cazul IEC nr. </w:t>
            </w:r>
            <w:r w:rsidRPr="00FA63BD">
              <w:rPr>
                <w:sz w:val="18"/>
                <w:szCs w:val="18"/>
              </w:rPr>
              <w:t>21</w:t>
            </w:r>
            <w:r>
              <w:rPr>
                <w:sz w:val="18"/>
                <w:szCs w:val="18"/>
              </w:rPr>
              <w:t>, numai trei indicatori de realizare pot fi cuantificați cu ajutorul datelor de monitorizare și, inclusiv în acest caz, datele pot fi prea generice și pot să nu abordeze elementele de inovare. De exemplu, numărul schimburilor tematice și analitice stabilite cu sprijinul RNDR (O.</w:t>
            </w:r>
            <w:r w:rsidRPr="00FA63BD">
              <w:rPr>
                <w:sz w:val="18"/>
                <w:szCs w:val="18"/>
              </w:rPr>
              <w:t>24</w:t>
            </w:r>
            <w:r>
              <w:rPr>
                <w:sz w:val="18"/>
                <w:szCs w:val="18"/>
              </w:rPr>
              <w:t>) poate fi înregistrat în baza de date de monitorizare, fără a se menționa însă care dintre aceste schimburi s-au axat pe teme legate de inovare.</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b/>
                <w:bCs/>
                <w:sz w:val="18"/>
                <w:szCs w:val="18"/>
              </w:rPr>
              <w:t>Analiza rețelelor sociale</w:t>
            </w:r>
            <w:r>
              <w:rPr>
                <w:sz w:val="18"/>
                <w:szCs w:val="18"/>
              </w:rPr>
              <w:t xml:space="preserve"> (metodă de diagnosticare)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Analiza rețelelor sociale poate fi realizată cu privire la un aspect tematic, și anume promovarea obiectivelor RNDR în materie de inovare, prin analizarea diagramei rețelei din domeniul inovării (de exemplu, identificarea principalilor actori din domeniul inovării din cadrul rețelei), evaluarea caracteristicilor ei structurale (de </w:t>
            </w:r>
            <w:r>
              <w:rPr>
                <w:sz w:val="18"/>
                <w:szCs w:val="18"/>
              </w:rPr>
              <w:lastRenderedPageBreak/>
              <w:t>exemplu, plasarea în centrul diagramei sau spre periferie a părților interesate din domeniul inovării) și a suprapunerilor unor părți ale rețelei (de exemplu, pentru identificarea conectorilor-cheie) și discutarea acestor aspecte în cadrul unui grup de reflecție.</w:t>
            </w:r>
          </w:p>
          <w:p w:rsidR="00A45935" w:rsidRPr="00385368" w:rsidRDefault="00A45935" w:rsidP="00E05D08">
            <w:pPr>
              <w:spacing w:after="120" w:line="280" w:lineRule="atLeast"/>
              <w:rPr>
                <w:rFonts w:eastAsia="Calibri" w:cs="Arial"/>
                <w:sz w:val="18"/>
                <w:szCs w:val="18"/>
              </w:rPr>
            </w:pPr>
            <w:r>
              <w:rPr>
                <w:sz w:val="18"/>
                <w:szCs w:val="18"/>
              </w:rPr>
              <w:t>Analiza rețelelor sociale poate contribui la măsurarea gradului de implicare a părților interesate din domeniul inovării în RNDR și la evaluarea eficacității realizărilor legate de inovare (de exemplu, a schimburilor tematice și analitice privind inovarea, a activităților de formare profesională și de colaborare în rețea privind inovarea și a colectării de exemple de proiecte legate de inovare).</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Studii de caz</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Studiile de caz pot fi adaptate și utilizate în orice evaluare. Acestea oferă posibilitatea de a combina diferite metode și sunt foarte flexibile în conceperea lor. În cazul IEC nr. </w:t>
            </w:r>
            <w:r w:rsidRPr="00FA63BD">
              <w:rPr>
                <w:sz w:val="18"/>
                <w:szCs w:val="18"/>
              </w:rPr>
              <w:t>21</w:t>
            </w:r>
            <w:r>
              <w:rPr>
                <w:sz w:val="18"/>
                <w:szCs w:val="18"/>
              </w:rPr>
              <w:t>, se propune elaborarea de studii de caz privind următoarele aspecte/criterii legate de inovare:</w:t>
            </w:r>
          </w:p>
          <w:p w:rsidR="00A45935" w:rsidRPr="00385368" w:rsidRDefault="00A45935" w:rsidP="008C0B17">
            <w:pPr>
              <w:numPr>
                <w:ilvl w:val="0"/>
                <w:numId w:val="41"/>
              </w:numPr>
              <w:spacing w:before="60" w:after="120" w:line="280" w:lineRule="atLeast"/>
              <w:ind w:left="360"/>
              <w:rPr>
                <w:sz w:val="18"/>
              </w:rPr>
            </w:pPr>
            <w:r>
              <w:rPr>
                <w:sz w:val="18"/>
              </w:rPr>
              <w:t>analizarea rolului RNDR în crearea de grupuri operaționale și, astfel, în încurajarea inovării în agricultură, silvicultură și zonele rurale.</w:t>
            </w:r>
          </w:p>
          <w:p w:rsidR="00A45935" w:rsidRPr="00385368" w:rsidRDefault="00A45935" w:rsidP="008C0B17">
            <w:pPr>
              <w:numPr>
                <w:ilvl w:val="0"/>
                <w:numId w:val="41"/>
              </w:numPr>
              <w:spacing w:before="60" w:after="120" w:line="280" w:lineRule="atLeast"/>
              <w:ind w:left="360"/>
              <w:rPr>
                <w:sz w:val="18"/>
              </w:rPr>
            </w:pPr>
            <w:r>
              <w:rPr>
                <w:sz w:val="18"/>
              </w:rPr>
              <w:t>analizarea contribuțiilor RNDR pentru promovarea consilierilor și a serviciilor de sprijinire a inovării ca antrenori în procesele de inovare interactivă (de exemplu, identificarea ideilor de practică, acționarea în calitate de brokeri, facilitatori și diseminatori de cunoștințe noi).</w:t>
            </w:r>
          </w:p>
          <w:p w:rsidR="00A45935" w:rsidRPr="00385368" w:rsidRDefault="00A45935" w:rsidP="008C0B17">
            <w:pPr>
              <w:numPr>
                <w:ilvl w:val="0"/>
                <w:numId w:val="41"/>
              </w:numPr>
              <w:spacing w:before="60" w:after="120" w:line="280" w:lineRule="atLeast"/>
              <w:ind w:left="360"/>
              <w:rPr>
                <w:sz w:val="18"/>
              </w:rPr>
            </w:pPr>
            <w:r>
              <w:rPr>
                <w:sz w:val="18"/>
              </w:rPr>
              <w:t xml:space="preserve">analizarea rolului RNDR-urilor în rețelele tematice, care conectează grupurile operaționale și, prin urmare, evaluează legăturile cu Orizont </w:t>
            </w:r>
            <w:r w:rsidRPr="00FA63BD">
              <w:rPr>
                <w:sz w:val="18"/>
              </w:rPr>
              <w:t>2020</w:t>
            </w:r>
            <w:r>
              <w:rPr>
                <w:sz w:val="18"/>
              </w:rPr>
              <w:t>.</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Riscuri și soluții</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8A60B4">
        <w:trPr>
          <w:tblHeader/>
        </w:trPr>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Riscuri</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Soluții</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Datele pentru cei trei indicatori de realizare comuni ar trebui să fie disponibile, însă cel mai probabil nu se concentrează asupra inovării. De exemplu, datele privind schimburile tematice și analitice este posibil să nu fie colectate în funcție de teme, mai precis în funcție de tema inovării. De asemenea, datele privind instrumentele de comunicare ar putea să nu fie grupate în funcție de tematică (de exemplu, comunicarea rezultatelor privind inovarea).</w:t>
            </w:r>
          </w:p>
        </w:tc>
        <w:tc>
          <w:tcPr>
            <w:tcW w:w="4509" w:type="dxa"/>
          </w:tcPr>
          <w:p w:rsidR="00A45935" w:rsidRPr="00385368" w:rsidRDefault="00A45935" w:rsidP="007E63EF">
            <w:pPr>
              <w:spacing w:after="120" w:line="280" w:lineRule="atLeast"/>
              <w:rPr>
                <w:sz w:val="18"/>
                <w:szCs w:val="18"/>
              </w:rPr>
            </w:pPr>
            <w:r>
              <w:rPr>
                <w:sz w:val="18"/>
                <w:szCs w:val="18"/>
              </w:rPr>
              <w:t>Autoritățile de management ar putea include componenta de inovare pentru cei trei indicatori de realizare comuni din bazele de date de monitorizare</w:t>
            </w:r>
            <w:r>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Pentru toți ceilalți indicatori propuși, datele nu ar fi colectate în scopuri de monitorizare, cu excepția cazului în care autoritatea de management/RNDR a decis să le colecteze în acest scop, pe lângă elementele de date comune.</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În etapa incipientă de punere în aplicare, RNDR-urile ar trebui să indice activitățile lor orientate spre încurajarea inovării (de exemplu, formarea profesională a părților interesate din domeniul inovării, schimburile tematice privind inovarea, colectarea de bune practici privind inovarea, sprijinirea creării de grupuri operaționale etc.).</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lastRenderedPageBreak/>
              <w:t>Este posibil ca bazarea pe o singură metodă (calitativă sau cantitativă) de analizare a datelor să nu ducă la obținerea de constatări fiabile.</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 xml:space="preserve">Utilizați o combinație de metode de evaluare, care colectează informații pe o bază continuă sau </w:t>
            </w:r>
            <w:r w:rsidRPr="00EF035B">
              <w:rPr>
                <w:i/>
                <w:sz w:val="18"/>
                <w:szCs w:val="18"/>
              </w:rPr>
              <w:t>ex post</w:t>
            </w:r>
            <w:r>
              <w:rPr>
                <w:sz w:val="18"/>
                <w:szCs w:val="18"/>
              </w:rPr>
              <w:t>, cum ar fi metodele sugerate mai sus (sondaje, grupuri de reflecție, metode de diagnosticare, studii de caz), și permite triangularea și obținerea unor constatări mai solide.</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Concluzii și recomandări</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Concluziile și recomandările ar trebui să vizeze:</w:t>
      </w:r>
    </w:p>
    <w:p w:rsidR="00A45935" w:rsidRPr="00E72529" w:rsidRDefault="00A45935" w:rsidP="00676B41">
      <w:pPr>
        <w:pStyle w:val="Hlistbullet"/>
        <w:rPr>
          <w:rFonts w:eastAsia="Calibri"/>
          <w:shd w:val="clear" w:color="auto" w:fill="FFFFFF"/>
        </w:rPr>
      </w:pPr>
      <w:r>
        <w:rPr>
          <w:b/>
          <w:bCs/>
          <w:shd w:val="clear" w:color="auto" w:fill="FFFFFF"/>
        </w:rPr>
        <w:t>contribuția RNDR-urilor la încurajarea inovării</w:t>
      </w:r>
      <w:r>
        <w:rPr>
          <w:shd w:val="clear" w:color="auto" w:fill="FFFFFF"/>
        </w:rPr>
        <w:t xml:space="preserve"> în agricultură, producția alimentară, silvicultură și zonele rurale.</w:t>
      </w:r>
    </w:p>
    <w:p w:rsidR="00A45935" w:rsidRPr="00E72529" w:rsidRDefault="00A45935" w:rsidP="00676B41">
      <w:pPr>
        <w:pStyle w:val="Hlistbullet"/>
        <w:rPr>
          <w:rFonts w:eastAsia="Calibri"/>
          <w:shd w:val="clear" w:color="auto" w:fill="FFFFFF"/>
        </w:rPr>
      </w:pPr>
      <w:r>
        <w:rPr>
          <w:b/>
          <w:bCs/>
          <w:shd w:val="clear" w:color="auto" w:fill="FFFFFF"/>
        </w:rPr>
        <w:t>factorii și condițiile principale</w:t>
      </w:r>
      <w:r>
        <w:rPr>
          <w:shd w:val="clear" w:color="auto" w:fill="FFFFFF"/>
        </w:rPr>
        <w:t xml:space="preserve"> care transformă RNDR-urile în actori-cheie în procesele de inovare interactivă;</w:t>
      </w:r>
    </w:p>
    <w:p w:rsidR="00A45935" w:rsidRPr="00E72529" w:rsidRDefault="00A45935" w:rsidP="00676B41">
      <w:pPr>
        <w:pStyle w:val="Hlistbullet"/>
        <w:rPr>
          <w:rFonts w:eastAsia="Calibri"/>
          <w:shd w:val="clear" w:color="auto" w:fill="FFFFFF"/>
        </w:rPr>
      </w:pPr>
      <w:r>
        <w:rPr>
          <w:b/>
          <w:bCs/>
          <w:shd w:val="clear" w:color="auto" w:fill="FFFFFF"/>
        </w:rPr>
        <w:t>Rolul RNDR-urilor în sistemul de inovare</w:t>
      </w:r>
      <w:r>
        <w:rPr>
          <w:shd w:val="clear" w:color="auto" w:fill="FFFFFF"/>
        </w:rPr>
        <w:t xml:space="preserve">: </w:t>
      </w:r>
      <w:r w:rsidRPr="00FA63BD">
        <w:rPr>
          <w:shd w:val="clear" w:color="auto" w:fill="FFFFFF"/>
        </w:rPr>
        <w:t>1</w:t>
      </w:r>
      <w:r>
        <w:rPr>
          <w:shd w:val="clear" w:color="auto" w:fill="FFFFFF"/>
        </w:rPr>
        <w:t xml:space="preserve">) identificarea inovării prin colectarea și difuzarea de bune practici, </w:t>
      </w:r>
      <w:r w:rsidRPr="00FA63BD">
        <w:rPr>
          <w:shd w:val="clear" w:color="auto" w:fill="FFFFFF"/>
        </w:rPr>
        <w:t>2</w:t>
      </w:r>
      <w:r>
        <w:rPr>
          <w:shd w:val="clear" w:color="auto" w:fill="FFFFFF"/>
        </w:rPr>
        <w:t xml:space="preserve">) consolidarea capacității de inovare prin formare profesională, colaborare în rețea și schimburi tematice și analitice și </w:t>
      </w:r>
      <w:r w:rsidRPr="00FA63BD">
        <w:rPr>
          <w:shd w:val="clear" w:color="auto" w:fill="FFFFFF"/>
        </w:rPr>
        <w:t>3</w:t>
      </w:r>
      <w:r>
        <w:rPr>
          <w:shd w:val="clear" w:color="auto" w:fill="FFFFFF"/>
        </w:rPr>
        <w:t>) crearea unui mediu favorizant pentru inovare prin sprijinirea și animarea grupurilor operaționale PEI.</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Informații suplimentare</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6DB714EC" wp14:editId="23AAA6A9">
                <wp:extent cx="5625465" cy="3043123"/>
                <wp:effectExtent l="0" t="0" r="13335" b="24130"/>
                <wp:docPr id="552" name="Rectangle: Diagonal Corners Rounded 552"/>
                <wp:cNvGraphicFramePr/>
                <a:graphic xmlns:a="http://schemas.openxmlformats.org/drawingml/2006/main">
                  <a:graphicData uri="http://schemas.microsoft.com/office/word/2010/wordprocessingShape">
                    <wps:wsp>
                      <wps:cNvSpPr/>
                      <wps:spPr>
                        <a:xfrm>
                          <a:off x="0" y="0"/>
                          <a:ext cx="5625465" cy="3043123"/>
                        </a:xfrm>
                        <a:prstGeom prst="round2DiagRect">
                          <a:avLst>
                            <a:gd name="adj1" fmla="val 9900"/>
                            <a:gd name="adj2" fmla="val 0"/>
                          </a:avLst>
                        </a:prstGeom>
                        <a:noFill/>
                        <a:ln w="25400" cap="flat" cmpd="sng" algn="ctr">
                          <a:solidFill>
                            <a:srgbClr val="59638E"/>
                          </a:solidFill>
                          <a:prstDash val="solid"/>
                        </a:ln>
                        <a:effectLst/>
                      </wps:spPr>
                      <wps:txbx>
                        <w:txbxContent>
                          <w:p w:rsidR="008A60B4" w:rsidRDefault="008A60B4" w:rsidP="00E05D08">
                            <w:pPr>
                              <w:pStyle w:val="HStandard"/>
                              <w:rPr>
                                <w:color w:val="000000"/>
                                <w:sz w:val="18"/>
                              </w:rPr>
                            </w:pPr>
                            <w:r>
                              <w:rPr>
                                <w:noProof/>
                                <w:lang w:val="en-GB" w:eastAsia="en-GB"/>
                              </w:rPr>
                              <w:drawing>
                                <wp:inline distT="0" distB="0" distL="0" distR="0" wp14:anchorId="2DE4808D" wp14:editId="3224688E">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A60B4" w:rsidRPr="006F1763" w:rsidRDefault="008A60B4" w:rsidP="00E05D08">
                            <w:pPr>
                              <w:pStyle w:val="HStandard"/>
                              <w:rPr>
                                <w:sz w:val="18"/>
                                <w:szCs w:val="18"/>
                              </w:rPr>
                            </w:pPr>
                            <w:r>
                              <w:rPr>
                                <w:sz w:val="18"/>
                                <w:szCs w:val="18"/>
                              </w:rPr>
                              <w:t xml:space="preserve">Serviciul european de asistență pentru evaluare (2016). </w:t>
                            </w:r>
                            <w:r>
                              <w:t>Ghid - „</w:t>
                            </w:r>
                            <w:hyperlink r:id="rId66" w:history="1">
                              <w:r>
                                <w:rPr>
                                  <w:color w:val="F07E31"/>
                                  <w:sz w:val="18"/>
                                  <w:szCs w:val="18"/>
                                  <w:u w:val="single"/>
                                </w:rPr>
                                <w:t>Evaluarea rezultatelor PDR:</w:t>
                              </w:r>
                            </w:hyperlink>
                            <w:hyperlink r:id="rId67" w:history="1">
                              <w:r>
                                <w:rPr>
                                  <w:color w:val="F07E31"/>
                                  <w:sz w:val="18"/>
                                  <w:szCs w:val="18"/>
                                  <w:u w:val="single"/>
                                </w:rPr>
                                <w:t>pregătirea raportării cu privire la evaluare în 2017</w:t>
                              </w:r>
                            </w:hyperlink>
                            <w:r>
                              <w:t>”, anexa 11;</w:t>
                            </w:r>
                            <w:r>
                              <w:rPr>
                                <w:sz w:val="18"/>
                                <w:szCs w:val="18"/>
                              </w:rPr>
                              <w:t xml:space="preserve"> </w:t>
                            </w:r>
                          </w:p>
                          <w:p w:rsidR="008A60B4" w:rsidRPr="006F1763" w:rsidRDefault="008A60B4" w:rsidP="00E05D08">
                            <w:pPr>
                              <w:pStyle w:val="HStandard"/>
                              <w:rPr>
                                <w:sz w:val="18"/>
                                <w:szCs w:val="18"/>
                              </w:rPr>
                            </w:pPr>
                            <w:r>
                              <w:rPr>
                                <w:sz w:val="18"/>
                                <w:szCs w:val="18"/>
                              </w:rPr>
                              <w:t>REDR (2014).</w:t>
                            </w:r>
                            <w:hyperlink r:id="rId68" w:history="1">
                              <w:r>
                                <w:rPr>
                                  <w:rStyle w:val="Hyperlink"/>
                                  <w:sz w:val="18"/>
                                  <w:szCs w:val="18"/>
                                </w:rPr>
                                <w:t xml:space="preserve"> Ghidul privind RNDR</w:t>
                              </w:r>
                            </w:hyperlink>
                            <w:r>
                              <w:t>.</w:t>
                            </w:r>
                            <w:r>
                              <w:rPr>
                                <w:sz w:val="18"/>
                                <w:szCs w:val="18"/>
                              </w:rPr>
                              <w:t xml:space="preserve"> Oficiul pentru Publicații din Luxemburg</w:t>
                            </w:r>
                          </w:p>
                          <w:p w:rsidR="008A60B4" w:rsidRPr="006F1763" w:rsidRDefault="008A60B4" w:rsidP="00E05D08">
                            <w:pPr>
                              <w:pStyle w:val="HStandard"/>
                              <w:rPr>
                                <w:sz w:val="18"/>
                                <w:szCs w:val="18"/>
                              </w:rPr>
                            </w:pPr>
                            <w:r>
                              <w:t xml:space="preserve">Serviciul european de asistență pentru evaluare (2016), Ghid - </w:t>
                            </w:r>
                            <w:hyperlink r:id="rId69" w:history="1">
                              <w:r>
                                <w:rPr>
                                  <w:rStyle w:val="Hyperlink"/>
                                  <w:sz w:val="18"/>
                                  <w:szCs w:val="18"/>
                                </w:rPr>
                                <w:t>Evaluarea rețelelor naționale de dezvoltare rurală în perioada 2014-2020</w:t>
                              </w:r>
                            </w:hyperlink>
                          </w:p>
                          <w:p w:rsidR="008A60B4" w:rsidRPr="006F1763" w:rsidRDefault="008A60B4" w:rsidP="00E05D08">
                            <w:pPr>
                              <w:pStyle w:val="HStandard"/>
                              <w:rPr>
                                <w:sz w:val="18"/>
                                <w:szCs w:val="18"/>
                              </w:rPr>
                            </w:pPr>
                            <w:r>
                              <w:rPr>
                                <w:sz w:val="18"/>
                                <w:szCs w:val="18"/>
                              </w:rPr>
                              <w:t xml:space="preserve">Comisia Europeană, DG AGRI (2014). </w:t>
                            </w:r>
                            <w:hyperlink r:id="rId70" w:history="1">
                              <w:r>
                                <w:rPr>
                                  <w:rStyle w:val="Hyperlink"/>
                                  <w:sz w:val="18"/>
                                  <w:szCs w:val="18"/>
                                </w:rPr>
                                <w:t>Ghid privind programarea pentru inovare și punerea în aplicare a PEI privind productivitatea și durabilitatea agriculturii</w:t>
                              </w:r>
                            </w:hyperlink>
                          </w:p>
                          <w:p w:rsidR="008A60B4" w:rsidRPr="006F1763" w:rsidRDefault="008A60B4" w:rsidP="00E05D08">
                            <w:pPr>
                              <w:pStyle w:val="HStandard"/>
                              <w:rPr>
                                <w:sz w:val="18"/>
                                <w:szCs w:val="18"/>
                              </w:rPr>
                            </w:pPr>
                            <w:r>
                              <w:rPr>
                                <w:sz w:val="18"/>
                                <w:szCs w:val="18"/>
                              </w:rPr>
                              <w:t xml:space="preserve">Serviciul european de asistență pentru evaluare (2014). Logica de intervenție și cadrul de evaluare pentru rețelele naționale de dezvoltare rurală din perioada 2014-2020. Document de referință prezentat în cadrul </w:t>
                            </w:r>
                            <w:hyperlink r:id="rId71" w:history="1">
                              <w:r>
                                <w:rPr>
                                  <w:rStyle w:val="Hyperlink"/>
                                  <w:sz w:val="18"/>
                                  <w:szCs w:val="18"/>
                                </w:rPr>
                                <w:t>Atelierului de bune practici „Rețelele naționale de dezvoltare rurală:</w:t>
                              </w:r>
                            </w:hyperlink>
                            <w:hyperlink r:id="rId72" w:history="1">
                              <w:r>
                                <w:rPr>
                                  <w:rStyle w:val="Hyperlink"/>
                                  <w:sz w:val="18"/>
                                  <w:szCs w:val="18"/>
                                </w:rPr>
                                <w:t xml:space="preserve"> punerea în evidență a beneficiilor lor</w:t>
                              </w:r>
                            </w:hyperlink>
                            <w:r>
                              <w:rPr>
                                <w:color w:val="F07E31"/>
                                <w:sz w:val="18"/>
                                <w:szCs w:val="18"/>
                              </w:rPr>
                              <w:t>”</w:t>
                            </w:r>
                            <w:r>
                              <w:rPr>
                                <w:sz w:val="18"/>
                                <w:szCs w:val="18"/>
                              </w:rPr>
                              <w:t>, Roma (Italia), 10 și 11 aprilie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B714EC" id="Rectangle: Diagonal Corners Rounded 552" o:spid="_x0000_s1052" style="width:442.95pt;height:239.6pt;visibility:visible;mso-wrap-style:square;mso-left-percent:-10001;mso-top-percent:-10001;mso-position-horizontal:absolute;mso-position-horizontal-relative:char;mso-position-vertical:absolute;mso-position-vertical-relative:line;mso-left-percent:-10001;mso-top-percent:-10001;v-text-anchor:middle" coordsize="5625465,30431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" adj="-11796480,,5400" path="m301269,l5625465,r,l5625465,2741854v,166386,-134883,301269,-301269,301269l,3043123r,l,301269c,134883,134883,,301269,xe" filled="f" strokecolor="#59638e" strokeweight="2pt">
                <v:stroke joinstyle="miter"/>
                <v:formulas/>
                <v:path arrowok="t" o:connecttype="custom" o:connectlocs="301269,0;5625465,0;5625465,0;5625465,2741854;5324196,3043123;0,3043123;0,3043123;0,301269;301269,0" o:connectangles="0,0,0,0,0,0,0,0,0" textboxrect="0,0,5625465,3043123"/>
                <v:textbox>
                  <w:txbxContent>
                    <w:p w:rsidR="008A60B4" w:rsidRDefault="008A60B4" w:rsidP="00E05D08">
                      <w:pPr>
                        <w:pStyle w:val="HStandard"/>
                        <w:rPr>
                          <w:color w:val="000000"/>
                          <w:sz w:val="18"/>
                        </w:rPr>
                      </w:pPr>
                      <w:r>
                        <w:rPr>
                          <w:noProof/>
                          <w:lang w:val="en-GB" w:eastAsia="en-GB"/>
                        </w:rPr>
                        <w:drawing>
                          <wp:inline distT="0" distB="0" distL="0" distR="0" wp14:anchorId="2DE4808D" wp14:editId="3224688E">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A60B4" w:rsidRPr="006F1763" w:rsidRDefault="008A60B4" w:rsidP="00E05D08">
                      <w:pPr>
                        <w:pStyle w:val="HStandard"/>
                        <w:rPr>
                          <w:sz w:val="18"/>
                          <w:szCs w:val="18"/>
                        </w:rPr>
                      </w:pPr>
                      <w:r>
                        <w:rPr>
                          <w:sz w:val="18"/>
                          <w:szCs w:val="18"/>
                        </w:rPr>
                        <w:t xml:space="preserve">Serviciul european de asistență pentru evaluare (2016). </w:t>
                      </w:r>
                      <w:r>
                        <w:t>Ghid - „</w:t>
                      </w:r>
                      <w:hyperlink r:id="rId73" w:history="1">
                        <w:r>
                          <w:rPr>
                            <w:color w:val="F07E31"/>
                            <w:sz w:val="18"/>
                            <w:szCs w:val="18"/>
                            <w:u w:val="single"/>
                          </w:rPr>
                          <w:t>Evaluarea rezultatelor PDR:</w:t>
                        </w:r>
                      </w:hyperlink>
                      <w:hyperlink r:id="rId74" w:history="1">
                        <w:r>
                          <w:rPr>
                            <w:color w:val="F07E31"/>
                            <w:sz w:val="18"/>
                            <w:szCs w:val="18"/>
                            <w:u w:val="single"/>
                          </w:rPr>
                          <w:t>pregătirea raportării cu privire la evaluare în 2017</w:t>
                        </w:r>
                      </w:hyperlink>
                      <w:r>
                        <w:t>”, anexa 11;</w:t>
                      </w:r>
                      <w:r>
                        <w:rPr>
                          <w:sz w:val="18"/>
                          <w:szCs w:val="18"/>
                        </w:rPr>
                        <w:t xml:space="preserve"> </w:t>
                      </w:r>
                    </w:p>
                    <w:p w:rsidR="008A60B4" w:rsidRPr="006F1763" w:rsidRDefault="008A60B4" w:rsidP="00E05D08">
                      <w:pPr>
                        <w:pStyle w:val="HStandard"/>
                        <w:rPr>
                          <w:sz w:val="18"/>
                          <w:szCs w:val="18"/>
                        </w:rPr>
                      </w:pPr>
                      <w:r>
                        <w:rPr>
                          <w:sz w:val="18"/>
                          <w:szCs w:val="18"/>
                        </w:rPr>
                        <w:t>REDR (2014).</w:t>
                      </w:r>
                      <w:hyperlink r:id="rId75" w:history="1">
                        <w:r>
                          <w:rPr>
                            <w:rStyle w:val="Hyperlink"/>
                            <w:sz w:val="18"/>
                            <w:szCs w:val="18"/>
                          </w:rPr>
                          <w:t xml:space="preserve"> Ghidul privind RNDR</w:t>
                        </w:r>
                      </w:hyperlink>
                      <w:r>
                        <w:t>.</w:t>
                      </w:r>
                      <w:r>
                        <w:rPr>
                          <w:sz w:val="18"/>
                          <w:szCs w:val="18"/>
                        </w:rPr>
                        <w:t xml:space="preserve"> Oficiul pentru Publicații din Luxemburg</w:t>
                      </w:r>
                    </w:p>
                    <w:p w:rsidR="008A60B4" w:rsidRPr="006F1763" w:rsidRDefault="008A60B4" w:rsidP="00E05D08">
                      <w:pPr>
                        <w:pStyle w:val="HStandard"/>
                        <w:rPr>
                          <w:sz w:val="18"/>
                          <w:szCs w:val="18"/>
                        </w:rPr>
                      </w:pPr>
                      <w:r>
                        <w:t xml:space="preserve">Serviciul european de asistență pentru evaluare (2016), Ghid - </w:t>
                      </w:r>
                      <w:hyperlink r:id="rId76" w:history="1">
                        <w:r>
                          <w:rPr>
                            <w:rStyle w:val="Hyperlink"/>
                            <w:sz w:val="18"/>
                            <w:szCs w:val="18"/>
                          </w:rPr>
                          <w:t>Evaluarea rețelelor naționale de dezvoltare rurală în perioada 2014-2020</w:t>
                        </w:r>
                      </w:hyperlink>
                    </w:p>
                    <w:p w:rsidR="008A60B4" w:rsidRPr="006F1763" w:rsidRDefault="008A60B4" w:rsidP="00E05D08">
                      <w:pPr>
                        <w:pStyle w:val="HStandard"/>
                        <w:rPr>
                          <w:sz w:val="18"/>
                          <w:szCs w:val="18"/>
                        </w:rPr>
                      </w:pPr>
                      <w:r>
                        <w:rPr>
                          <w:sz w:val="18"/>
                          <w:szCs w:val="18"/>
                        </w:rPr>
                        <w:t xml:space="preserve">Comisia Europeană, DG AGRI (2014). </w:t>
                      </w:r>
                      <w:hyperlink r:id="rId77" w:history="1">
                        <w:r>
                          <w:rPr>
                            <w:rStyle w:val="Hyperlink"/>
                            <w:sz w:val="18"/>
                            <w:szCs w:val="18"/>
                          </w:rPr>
                          <w:t>Ghid privind programarea pentru inovare și punerea în aplicare a PEI privind productivitatea și durabilitatea agriculturii</w:t>
                        </w:r>
                      </w:hyperlink>
                    </w:p>
                    <w:p w:rsidR="008A60B4" w:rsidRPr="006F1763" w:rsidRDefault="008A60B4" w:rsidP="00E05D08">
                      <w:pPr>
                        <w:pStyle w:val="HStandard"/>
                        <w:rPr>
                          <w:sz w:val="18"/>
                          <w:szCs w:val="18"/>
                        </w:rPr>
                      </w:pPr>
                      <w:r>
                        <w:rPr>
                          <w:sz w:val="18"/>
                          <w:szCs w:val="18"/>
                        </w:rPr>
                        <w:t xml:space="preserve">Serviciul european de asistență pentru evaluare (2014). Logica de intervenție și cadrul de evaluare pentru rețelele naționale de dezvoltare rurală din perioada 2014-2020. Document de referință prezentat în cadrul </w:t>
                      </w:r>
                      <w:hyperlink r:id="rId78" w:history="1">
                        <w:r>
                          <w:rPr>
                            <w:rStyle w:val="Hyperlink"/>
                            <w:sz w:val="18"/>
                            <w:szCs w:val="18"/>
                          </w:rPr>
                          <w:t>Atelierului de bune practici „Rețelele naționale de dezvoltare rurală:</w:t>
                        </w:r>
                      </w:hyperlink>
                      <w:hyperlink r:id="rId79" w:history="1">
                        <w:r>
                          <w:rPr>
                            <w:rStyle w:val="Hyperlink"/>
                            <w:sz w:val="18"/>
                            <w:szCs w:val="18"/>
                          </w:rPr>
                          <w:t xml:space="preserve"> punerea în evidență a beneficiilor lor</w:t>
                        </w:r>
                      </w:hyperlink>
                      <w:r>
                        <w:rPr>
                          <w:color w:val="F07E31"/>
                          <w:sz w:val="18"/>
                          <w:szCs w:val="18"/>
                        </w:rPr>
                        <w:t>”</w:t>
                      </w:r>
                      <w:r>
                        <w:rPr>
                          <w:sz w:val="18"/>
                          <w:szCs w:val="18"/>
                        </w:rPr>
                        <w:t>, Roma (Italia), 10 și 11 aprilie 2014</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2" w:name="_Toc501382134"/>
      <w:bookmarkStart w:id="123" w:name="_Toc508889184"/>
      <w:r>
        <w:t xml:space="preserve">IEC nr. </w:t>
      </w:r>
      <w:r w:rsidRPr="00FA63BD">
        <w:t>23</w:t>
      </w:r>
      <w:r>
        <w:t xml:space="preserve">: „În ce măsură a contribuit PDR la îndeplinirea obiectivului principal al Strategiei </w:t>
      </w:r>
      <w:r w:rsidRPr="00FA63BD">
        <w:t>2020</w:t>
      </w:r>
      <w:r>
        <w:t xml:space="preserve"> a UE de a investi </w:t>
      </w:r>
      <w:r w:rsidRPr="00FA63BD">
        <w:t>3</w:t>
      </w:r>
      <w:r>
        <w:t> % din PIB-ul UE în cercetare și dezvoltare și în inovare?”</w:t>
      </w:r>
      <w:bookmarkEnd w:id="122"/>
      <w:bookmarkEnd w:id="123"/>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Înțelegerea IEC</w:t>
      </w:r>
    </w:p>
    <w:p w:rsidR="00A45935" w:rsidRPr="00E05D08" w:rsidRDefault="00A45935" w:rsidP="00E05D08">
      <w:pPr>
        <w:spacing w:after="120" w:line="280" w:lineRule="atLeast"/>
        <w:mirrorIndents/>
        <w:rPr>
          <w:rFonts w:eastAsia="Times New Roman" w:cs="Times New Roman"/>
          <w:szCs w:val="20"/>
        </w:rPr>
      </w:pPr>
      <w:r>
        <w:t xml:space="preserve">Această IEC se referă la unul dintre cele cinci obiective principale ale strategiei UE </w:t>
      </w:r>
      <w:r w:rsidRPr="00FA63BD">
        <w:t>2020</w:t>
      </w:r>
      <w:r>
        <w:t>: „</w:t>
      </w:r>
      <w:r w:rsidRPr="00FA63BD">
        <w:t>3</w:t>
      </w:r>
      <w:r>
        <w:t xml:space="preserve"> % din PIB-ul UE să fie investit în cercetare și dezvoltare/inovare”. Pentru a se înțelege întrebarea, trebuie să se </w:t>
      </w:r>
      <w:r>
        <w:lastRenderedPageBreak/>
        <w:t xml:space="preserve">aibă în vedere contextul și măsurarea obiectivului principal și, mai ales, scopul său de a îmbunătăți condițiile pentru inovare, cercetare și dezvoltare, utilizând în același timp combinația de fonduri publice și private. </w:t>
      </w:r>
    </w:p>
    <w:p w:rsidR="00A45935" w:rsidRPr="00E05D08" w:rsidRDefault="00A45935" w:rsidP="00E05D08">
      <w:pPr>
        <w:spacing w:after="120" w:line="280" w:lineRule="atLeast"/>
        <w:mirrorIndents/>
        <w:rPr>
          <w:rFonts w:eastAsia="Times New Roman" w:cs="Times New Roman"/>
          <w:szCs w:val="20"/>
        </w:rPr>
      </w:pPr>
      <w:r>
        <w:t xml:space="preserve">Obiectivul principal este legat de prioritățile strategiei UE </w:t>
      </w:r>
      <w:r w:rsidRPr="00FA63BD">
        <w:t>2020</w:t>
      </w:r>
      <w:r>
        <w:t xml:space="preserve"> pentru o creștere inteligentă, durabilă și favorabilă incluziunii, bazată pe cunoaștere și inovare. Atenția se concentrează asupra necesității ca atât sectorul public, cât și cel privat să investească în cercetare și dezvoltare, dar se axează mai mult </w:t>
      </w:r>
      <w:r>
        <w:rPr>
          <w:b/>
          <w:bCs/>
        </w:rPr>
        <w:t>pe resurse decât pe impact</w:t>
      </w:r>
      <w:r>
        <w:rPr>
          <w:rFonts w:eastAsia="Times New Roman" w:cs="Times New Roman"/>
          <w:szCs w:val="20"/>
          <w:vertAlign w:val="superscript"/>
          <w:lang w:eastAsia="de-DE"/>
        </w:rPr>
        <w:footnoteReference w:id="68"/>
      </w:r>
      <w:r>
        <w:t xml:space="preserve">. Este necesar, în mod clar, să fie îmbunătățite condițiile pentru investițiile sectorului privat în domeniul cercetării și dezvoltării în UE și multe dintre măsurile propuse în această strategie vor contribui la acest lucru. Este clar, de asemenea, că o abordare comună a cercetării și dezvoltării și a inovării ar lărgi gama de cheltuieli, ceea ce ar fi mai pertinent pentru activitățile comerciale și pentru elementele care stimulează productivitatea. Comisia propune păstrarea obiectivului de </w:t>
      </w:r>
      <w:r w:rsidRPr="00FA63BD">
        <w:t>3</w:t>
      </w:r>
      <w:r>
        <w:t xml:space="preserve"> %, în paralel cu dezvoltarea unui indicator care să reflecte intensitatea cercetării și dezvoltării, precum și a inovării; </w:t>
      </w:r>
    </w:p>
    <w:p w:rsidR="00A45935" w:rsidRPr="00E05D08" w:rsidRDefault="00A45935" w:rsidP="00E05D08">
      <w:pPr>
        <w:spacing w:after="120" w:line="280" w:lineRule="atLeast"/>
        <w:mirrorIndents/>
        <w:rPr>
          <w:rFonts w:eastAsia="Times New Roman" w:cs="Times New Roman"/>
          <w:szCs w:val="20"/>
        </w:rPr>
      </w:pPr>
      <w:r>
        <w:t xml:space="preserve">Acest obiectiv principal a fost transpus în statele membre ale UE în obiective naționale care reflectă situații și împrejurări diferite, astfel încât fiecare stat membru să poată verifica propriul progres în ceea ce privește îndeplinirea obiectivelor UE </w:t>
      </w:r>
      <w:r w:rsidRPr="00FA63BD">
        <w:t>2020</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Provocări specifice </w:t>
      </w:r>
    </w:p>
    <w:p w:rsidR="00A45935" w:rsidRPr="006C63CD" w:rsidRDefault="00A45935" w:rsidP="00676B41">
      <w:pPr>
        <w:pStyle w:val="Hlistbullet"/>
      </w:pPr>
      <w:r>
        <w:rPr>
          <w:b/>
        </w:rPr>
        <w:t xml:space="preserve">Gestionarea datelor pentru a obține o calitate ridicată a datelor privind cercetarea și dezvoltarea și inovarea: </w:t>
      </w:r>
      <w:r>
        <w:t>Eurostat publică periodic un raport cuprinzător privind progresele înregistrate în ceea ce privește indicatorul aferent obiectivului principal</w:t>
      </w:r>
      <w:r>
        <w:rPr>
          <w:vertAlign w:val="superscript"/>
        </w:rPr>
        <w:footnoteReference w:id="70"/>
      </w:r>
      <w:r>
        <w:t>. Manualul Frascati (OCDE)</w:t>
      </w:r>
      <w:r>
        <w:rPr>
          <w:vertAlign w:val="superscript"/>
        </w:rPr>
        <w:footnoteReference w:id="71"/>
      </w:r>
      <w:r>
        <w:t xml:space="preserve"> și reglementările UE specifice</w:t>
      </w:r>
      <w:r>
        <w:rPr>
          <w:vertAlign w:val="superscript"/>
        </w:rPr>
        <w:footnoteReference w:id="72"/>
      </w:r>
      <w:r>
        <w:t xml:space="preserve"> oferă îndrumări privind colectarea datelor. Manualul Frascati este, de asemenea, baza pentru colectarea datelor pentru indicatorul substitutiv al indicatorului aferent obiectivului </w:t>
      </w:r>
      <w:r>
        <w:rPr>
          <w:shd w:val="clear" w:color="auto" w:fill="FFFFFF"/>
        </w:rPr>
        <w:t>principal</w:t>
      </w:r>
      <w:r>
        <w:t xml:space="preserve">, „cheltuieli interne brute pentru cercetare și dezvoltare (GERD - </w:t>
      </w:r>
      <w:r>
        <w:rPr>
          <w:i/>
          <w:iCs/>
        </w:rPr>
        <w:t>gross domestic expenditure on R&amp;D</w:t>
      </w:r>
      <w:r>
        <w:t>)”, date colectate de Eurostat</w:t>
      </w:r>
      <w:r>
        <w:rPr>
          <w:vertAlign w:val="superscript"/>
        </w:rPr>
        <w:footnoteReference w:id="73"/>
      </w:r>
      <w:r>
        <w:t xml:space="preserve">. Aceste date includ cheltuielile </w:t>
      </w:r>
      <w:r>
        <w:rPr>
          <w:color w:val="333333"/>
          <w:shd w:val="clear" w:color="auto" w:fill="FFFFFF"/>
        </w:rPr>
        <w:t>pentru cercetare și dezvoltare ale întreprinderilor comerciale, ale instituțiilor de învățământ superior, precum și ale guvernului și ale organizațiilor private non-profit.</w:t>
      </w:r>
      <w:r>
        <w:t xml:space="preserve"> GERD este furnizat de Eurostat pentru nivelurile NUTS </w:t>
      </w:r>
      <w:r w:rsidRPr="00FA63BD">
        <w:t>1</w:t>
      </w:r>
      <w:r>
        <w:t xml:space="preserve"> și NUTS </w:t>
      </w:r>
      <w:r w:rsidRPr="00FA63BD">
        <w:t>2</w:t>
      </w:r>
      <w:r>
        <w:t xml:space="preserve">. Indicatorul „% din totalul GERD” prezintă </w:t>
      </w:r>
      <w:r>
        <w:rPr>
          <w:color w:val="333333"/>
          <w:shd w:val="clear" w:color="auto" w:fill="FFFFFF"/>
        </w:rPr>
        <w:t>ponderile relative ale diferitelor surse de fonduri pentru cercetare și dezvoltare: industria, guvernul, învățământul superior și sectorul privat non-profit. Cea de-a cincea sursă de fonduri prezentată este reprezentată de GERD finanțate din străinătate. Indicatorul „</w:t>
      </w:r>
      <w:r>
        <w:t>% din totalul GERD”</w:t>
      </w:r>
      <w:r>
        <w:rPr>
          <w:color w:val="333333"/>
          <w:shd w:val="clear" w:color="auto" w:fill="FFFFFF"/>
        </w:rPr>
        <w:t xml:space="preserve"> este furnizat pentru nivelul NUTS </w:t>
      </w:r>
      <w:r w:rsidRPr="00FA63BD">
        <w:rPr>
          <w:color w:val="333333"/>
          <w:shd w:val="clear" w:color="auto" w:fill="FFFFFF"/>
        </w:rPr>
        <w:t>1</w:t>
      </w:r>
      <w:r>
        <w:rPr>
          <w:color w:val="333333"/>
          <w:shd w:val="clear" w:color="auto" w:fill="FFFFFF"/>
        </w:rPr>
        <w:t xml:space="preserve">. Deși Eurostat publică cele mai recente date, există un decalaj de aproximativ </w:t>
      </w:r>
      <w:r w:rsidRPr="00FA63BD">
        <w:rPr>
          <w:color w:val="333333"/>
          <w:shd w:val="clear" w:color="auto" w:fill="FFFFFF"/>
        </w:rPr>
        <w:t>2</w:t>
      </w:r>
      <w:r>
        <w:rPr>
          <w:color w:val="333333"/>
          <w:shd w:val="clear" w:color="auto" w:fill="FFFFFF"/>
        </w:rPr>
        <w:t>-</w:t>
      </w:r>
      <w:r w:rsidRPr="00FA63BD">
        <w:rPr>
          <w:color w:val="333333"/>
          <w:shd w:val="clear" w:color="auto" w:fill="FFFFFF"/>
        </w:rPr>
        <w:t>3</w:t>
      </w:r>
      <w:r>
        <w:rPr>
          <w:color w:val="333333"/>
          <w:shd w:val="clear" w:color="auto" w:fill="FFFFFF"/>
        </w:rPr>
        <w:t xml:space="preserve"> ani. </w:t>
      </w:r>
      <w:r>
        <w:t xml:space="preserve">Eurostat nu furnizează date pentru GERD și indicatorul „% din totalul GERD” în funcție de sectorul economic (de exemplu, industria alimentară, agricultură). De fapt, deși se referă în mod explicit la cheltuielile pentru cercetare și dezvoltare, statisticile includ, de asemenea, </w:t>
      </w:r>
      <w:r>
        <w:rPr>
          <w:b/>
          <w:bCs/>
        </w:rPr>
        <w:t>cheltuielile pentru inovare</w:t>
      </w:r>
      <w:r>
        <w:t xml:space="preserve"> până la un anumit punct, astfel cum se prevede în Strategia Europa </w:t>
      </w:r>
      <w:r w:rsidRPr="00FA63BD">
        <w:t>2020</w:t>
      </w:r>
      <w:r>
        <w:t xml:space="preserve">. Pentru finanțarea programelor </w:t>
      </w:r>
      <w:r>
        <w:rPr>
          <w:color w:val="333333"/>
          <w:shd w:val="clear" w:color="auto" w:fill="FFFFFF"/>
        </w:rPr>
        <w:t>care</w:t>
      </w:r>
      <w:r>
        <w:t xml:space="preserve"> promovează inovarea, un punct de referință este Manualul Frascati. Acesta măsoară activitățile științifice, tehnologice și de inovare, însă demarcația dintre activitățile de cercetare și dezvoltare și cele de inovare nu este întotdeauna pe deplin clară. </w:t>
      </w:r>
    </w:p>
    <w:p w:rsidR="00A45935" w:rsidRPr="006C63CD" w:rsidRDefault="00A45935" w:rsidP="00676B41">
      <w:pPr>
        <w:pStyle w:val="Hlistbullet"/>
      </w:pPr>
      <w:r>
        <w:rPr>
          <w:b/>
        </w:rPr>
        <w:lastRenderedPageBreak/>
        <w:t xml:space="preserve">Evaluarea contribuției PDR la îndeplinirea obiectivului principal: </w:t>
      </w:r>
      <w:r>
        <w:t xml:space="preserve">Provocarea este de a reflecta în mod adecvat și realist contribuțiile PDR la îndeplinirea obiectivului principal, ținând cont de orientarea programelor către Strategia Europa </w:t>
      </w:r>
      <w:r w:rsidRPr="00FA63BD">
        <w:t>2020</w:t>
      </w:r>
      <w:r>
        <w:t xml:space="preserve">. În această sarcină de evaluare este necesar, de asemenea, să fie luate în considerare caracteristicile intervențiilor FEADR și particularitățile zonelor rurale și a sectoarelor în care acestea sunt realizate aceste intervenții. Întrucât zonele rurale sunt, de obicei, mai dezavantajate din punct de vedere structural decât zonele urbane, iar Strategia UE </w:t>
      </w:r>
      <w:r w:rsidRPr="00FA63BD">
        <w:t>2020</w:t>
      </w:r>
      <w:r>
        <w:t xml:space="preserve"> se bazează pe investiții în zonele și sectoarele de creștere, se poate preconiza o contribuție relativ scăzută a PDR-urilor în comparație cu alte programe operaționale</w:t>
      </w:r>
      <w:r>
        <w:rPr>
          <w:vertAlign w:val="superscript"/>
        </w:rPr>
        <w:footnoteReference w:id="74"/>
      </w:r>
      <w:r>
        <w:t xml:space="preserve">. Cu toate acestea, aspectele care pot părea mai puțin importante pentru economiile naționale pot avea o valoare ridicată pentru PIB-ul zonelor rurale și pentru dezvoltarea lor viitoare. Prin urmare, este necesar să fie calculat obiectivul principal pentru contribuțiile PDR și trebuie furnizat un răspuns la IEC.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bCs/>
          <w:color w:val="57825E"/>
          <w:szCs w:val="20"/>
          <w:shd w:val="clear" w:color="auto" w:fill="FFFFFF"/>
        </w:rPr>
        <w:t xml:space="preserve">Abordare sugerată pentru a răspunde la IEC nr. </w:t>
      </w:r>
      <w:r w:rsidRPr="00FA63BD">
        <w:rPr>
          <w:b/>
          <w:bCs/>
          <w:color w:val="57825E"/>
          <w:szCs w:val="20"/>
          <w:shd w:val="clear" w:color="auto" w:fill="FFFFFF"/>
        </w:rPr>
        <w:t>23</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Logica de intervenție </w:t>
      </w:r>
    </w:p>
    <w:p w:rsidR="00697455" w:rsidRDefault="00A45935" w:rsidP="00E05D08">
      <w:pPr>
        <w:spacing w:after="120" w:line="280" w:lineRule="atLeast"/>
        <w:mirrorIndents/>
        <w:rPr>
          <w:rFonts w:eastAsia="Times New Roman" w:cs="Times New Roman"/>
          <w:szCs w:val="20"/>
        </w:rPr>
      </w:pPr>
      <w:r>
        <w:t xml:space="preserve">Toate măsurile/submăsurile din cadrul PDR care contribuie la încurajarea inovării prin cele trei modalități în zonele rurale, astfel cum sunt identificate în examinarea potențialului lor de inovare (a se vedea </w:t>
      </w:r>
      <w:hyperlink w:anchor="Screening_Potential" w:history="1">
        <w:r>
          <w:rPr>
            <w:rStyle w:val="Hyperlink"/>
            <w:sz w:val="20"/>
            <w:szCs w:val="20"/>
          </w:rPr>
          <w:t xml:space="preserve">capitolul </w:t>
        </w:r>
        <w:r w:rsidRPr="00FA63BD">
          <w:rPr>
            <w:rStyle w:val="Hyperlink"/>
            <w:sz w:val="20"/>
            <w:szCs w:val="20"/>
          </w:rPr>
          <w:t>2</w:t>
        </w:r>
        <w:r>
          <w:rPr>
            <w:rStyle w:val="Hyperlink"/>
            <w:sz w:val="20"/>
            <w:szCs w:val="20"/>
          </w:rPr>
          <w:t>.</w:t>
        </w:r>
        <w:r w:rsidRPr="00FA63BD">
          <w:rPr>
            <w:rStyle w:val="Hyperlink"/>
            <w:sz w:val="20"/>
            <w:szCs w:val="20"/>
          </w:rPr>
          <w:t>2</w:t>
        </w:r>
      </w:hyperlink>
      <w:r>
        <w:t xml:space="preserve">), ar trebui luate în considerare ca parte a logicii de intervenție legate de IEC nr. </w:t>
      </w:r>
      <w:r w:rsidRPr="00FA63BD">
        <w:t>23</w:t>
      </w:r>
      <w:r>
        <w:t>. Nu este vorba doar despre măsurile care sunt considerate în primul rând măsuri de încurajare a inovării (M</w:t>
      </w:r>
      <w:r w:rsidRPr="00FA63BD">
        <w:t>1</w:t>
      </w:r>
      <w:r>
        <w:t>, M</w:t>
      </w:r>
      <w:r w:rsidRPr="00FA63BD">
        <w:t>2</w:t>
      </w:r>
      <w:r>
        <w:t xml:space="preserve"> și M</w:t>
      </w:r>
      <w:r w:rsidRPr="00FA63BD">
        <w:t>16</w:t>
      </w:r>
      <w:r>
        <w:t xml:space="preserve">), ci ar putea să vizeze, de asemenea, alte măsuri de investiții, de marketing și axate pe zone, a căror punere în aplicare ar putea sprijini inovarea (de exemplu, prin criterii de selecție a proiectelor legate de inovare). Operațiunile puse în aplicare în cadrul acestor măsuri și submăsuri sunt luate în considerare pentru calcularea cheltuielilor pentru cercetare și dezvoltare și pentru inovare, iar evaluarea obiectivului principal sau a indicatorului său substitutiv (GERD) și indicatorii suplimentari se utilizează pentru a răspunde la IEC nr. </w:t>
      </w:r>
      <w:r w:rsidRPr="00FA63BD">
        <w:t>23</w:t>
      </w:r>
      <w:r>
        <w:t xml:space="preserve"> (astfel cum au fost identificați în examinarea potențialului de inovare – a se vedea </w:t>
      </w:r>
      <w:hyperlink w:anchor="Screening_Potential" w:history="1">
        <w:r>
          <w:rPr>
            <w:rStyle w:val="Hyperlink"/>
            <w:sz w:val="20"/>
            <w:szCs w:val="20"/>
          </w:rPr>
          <w:t xml:space="preserve">capitolul </w:t>
        </w:r>
        <w:r w:rsidRPr="00FA63BD">
          <w:rPr>
            <w:rStyle w:val="Hyperlink"/>
            <w:sz w:val="20"/>
            <w:szCs w:val="20"/>
          </w:rPr>
          <w:t>2</w:t>
        </w:r>
        <w:r>
          <w:rPr>
            <w:rStyle w:val="Hyperlink"/>
            <w:sz w:val="20"/>
            <w:szCs w:val="20"/>
          </w:rPr>
          <w:t>.</w:t>
        </w:r>
        <w:r w:rsidRPr="00FA63BD">
          <w:rPr>
            <w:rStyle w:val="Hyperlink"/>
            <w:sz w:val="20"/>
            <w:szCs w:val="20"/>
          </w:rPr>
          <w:t>2</w:t>
        </w:r>
      </w:hyperlink>
      <w:r>
        <w:t xml:space="preserve">). </w:t>
      </w:r>
    </w:p>
    <w:p w:rsidR="00697455" w:rsidRDefault="00697455">
      <w:pPr>
        <w:jc w:val="left"/>
        <w:rPr>
          <w:rFonts w:eastAsia="Times New Roman" w:cs="Times New Roman"/>
          <w:szCs w:val="20"/>
        </w:rPr>
      </w:pPr>
      <w:r>
        <w:br w:type="page"/>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 xml:space="preserve">Elemente de evaluare legate de IEC nr. </w:t>
      </w:r>
      <w:r w:rsidRPr="00FA63BD">
        <w:rPr>
          <w:b/>
          <w:szCs w:val="20"/>
        </w:rPr>
        <w:t>23</w:t>
      </w:r>
    </w:p>
    <w:p w:rsidR="00A45935" w:rsidRPr="00E05D08" w:rsidRDefault="00A45935" w:rsidP="00E05D08">
      <w:pPr>
        <w:spacing w:after="120" w:line="280" w:lineRule="atLeast"/>
        <w:mirrorIndents/>
        <w:rPr>
          <w:rFonts w:eastAsia="Times New Roman" w:cs="Times New Roman"/>
          <w:szCs w:val="20"/>
        </w:rPr>
      </w:pPr>
      <w:r>
        <w:t xml:space="preserve">Pentru a răspunde la IEC nr. </w:t>
      </w:r>
      <w:r w:rsidRPr="00FA63BD">
        <w:t>23</w:t>
      </w:r>
      <w:r>
        <w:t xml:space="preserve">, documentul de lucru </w:t>
      </w:r>
      <w:hyperlink r:id="rId80" w:history="1">
        <w:r>
          <w:rPr>
            <w:rStyle w:val="Hyperlink"/>
            <w:sz w:val="20"/>
            <w:szCs w:val="20"/>
          </w:rPr>
          <w:t xml:space="preserve">Întrebări de evaluare comune pentru programele de dezvoltare rurală în perioada </w:t>
        </w:r>
        <w:r w:rsidRPr="00FA63BD">
          <w:rPr>
            <w:rStyle w:val="Hyperlink"/>
            <w:sz w:val="20"/>
            <w:szCs w:val="20"/>
          </w:rPr>
          <w:t>2014</w:t>
        </w:r>
        <w:r>
          <w:rPr>
            <w:rStyle w:val="Hyperlink"/>
            <w:sz w:val="20"/>
            <w:szCs w:val="20"/>
          </w:rPr>
          <w:t>-</w:t>
        </w:r>
        <w:r w:rsidRPr="00FA63BD">
          <w:rPr>
            <w:rStyle w:val="Hyperlink"/>
            <w:sz w:val="20"/>
            <w:szCs w:val="20"/>
          </w:rPr>
          <w:t>2020</w:t>
        </w:r>
      </w:hyperlink>
      <w:r>
        <w:t xml:space="preserve"> sugerează două criterii de apreciere (investițiile în cercetare și dezvoltare au crescut, iar inovarea a fost încurajată), doi indicatori SCME (T</w:t>
      </w:r>
      <w:r w:rsidRPr="00FA63BD">
        <w:t>1</w:t>
      </w:r>
      <w:r>
        <w:t xml:space="preserve"> - Cheltuieli legate de articolele </w:t>
      </w:r>
      <w:r w:rsidRPr="00FA63BD">
        <w:t>14</w:t>
      </w:r>
      <w:r>
        <w:t xml:space="preserve"> și </w:t>
      </w:r>
      <w:r w:rsidRPr="00FA63BD">
        <w:t>35</w:t>
      </w:r>
      <w:r>
        <w:t xml:space="preserve"> și T</w:t>
      </w:r>
      <w:r w:rsidRPr="00FA63BD">
        <w:t>2</w:t>
      </w:r>
      <w:r>
        <w:t xml:space="preserve"> - Numărul total al operațiunilor de cooperare sprijinite în cadrul măsurii de cooperare) și un indicator suplimentar (cheltuielile PDR în domeniul cercetării și dezvoltării ca % din PIB). Cu toate acestea, elementele respective nu pot surprinde pe deplin contribuțiile PDR la îndeplinirea obiectivului principal. </w:t>
      </w:r>
    </w:p>
    <w:p w:rsidR="00A45935" w:rsidRPr="00E05D08" w:rsidRDefault="00A45935" w:rsidP="00E05D08">
      <w:pPr>
        <w:spacing w:after="120" w:line="280" w:lineRule="atLeast"/>
        <w:mirrorIndents/>
        <w:rPr>
          <w:rFonts w:eastAsia="Times New Roman" w:cs="Times New Roman"/>
          <w:szCs w:val="20"/>
        </w:rPr>
      </w:pPr>
      <w:r>
        <w:t xml:space="preserve">Prin urmare, prezentul ghid propune elemente de evaluare suplimentare pentru a răspunde la IEC nr. </w:t>
      </w:r>
      <w:r w:rsidRPr="00FA63BD">
        <w:t>23</w:t>
      </w:r>
      <w:r>
        <w:t xml:space="preserve"> (a se vedea </w:t>
      </w:r>
      <w:hyperlink w:anchor="JC_Indic_data" w:history="1">
        <w:r>
          <w:rPr>
            <w:rStyle w:val="Hyperlink"/>
            <w:sz w:val="20"/>
            <w:szCs w:val="20"/>
          </w:rPr>
          <w:t xml:space="preserve">tabelul </w:t>
        </w:r>
        <w:r w:rsidRPr="00FA63BD">
          <w:rPr>
            <w:rStyle w:val="Hyperlink"/>
            <w:sz w:val="20"/>
            <w:szCs w:val="20"/>
          </w:rPr>
          <w:t>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25" w:name="JC_Indic_data"/>
      <w:bookmarkStart w:id="126" w:name="_Toc508889195"/>
      <w:bookmarkEnd w:id="125"/>
      <w:r>
        <w:rPr>
          <w:color w:val="6F6F6F"/>
          <w:sz w:val="18"/>
          <w:szCs w:val="18"/>
        </w:rPr>
        <w:lastRenderedPageBreak/>
        <w:t xml:space="preserve">Criteriile de apreciere, indicatorii și datele necesare pentru a răspunde la IEC nr. </w:t>
      </w:r>
      <w:r w:rsidRPr="00FA63BD">
        <w:rPr>
          <w:color w:val="6F6F6F"/>
          <w:sz w:val="18"/>
          <w:szCs w:val="18"/>
        </w:rPr>
        <w:t>23</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8A60B4">
        <w:trPr>
          <w:trHeight w:val="294"/>
          <w:tblHeader/>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Criterii de apreciere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Indicatori</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Nevoi în materie de date</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Surse de date</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 xml:space="preserve">Elemente de evaluare comune (SCME și elementele propuse în documentul de lucru „Întrebări de evaluare comune pentru perioada </w:t>
            </w:r>
            <w:r w:rsidRPr="00FA63BD">
              <w:rPr>
                <w:b/>
                <w:color w:val="FFFFFF"/>
                <w:sz w:val="18"/>
                <w:szCs w:val="18"/>
              </w:rPr>
              <w:t>2014</w:t>
            </w:r>
            <w:r>
              <w:rPr>
                <w:b/>
                <w:color w:val="FFFFFF"/>
                <w:sz w:val="18"/>
                <w:szCs w:val="18"/>
              </w:rPr>
              <w:t>-</w:t>
            </w:r>
            <w:r w:rsidRPr="00FA63BD">
              <w:rPr>
                <w:b/>
                <w:color w:val="FFFFFF"/>
                <w:sz w:val="18"/>
                <w:szCs w:val="18"/>
              </w:rPr>
              <w:t>2020</w:t>
            </w:r>
            <w:r>
              <w:rPr>
                <w:b/>
                <w:color w:val="FFFFFF"/>
                <w:sz w:val="18"/>
                <w:szCs w:val="18"/>
              </w:rPr>
              <w:t>”)</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Investițiile în cercetare și dezvoltare și pentru inovare au crescut</w:t>
            </w:r>
            <w:r>
              <w:rPr>
                <w:rFonts w:eastAsia="Times New Roman" w:cs="Arial"/>
                <w:sz w:val="18"/>
                <w:szCs w:val="18"/>
                <w:vertAlign w:val="superscript"/>
                <w:lang w:eastAsia="de-AT"/>
              </w:rPr>
              <w:footnoteReference w:id="75"/>
            </w:r>
            <w:r>
              <w:rPr>
                <w:sz w:val="18"/>
                <w:szCs w:val="18"/>
              </w:rPr>
              <w:t>.</w:t>
            </w:r>
          </w:p>
          <w:p w:rsidR="00A45935" w:rsidRPr="00E05D08" w:rsidRDefault="00A45935" w:rsidP="00697455">
            <w:pPr>
              <w:spacing w:after="120" w:line="280" w:lineRule="atLeast"/>
              <w:jc w:val="left"/>
              <w:rPr>
                <w:rFonts w:eastAsia="Times New Roman" w:cs="Arial"/>
                <w:sz w:val="18"/>
                <w:szCs w:val="18"/>
              </w:rPr>
            </w:pPr>
            <w:r>
              <w:rPr>
                <w:sz w:val="18"/>
                <w:szCs w:val="18"/>
              </w:rPr>
              <w:t xml:space="preserve">A fost încurajată inovarea.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T</w:t>
            </w:r>
            <w:r w:rsidRPr="00FA63BD">
              <w:rPr>
                <w:sz w:val="18"/>
                <w:szCs w:val="18"/>
              </w:rPr>
              <w:t>1</w:t>
            </w:r>
            <w:r>
              <w:rPr>
                <w:sz w:val="18"/>
                <w:szCs w:val="18"/>
              </w:rPr>
              <w:t xml:space="preserve">: % al cheltuielilor efectuate în temeiul articolelor </w:t>
            </w:r>
            <w:r w:rsidRPr="00FA63BD">
              <w:rPr>
                <w:sz w:val="18"/>
                <w:szCs w:val="18"/>
              </w:rPr>
              <w:t>14</w:t>
            </w:r>
            <w:r>
              <w:rPr>
                <w:sz w:val="18"/>
                <w:szCs w:val="18"/>
              </w:rPr>
              <w:t xml:space="preserve">, </w:t>
            </w:r>
            <w:r w:rsidRPr="00FA63BD">
              <w:rPr>
                <w:sz w:val="18"/>
                <w:szCs w:val="18"/>
              </w:rPr>
              <w:t>15</w:t>
            </w:r>
            <w:r>
              <w:rPr>
                <w:sz w:val="18"/>
                <w:szCs w:val="18"/>
              </w:rPr>
              <w:t xml:space="preserve"> și </w:t>
            </w:r>
            <w:r w:rsidRPr="00FA63BD">
              <w:rPr>
                <w:sz w:val="18"/>
                <w:szCs w:val="18"/>
              </w:rPr>
              <w:t>35</w:t>
            </w:r>
            <w:r>
              <w:rPr>
                <w:sz w:val="18"/>
                <w:szCs w:val="18"/>
              </w:rPr>
              <w:t xml:space="preserve"> din Regulamentul (UE) nr. </w:t>
            </w:r>
            <w:r w:rsidRPr="00FA63BD">
              <w:rPr>
                <w:sz w:val="18"/>
                <w:szCs w:val="18"/>
              </w:rPr>
              <w:t>1305</w:t>
            </w:r>
            <w:r>
              <w:rPr>
                <w:sz w:val="18"/>
                <w:szCs w:val="18"/>
              </w:rPr>
              <w:t>/</w:t>
            </w:r>
            <w:r w:rsidRPr="00FA63BD">
              <w:rPr>
                <w:sz w:val="18"/>
                <w:szCs w:val="18"/>
              </w:rPr>
              <w:t>2013</w:t>
            </w:r>
            <w:r>
              <w:rPr>
                <w:sz w:val="18"/>
                <w:szCs w:val="18"/>
              </w:rPr>
              <w:t xml:space="preserve"> în raport cu cheltuielile totale ale PDR. </w:t>
            </w:r>
          </w:p>
          <w:p w:rsidR="00A45935" w:rsidRPr="00E05D08" w:rsidRDefault="00A45935" w:rsidP="00BA4FCD">
            <w:pPr>
              <w:spacing w:after="120" w:line="280" w:lineRule="atLeast"/>
              <w:jc w:val="left"/>
              <w:rPr>
                <w:rFonts w:eastAsia="Times New Roman" w:cs="Arial"/>
                <w:sz w:val="18"/>
                <w:szCs w:val="18"/>
              </w:rPr>
            </w:pPr>
            <w:r>
              <w:rPr>
                <w:sz w:val="18"/>
                <w:szCs w:val="18"/>
              </w:rPr>
              <w:t>T</w:t>
            </w:r>
            <w:r w:rsidRPr="00FA63BD">
              <w:rPr>
                <w:sz w:val="18"/>
                <w:szCs w:val="18"/>
              </w:rPr>
              <w:t>2</w:t>
            </w:r>
            <w:r>
              <w:rPr>
                <w:sz w:val="18"/>
                <w:szCs w:val="18"/>
              </w:rPr>
              <w:t>: Numărul total al operațiunilor din cadrul proiectelor de cooperare sprijinite în cadrul măsurii de cooperare [articolul </w:t>
            </w:r>
            <w:r w:rsidRPr="00FA63BD">
              <w:rPr>
                <w:sz w:val="18"/>
                <w:szCs w:val="18"/>
              </w:rPr>
              <w:t>35</w:t>
            </w:r>
            <w:r>
              <w:rPr>
                <w:sz w:val="18"/>
                <w:szCs w:val="18"/>
              </w:rPr>
              <w:t xml:space="preserve"> din Regulamentul (UE) nr. </w:t>
            </w:r>
            <w:r w:rsidRPr="00FA63BD">
              <w:rPr>
                <w:sz w:val="18"/>
                <w:szCs w:val="18"/>
              </w:rPr>
              <w:t>1305</w:t>
            </w:r>
            <w:r>
              <w:rPr>
                <w:sz w:val="18"/>
                <w:szCs w:val="18"/>
              </w:rPr>
              <w:t>/</w:t>
            </w:r>
            <w:r w:rsidRPr="00FA63BD">
              <w:rPr>
                <w:sz w:val="18"/>
                <w:szCs w:val="18"/>
              </w:rPr>
              <w:t>2013</w:t>
            </w:r>
            <w:r>
              <w:rPr>
                <w:sz w:val="18"/>
                <w:szCs w:val="18"/>
              </w:rPr>
              <w:t xml:space="preserve">] (grupuri, rețele/clustere, proiecte-pilot).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Indicator suplimentar:</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Cheltuieli ale PDR în cercetare și dezvoltare ca % din PIB (GERD pentru „dezvoltare rurală”).</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Date privind cheltuielile pentru cercetare și dezvoltare și pentru inovare ale PDR.</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Datele privind totalul cheltuielilor PDR. </w:t>
            </w:r>
          </w:p>
          <w:p w:rsidR="00A45935" w:rsidRPr="00E05D08" w:rsidRDefault="00A45935" w:rsidP="00BA4FCD">
            <w:pPr>
              <w:spacing w:after="120" w:line="280" w:lineRule="atLeast"/>
              <w:jc w:val="left"/>
              <w:rPr>
                <w:rFonts w:eastAsia="Times New Roman" w:cs="Arial"/>
                <w:sz w:val="18"/>
                <w:szCs w:val="18"/>
              </w:rPr>
            </w:pPr>
            <w:r>
              <w:rPr>
                <w:sz w:val="18"/>
                <w:szCs w:val="18"/>
              </w:rPr>
              <w:t>Date privind cheltuielile pentru cercetare și dezvoltare și pentru inovare pentru statul membru/regiune.</w:t>
            </w:r>
          </w:p>
          <w:p w:rsidR="00A45935" w:rsidRPr="00E05D08" w:rsidRDefault="00A45935" w:rsidP="00BA4FCD">
            <w:pPr>
              <w:spacing w:after="120" w:line="280" w:lineRule="atLeast"/>
              <w:jc w:val="left"/>
              <w:rPr>
                <w:rFonts w:eastAsia="Times New Roman" w:cs="Arial"/>
                <w:sz w:val="18"/>
                <w:szCs w:val="18"/>
              </w:rPr>
            </w:pPr>
            <w:r>
              <w:rPr>
                <w:sz w:val="18"/>
                <w:szCs w:val="18"/>
              </w:rPr>
              <w:t>Date privind PIB-ul pentru statul membru/regiune.</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Sistemul de monitorizare al PDR.</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Statistici naționale/regionale.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Elemente de evaluare suplimentare (opțional)</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Investițiile în cercetare și dezvoltare și în inovare, precum și inovarea au crescut.</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Indicatori suplimentari: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Cheltuielile interne brute pentru cercetare și dezvoltare (GERD) în raport cu produsul intern brut (PIB).</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Cheltuielile PDR pentru cercetare și dezvoltare și pentru inovare ca procentaj (%) din totalul cheltuielilor PDR.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lastRenderedPageBreak/>
              <w:t>Cheltuielile PDR pentru cercetare și dezvoltare și pentru inovare ca procentaj (%) din cheltuielile interne brute pentru cercetare și dezvoltare și pentru inovare.</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lastRenderedPageBreak/>
              <w:t>Date privind cercetarea și dezvoltarea și privind inovarea în conformitate cu Manualul Frascati.</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Date privind cheltuielile pentru cercetare și dezvoltare și pentru inovare ale PDR defalcate pe tipuri de beneficiari.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Date privind totalul cheltuielilor PDR </w:t>
            </w:r>
          </w:p>
          <w:p w:rsidR="00A45935" w:rsidRPr="00E05D08" w:rsidRDefault="00A45935" w:rsidP="00BA4FCD">
            <w:pPr>
              <w:spacing w:after="120" w:line="280" w:lineRule="atLeast"/>
              <w:jc w:val="left"/>
              <w:rPr>
                <w:rFonts w:eastAsia="Times New Roman" w:cs="Arial"/>
                <w:sz w:val="18"/>
                <w:szCs w:val="18"/>
              </w:rPr>
            </w:pPr>
            <w:r>
              <w:rPr>
                <w:sz w:val="18"/>
                <w:szCs w:val="18"/>
              </w:rPr>
              <w:lastRenderedPageBreak/>
              <w:t>Date privind cheltuielile pentru cercetare și dezvoltare și pentru inovare pentru statul membru/regiune.</w:t>
            </w:r>
          </w:p>
          <w:p w:rsidR="00A45935" w:rsidRPr="00E05D08" w:rsidRDefault="00A45935" w:rsidP="00BA4FCD">
            <w:pPr>
              <w:spacing w:after="120" w:line="280" w:lineRule="atLeast"/>
              <w:jc w:val="left"/>
              <w:rPr>
                <w:rFonts w:eastAsia="Times New Roman" w:cs="Arial"/>
                <w:sz w:val="18"/>
                <w:szCs w:val="18"/>
              </w:rPr>
            </w:pPr>
            <w:r>
              <w:rPr>
                <w:sz w:val="18"/>
                <w:szCs w:val="18"/>
              </w:rPr>
              <w:t>Date privind PIB-ul pentru statul membru/regiune.</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lastRenderedPageBreak/>
              <w:t>Sistemul de monitorizare al PDR.</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Statistici naționale/regionale.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Metodologia de evaluare propusă</w:t>
      </w:r>
    </w:p>
    <w:p w:rsidR="00A45935" w:rsidRPr="00E05D08" w:rsidRDefault="00A45935" w:rsidP="00E05D08">
      <w:pPr>
        <w:spacing w:after="120" w:line="280" w:lineRule="atLeast"/>
        <w:mirrorIndents/>
        <w:rPr>
          <w:rFonts w:eastAsia="Times New Roman" w:cs="Times New Roman"/>
          <w:szCs w:val="20"/>
        </w:rPr>
      </w:pPr>
      <w:r>
        <w:t xml:space="preserve">Indicatorul aferent obiectivului principal este colectat de Eurostat și de statisticile naționale și se referă la cheltuielile interne brute pentru cercetare și dezvoltare (GERD), ca un indicator substitutiv al PIB-ului, cunoscut ca intensitatea cercetării și dezvoltării. Statisticile compilează cheltuielile pentru cercetare și dezvoltare pentru patru sectoare: </w:t>
      </w:r>
      <w:r w:rsidRPr="00FA63BD">
        <w:t>1</w:t>
      </w:r>
      <w:r>
        <w:t xml:space="preserve">) sectorul întreprinderilor comerciale, </w:t>
      </w:r>
      <w:r w:rsidRPr="00FA63BD">
        <w:t>2</w:t>
      </w:r>
      <w:r>
        <w:t xml:space="preserve">) sectorul guvernamental, </w:t>
      </w:r>
      <w:r w:rsidRPr="00FA63BD">
        <w:t>3</w:t>
      </w:r>
      <w:r>
        <w:t xml:space="preserve">) sectorul învățământului superior și </w:t>
      </w:r>
      <w:r w:rsidRPr="00FA63BD">
        <w:t>4</w:t>
      </w:r>
      <w:r>
        <w:t xml:space="preserve">) sectorul privat non-profit. Informații mai detaliate privind calcularea fiecărui indicator sunt propuse în tabelul </w:t>
      </w:r>
      <w:r w:rsidRPr="00FA63BD">
        <w:t>8</w:t>
      </w:r>
      <w:r>
        <w:t>.</w:t>
      </w:r>
    </w:p>
    <w:p w:rsidR="00F73706" w:rsidRPr="0059311F" w:rsidRDefault="00F73706" w:rsidP="00F73706">
      <w:pPr>
        <w:pStyle w:val="Hlistbullet"/>
      </w:pPr>
      <w:r>
        <w:t>Datele pentru indicatorii comuni T</w:t>
      </w:r>
      <w:r w:rsidRPr="00FA63BD">
        <w:t>1</w:t>
      </w:r>
      <w:r>
        <w:t xml:space="preserve"> și T</w:t>
      </w:r>
      <w:r w:rsidRPr="00FA63BD">
        <w:t>2</w:t>
      </w:r>
      <w:r>
        <w:t xml:space="preserve"> sunt colectate direct din sistemul de monitorizare al PDR (baza de date a operațiunilor). </w:t>
      </w:r>
    </w:p>
    <w:p w:rsidR="00F73706" w:rsidRPr="00F73706" w:rsidRDefault="00F73706" w:rsidP="00F73706">
      <w:pPr>
        <w:pStyle w:val="Hlistbullet"/>
      </w:pPr>
      <w:r>
        <w:t>Obiectivul principal „</w:t>
      </w:r>
      <w:r>
        <w:rPr>
          <w:i/>
          <w:iCs/>
        </w:rPr>
        <w:t>Cheltuielile interne brute pentru cercetare și dezvoltare (GERD) în raport cu produsul intern brut (PIB)</w:t>
      </w:r>
      <w:r>
        <w:t xml:space="preserve">” poate fi colectat la nivelurile NUTS </w:t>
      </w:r>
      <w:r w:rsidRPr="00FA63BD">
        <w:t>1</w:t>
      </w:r>
      <w:r>
        <w:t xml:space="preserve"> și NUTS </w:t>
      </w:r>
      <w:r w:rsidRPr="00FA63BD">
        <w:t>2</w:t>
      </w:r>
      <w:r>
        <w:t xml:space="preserve"> de la Eurostat.</w:t>
      </w:r>
    </w:p>
    <w:p w:rsidR="00F73706" w:rsidRPr="00F73706" w:rsidRDefault="00F73706" w:rsidP="00F73706">
      <w:pPr>
        <w:pStyle w:val="Hlistbullet"/>
      </w:pPr>
      <w:r>
        <w:t>Indicatorul suplimentar „</w:t>
      </w:r>
      <w:r>
        <w:rPr>
          <w:i/>
          <w:iCs/>
        </w:rPr>
        <w:t>Cheltuielile PDR pentru cercetare și dezvoltare ca % din PIB</w:t>
      </w:r>
      <w:r>
        <w:t>” (denumit în continuare „GERD dezvoltare rurală” sau „GERD</w:t>
      </w:r>
      <w:r>
        <w:rPr>
          <w:sz w:val="24"/>
        </w:rPr>
        <w:t>ᴿᴰ</w:t>
      </w:r>
      <w:r>
        <w:t>”) indică cheltuielile PDR pentru cercetare și dezvoltare prin măsuri/submăsuri relevante în raport cu PIB-ul:</w:t>
      </w:r>
    </w:p>
    <w:p w:rsidR="00F73706" w:rsidRPr="00F73706" w:rsidRDefault="00F73706" w:rsidP="00F73706">
      <w:pPr>
        <w:pStyle w:val="Hlistbullet2"/>
      </w:pPr>
      <w:r>
        <w:t xml:space="preserve">datele privind PIB-ul sunt colectate prin statistici naționale și sunt, de asemenea, disponibile din surse UE (Eurostat). </w:t>
      </w:r>
    </w:p>
    <w:p w:rsidR="00F73706" w:rsidRPr="00F73706" w:rsidRDefault="00F73706" w:rsidP="00F73706">
      <w:pPr>
        <w:pStyle w:val="Hlistbullet2"/>
      </w:pPr>
      <w:r>
        <w:t xml:space="preserve">datele privind cheltuielile PDR pentru cercetare, dezvoltare și inovare pot fi obținute din sistemul de monitorizare al PDR prin calcularea cheltuielilor legate de operațiunile cu potențial de inovare (identificate pe parcursul examinării potențialului de inovare - a se vedea </w:t>
      </w:r>
      <w:hyperlink w:anchor="Screening_Potential" w:history="1">
        <w:r>
          <w:rPr>
            <w:rStyle w:val="Hyperlink"/>
            <w:sz w:val="20"/>
          </w:rPr>
          <w:t xml:space="preserve">capitolul </w:t>
        </w:r>
        <w:r w:rsidRPr="00FA63BD">
          <w:rPr>
            <w:rStyle w:val="Hyperlink"/>
            <w:sz w:val="20"/>
          </w:rPr>
          <w:t>2</w:t>
        </w:r>
        <w:r>
          <w:rPr>
            <w:rStyle w:val="Hyperlink"/>
            <w:sz w:val="20"/>
          </w:rPr>
          <w:t>.</w:t>
        </w:r>
        <w:r w:rsidRPr="00FA63BD">
          <w:rPr>
            <w:rStyle w:val="Hyperlink"/>
            <w:sz w:val="20"/>
          </w:rPr>
          <w:t>2</w:t>
        </w:r>
      </w:hyperlink>
      <w:r>
        <w:t xml:space="preserve">) și defalcate în funcție de beneficiarii din sectoare, astfel cum se prevede în Manualul Frascati. </w:t>
      </w:r>
    </w:p>
    <w:p w:rsidR="00F73706" w:rsidRPr="00F73706" w:rsidRDefault="00F73706" w:rsidP="00F73706">
      <w:pPr>
        <w:pStyle w:val="Hlistbullet"/>
      </w:pPr>
      <w:r>
        <w:t>Indicatorul suplimentar „</w:t>
      </w:r>
      <w:r>
        <w:rPr>
          <w:i/>
          <w:iCs/>
        </w:rPr>
        <w:t>Cheltuielile PDR pentru cercetare și dezvoltare și pentru inovare ca procentaj (%) din totalul cheltuielilor PDR”</w:t>
      </w:r>
      <w:r>
        <w:t>indică dimensiunea bugetului PDR alocat pentru sprijinirea cercetării, dezvoltării și inovării. Datele pentru acest indicator pot fi obținute, de asemenea, din sistemul de monitorizare al PDR, dacă baza de date a operațiunilor este adaptată pentru a urmări, de asemenea, informațiile despre proiectele cu un potențial ridicat de inovare identificate în urma examinării anterioare evaluării.</w:t>
      </w:r>
    </w:p>
    <w:p w:rsidR="00A45935" w:rsidRPr="00E05D08" w:rsidRDefault="00F73706" w:rsidP="00F73706">
      <w:pPr>
        <w:pStyle w:val="Hlistbullet"/>
      </w:pPr>
      <w:r>
        <w:t>Indicatorul suplimentar „</w:t>
      </w:r>
      <w:r>
        <w:rPr>
          <w:i/>
          <w:iCs/>
        </w:rPr>
        <w:t>Cheltuielile PDR pentru cercetare și dezvoltare și pentru inovare ca procentaj (%) din cheltuielile interne brute pentru cercetare și dezvoltare și pentru inovare</w:t>
      </w:r>
      <w:r>
        <w:t>” indică relația dintre investițiile PDR în cercetare, dezvoltare și inovare și cheltuielile interne brute pentru cercetare și dezvoltare. Datele pot fi obținute din sistemul de monitorizare al PDR, din statisticile naționale și regionale, precum și de la Eurostat.</w:t>
      </w:r>
    </w:p>
    <w:p w:rsidR="00A45935" w:rsidRPr="00E05D08" w:rsidRDefault="00A45935" w:rsidP="00E05D08">
      <w:pPr>
        <w:spacing w:after="120" w:line="280" w:lineRule="atLeast"/>
        <w:mirrorIndents/>
        <w:rPr>
          <w:rFonts w:eastAsia="Times New Roman" w:cs="Times New Roman"/>
          <w:szCs w:val="20"/>
        </w:rPr>
      </w:pPr>
      <w:r>
        <w:t xml:space="preserve">Cifrele pentru indicatori pot fi calculate ex-ante (contribuții planificate) și la momentul evaluării pentru raportul anual de punere în aplicare prezentat în </w:t>
      </w:r>
      <w:r w:rsidRPr="00FA63BD">
        <w:t>2019</w:t>
      </w:r>
      <w:r>
        <w:t xml:space="preserve"> și în evaluarea </w:t>
      </w:r>
      <w:r w:rsidRPr="00EF035B">
        <w:rPr>
          <w:i/>
        </w:rPr>
        <w:t>ex post</w:t>
      </w:r>
      <w:r>
        <w:t xml:space="preserve"> (contribuții efective în momentul evaluării), care pot permite ulterior compararea contribuțiilor planificate cu contribuțiile efective. Exemplul din tabelul </w:t>
      </w:r>
      <w:r w:rsidRPr="00FA63BD">
        <w:t>8</w:t>
      </w:r>
      <w:r>
        <w:t xml:space="preserve"> prezintă valorile planificate și cele efective ale indicatorilor comuni și suplimentari:</w:t>
      </w:r>
    </w:p>
    <w:p w:rsidR="00A45935" w:rsidRPr="00E05D08" w:rsidRDefault="00A45935" w:rsidP="00E05D08">
      <w:pPr>
        <w:spacing w:after="0" w:line="240" w:lineRule="auto"/>
        <w:rPr>
          <w:rFonts w:eastAsia="Times New Roman" w:cs="Times New Roman"/>
          <w:b/>
          <w:sz w:val="16"/>
          <w:szCs w:val="20"/>
          <w:highlight w:val="yellow"/>
        </w:rPr>
      </w:pPr>
      <w:bookmarkStart w:id="127" w:name="_Hlk501698024"/>
      <w:r>
        <w:br w:type="page"/>
      </w:r>
    </w:p>
    <w:p w:rsidR="00A45935" w:rsidRPr="00D62992" w:rsidRDefault="00A45935" w:rsidP="00D62992">
      <w:pPr>
        <w:pStyle w:val="HHeadingtables"/>
        <w:rPr>
          <w:color w:val="6F6F6F"/>
          <w:sz w:val="18"/>
          <w:szCs w:val="18"/>
        </w:rPr>
      </w:pPr>
      <w:bookmarkStart w:id="128" w:name="_Toc508889196"/>
      <w:r>
        <w:rPr>
          <w:color w:val="6F6F6F"/>
          <w:sz w:val="18"/>
          <w:szCs w:val="18"/>
        </w:rPr>
        <w:lastRenderedPageBreak/>
        <w:t>Exemplu de valori planificate și efective ale indicatorilor comuni și suplimentari</w:t>
      </w:r>
      <w:bookmarkEnd w:id="128"/>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202"/>
        <w:gridCol w:w="4175"/>
        <w:gridCol w:w="1495"/>
        <w:gridCol w:w="1494"/>
        <w:gridCol w:w="762"/>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Indicatori</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Planificate</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Efective</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Calcul</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Date de intrare ale PDR (baza de date a operațiunilor)</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Cheltuieli totale ale PDR (agregate)</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800</w:t>
            </w:r>
            <w:r>
              <w:rPr>
                <w:sz w:val="18"/>
                <w:szCs w:val="20"/>
              </w:rPr>
              <w:t xml:space="preserve"> </w:t>
            </w:r>
            <w:r w:rsidRPr="00FA63BD">
              <w:rPr>
                <w:sz w:val="18"/>
                <w:szCs w:val="20"/>
              </w:rPr>
              <w:t>000</w:t>
            </w:r>
            <w:r>
              <w:rPr>
                <w:sz w:val="18"/>
                <w:szCs w:val="20"/>
              </w:rPr>
              <w:t xml:space="preserve"> </w:t>
            </w:r>
            <w:r w:rsidRPr="00FA63BD">
              <w:rPr>
                <w:sz w:val="18"/>
                <w:szCs w:val="20"/>
              </w:rPr>
              <w:t>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790</w:t>
            </w:r>
            <w:r>
              <w:rPr>
                <w:sz w:val="18"/>
                <w:szCs w:val="20"/>
              </w:rPr>
              <w:t xml:space="preserve"> </w:t>
            </w:r>
            <w:r w:rsidRPr="00FA63BD">
              <w:rPr>
                <w:sz w:val="18"/>
                <w:szCs w:val="20"/>
              </w:rPr>
              <w:t>000</w:t>
            </w:r>
            <w:r>
              <w:rPr>
                <w:sz w:val="18"/>
                <w:szCs w:val="20"/>
              </w:rPr>
              <w:t xml:space="preserve"> </w:t>
            </w:r>
            <w:r w:rsidRPr="00FA63BD">
              <w:rPr>
                <w:sz w:val="18"/>
                <w:szCs w:val="20"/>
              </w:rPr>
              <w:t>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Cheltuieli ale PDR în temeiul articolelor </w:t>
            </w:r>
            <w:r w:rsidRPr="00FA63BD">
              <w:rPr>
                <w:sz w:val="18"/>
                <w:szCs w:val="20"/>
              </w:rPr>
              <w:t>14</w:t>
            </w:r>
            <w:r>
              <w:rPr>
                <w:sz w:val="18"/>
                <w:szCs w:val="20"/>
              </w:rPr>
              <w:t>,</w:t>
            </w:r>
            <w:r w:rsidRPr="00FA63BD">
              <w:rPr>
                <w:sz w:val="18"/>
                <w:szCs w:val="20"/>
              </w:rPr>
              <w:t>15</w:t>
            </w:r>
            <w:r>
              <w:rPr>
                <w:sz w:val="18"/>
                <w:szCs w:val="20"/>
              </w:rPr>
              <w:t xml:space="preserve"> și </w:t>
            </w:r>
            <w:r w:rsidRPr="00FA63BD">
              <w:rPr>
                <w:sz w:val="18"/>
                <w:szCs w:val="20"/>
              </w:rPr>
              <w:t>35</w:t>
            </w:r>
            <w:r>
              <w:rPr>
                <w:sz w:val="18"/>
                <w:szCs w:val="20"/>
              </w:rPr>
              <w:t xml:space="preserve"> din Regulamentul (UE) nr. </w:t>
            </w:r>
            <w:r w:rsidRPr="00FA63BD">
              <w:rPr>
                <w:sz w:val="18"/>
                <w:szCs w:val="20"/>
              </w:rPr>
              <w:t>1305</w:t>
            </w:r>
            <w:r>
              <w:rPr>
                <w:sz w:val="18"/>
                <w:szCs w:val="20"/>
              </w:rPr>
              <w:t>/</w:t>
            </w:r>
            <w:r w:rsidRPr="00FA63BD">
              <w:rPr>
                <w:sz w:val="18"/>
                <w:szCs w:val="20"/>
              </w:rPr>
              <w:t>2013</w:t>
            </w:r>
            <w:r>
              <w:rPr>
                <w:sz w:val="18"/>
                <w:szCs w:val="20"/>
              </w:rPr>
              <w:t xml:space="preserve"> (agregate).</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40</w:t>
            </w:r>
            <w:r>
              <w:rPr>
                <w:sz w:val="18"/>
                <w:szCs w:val="20"/>
              </w:rPr>
              <w:t xml:space="preserve"> </w:t>
            </w:r>
            <w:r w:rsidRPr="00FA63BD">
              <w:rPr>
                <w:sz w:val="18"/>
                <w:szCs w:val="20"/>
              </w:rPr>
              <w:t>000</w:t>
            </w:r>
            <w:r>
              <w:rPr>
                <w:sz w:val="18"/>
                <w:szCs w:val="20"/>
              </w:rPr>
              <w:t xml:space="preserve"> </w:t>
            </w:r>
            <w:r w:rsidRPr="00FA63BD">
              <w:rPr>
                <w:sz w:val="18"/>
                <w:szCs w:val="20"/>
              </w:rPr>
              <w:t>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30</w:t>
            </w:r>
            <w:r>
              <w:rPr>
                <w:sz w:val="18"/>
                <w:szCs w:val="20"/>
              </w:rPr>
              <w:t xml:space="preserve"> </w:t>
            </w:r>
            <w:r w:rsidRPr="00FA63BD">
              <w:rPr>
                <w:sz w:val="18"/>
                <w:szCs w:val="20"/>
              </w:rPr>
              <w:t>000</w:t>
            </w:r>
            <w:r>
              <w:rPr>
                <w:sz w:val="18"/>
                <w:szCs w:val="20"/>
              </w:rPr>
              <w:t xml:space="preserve"> </w:t>
            </w:r>
            <w:r w:rsidRPr="00FA63BD">
              <w:rPr>
                <w:sz w:val="18"/>
                <w:szCs w:val="20"/>
              </w:rPr>
              <w:t>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Cheltuieli ale PDR pentru toate măsurile/submăsurile din cadrul PDR care investesc în cercetare și dezvoltare și care au capacitatea de a încuraja inovarea (agregate).</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120</w:t>
            </w:r>
            <w:r>
              <w:rPr>
                <w:sz w:val="18"/>
                <w:szCs w:val="20"/>
              </w:rPr>
              <w:t xml:space="preserve"> </w:t>
            </w:r>
            <w:r w:rsidRPr="00FA63BD">
              <w:rPr>
                <w:sz w:val="18"/>
                <w:szCs w:val="20"/>
              </w:rPr>
              <w:t>000</w:t>
            </w:r>
            <w:r>
              <w:rPr>
                <w:sz w:val="18"/>
                <w:szCs w:val="20"/>
              </w:rPr>
              <w:t xml:space="preserve"> </w:t>
            </w:r>
            <w:r w:rsidRPr="00FA63BD">
              <w:rPr>
                <w:sz w:val="18"/>
                <w:szCs w:val="20"/>
              </w:rPr>
              <w:t>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140</w:t>
            </w:r>
            <w:r>
              <w:rPr>
                <w:sz w:val="18"/>
                <w:szCs w:val="20"/>
              </w:rPr>
              <w:t xml:space="preserve"> </w:t>
            </w:r>
            <w:r w:rsidRPr="00FA63BD">
              <w:rPr>
                <w:sz w:val="18"/>
                <w:szCs w:val="20"/>
              </w:rPr>
              <w:t>000</w:t>
            </w:r>
            <w:r>
              <w:rPr>
                <w:sz w:val="18"/>
                <w:szCs w:val="20"/>
              </w:rPr>
              <w:t xml:space="preserve"> </w:t>
            </w:r>
            <w:r w:rsidRPr="00FA63BD">
              <w:rPr>
                <w:sz w:val="18"/>
                <w:szCs w:val="20"/>
              </w:rPr>
              <w:t>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Date contextuale</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PIB național/regional (al tuturor sectoarelor) (anual).</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200</w:t>
            </w:r>
            <w:r>
              <w:rPr>
                <w:sz w:val="18"/>
                <w:szCs w:val="20"/>
              </w:rPr>
              <w:t xml:space="preserve"> </w:t>
            </w:r>
            <w:r w:rsidRPr="00FA63BD">
              <w:rPr>
                <w:sz w:val="18"/>
                <w:szCs w:val="20"/>
              </w:rPr>
              <w:t>000</w:t>
            </w:r>
            <w:r>
              <w:rPr>
                <w:sz w:val="18"/>
                <w:szCs w:val="20"/>
              </w:rPr>
              <w:t xml:space="preserve"> </w:t>
            </w:r>
            <w:r w:rsidRPr="00FA63BD">
              <w:rPr>
                <w:sz w:val="18"/>
                <w:szCs w:val="20"/>
              </w:rPr>
              <w:t>000</w:t>
            </w:r>
            <w:r>
              <w:rPr>
                <w:sz w:val="18"/>
                <w:szCs w:val="20"/>
              </w:rPr>
              <w:t xml:space="preserve"> </w:t>
            </w:r>
            <w:r w:rsidRPr="00FA63BD">
              <w:rPr>
                <w:sz w:val="18"/>
                <w:szCs w:val="20"/>
              </w:rPr>
              <w:t>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200</w:t>
            </w:r>
            <w:r>
              <w:rPr>
                <w:sz w:val="18"/>
                <w:szCs w:val="20"/>
              </w:rPr>
              <w:t xml:space="preserve"> </w:t>
            </w:r>
            <w:r w:rsidRPr="00FA63BD">
              <w:rPr>
                <w:sz w:val="18"/>
                <w:szCs w:val="20"/>
              </w:rPr>
              <w:t>000</w:t>
            </w:r>
            <w:r>
              <w:rPr>
                <w:sz w:val="18"/>
                <w:szCs w:val="20"/>
              </w:rPr>
              <w:t xml:space="preserve"> </w:t>
            </w:r>
            <w:r w:rsidRPr="00FA63BD">
              <w:rPr>
                <w:sz w:val="18"/>
                <w:szCs w:val="20"/>
              </w:rPr>
              <w:t>000</w:t>
            </w:r>
            <w:r>
              <w:rPr>
                <w:sz w:val="18"/>
                <w:szCs w:val="20"/>
              </w:rPr>
              <w:t xml:space="preserve"> </w:t>
            </w:r>
            <w:r w:rsidRPr="00FA63BD">
              <w:rPr>
                <w:sz w:val="18"/>
                <w:szCs w:val="20"/>
              </w:rPr>
              <w:t>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Cheltuieli interne brute pentru cercetare și dezvoltare (GERD) ale tuturor sectoarelor (anual).</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3</w:t>
            </w:r>
            <w:r>
              <w:rPr>
                <w:sz w:val="18"/>
                <w:szCs w:val="20"/>
              </w:rPr>
              <w:t xml:space="preserve"> </w:t>
            </w:r>
            <w:r w:rsidRPr="00FA63BD">
              <w:rPr>
                <w:sz w:val="18"/>
                <w:szCs w:val="20"/>
              </w:rPr>
              <w:t>000</w:t>
            </w:r>
            <w:r>
              <w:rPr>
                <w:sz w:val="18"/>
                <w:szCs w:val="20"/>
              </w:rPr>
              <w:t xml:space="preserve"> </w:t>
            </w:r>
            <w:r w:rsidRPr="00FA63BD">
              <w:rPr>
                <w:sz w:val="18"/>
                <w:szCs w:val="20"/>
              </w:rPr>
              <w:t>000</w:t>
            </w:r>
            <w:r>
              <w:rPr>
                <w:sz w:val="18"/>
                <w:szCs w:val="20"/>
              </w:rPr>
              <w:t xml:space="preserve"> </w:t>
            </w:r>
            <w:r w:rsidRPr="00FA63BD">
              <w:rPr>
                <w:sz w:val="18"/>
                <w:szCs w:val="20"/>
              </w:rPr>
              <w:t>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3</w:t>
            </w:r>
            <w:r>
              <w:rPr>
                <w:sz w:val="18"/>
                <w:szCs w:val="20"/>
              </w:rPr>
              <w:t xml:space="preserve"> </w:t>
            </w:r>
            <w:r w:rsidRPr="00FA63BD">
              <w:rPr>
                <w:sz w:val="18"/>
                <w:szCs w:val="20"/>
              </w:rPr>
              <w:t>000</w:t>
            </w:r>
            <w:r>
              <w:rPr>
                <w:sz w:val="18"/>
                <w:szCs w:val="20"/>
              </w:rPr>
              <w:t xml:space="preserve"> </w:t>
            </w:r>
            <w:r w:rsidRPr="00FA63BD">
              <w:rPr>
                <w:sz w:val="18"/>
                <w:szCs w:val="20"/>
              </w:rPr>
              <w:t>000</w:t>
            </w:r>
            <w:r>
              <w:rPr>
                <w:sz w:val="18"/>
                <w:szCs w:val="20"/>
              </w:rPr>
              <w:t xml:space="preserve"> </w:t>
            </w:r>
            <w:r w:rsidRPr="00FA63BD">
              <w:rPr>
                <w:sz w:val="18"/>
                <w:szCs w:val="20"/>
              </w:rPr>
              <w:t>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Valori ale indicatorilor-țintă comuni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w:t>
            </w:r>
            <w:r w:rsidRPr="00FA63BD">
              <w:rPr>
                <w:sz w:val="18"/>
                <w:szCs w:val="20"/>
              </w:rPr>
              <w:t>1</w:t>
            </w:r>
            <w:r>
              <w:rPr>
                <w:sz w:val="18"/>
                <w:szCs w:val="20"/>
              </w:rPr>
              <w:t xml:space="preserve">: % al cheltuielilor efectuate în temeiul articolelor </w:t>
            </w:r>
            <w:r w:rsidRPr="00FA63BD">
              <w:rPr>
                <w:sz w:val="18"/>
                <w:szCs w:val="20"/>
              </w:rPr>
              <w:t>14</w:t>
            </w:r>
            <w:r>
              <w:rPr>
                <w:sz w:val="18"/>
                <w:szCs w:val="20"/>
              </w:rPr>
              <w:t xml:space="preserve">, </w:t>
            </w:r>
            <w:r w:rsidRPr="00FA63BD">
              <w:rPr>
                <w:sz w:val="18"/>
                <w:szCs w:val="20"/>
              </w:rPr>
              <w:t>15</w:t>
            </w:r>
            <w:r>
              <w:rPr>
                <w:sz w:val="18"/>
                <w:szCs w:val="20"/>
              </w:rPr>
              <w:t xml:space="preserve"> și </w:t>
            </w:r>
            <w:r w:rsidRPr="00FA63BD">
              <w:rPr>
                <w:sz w:val="18"/>
                <w:szCs w:val="20"/>
              </w:rPr>
              <w:t>35</w:t>
            </w:r>
            <w:r>
              <w:rPr>
                <w:sz w:val="18"/>
                <w:szCs w:val="20"/>
              </w:rPr>
              <w:t xml:space="preserve"> din Regulamentul (UE) nr. </w:t>
            </w:r>
            <w:r w:rsidRPr="00FA63BD">
              <w:rPr>
                <w:sz w:val="18"/>
                <w:szCs w:val="20"/>
              </w:rPr>
              <w:t>1305</w:t>
            </w:r>
            <w:r>
              <w:rPr>
                <w:sz w:val="18"/>
                <w:szCs w:val="20"/>
              </w:rPr>
              <w:t>/</w:t>
            </w:r>
            <w:r w:rsidRPr="00FA63BD">
              <w:rPr>
                <w:sz w:val="18"/>
                <w:szCs w:val="20"/>
              </w:rPr>
              <w:t>2013</w:t>
            </w:r>
            <w:r>
              <w:rPr>
                <w:sz w:val="18"/>
                <w:szCs w:val="20"/>
              </w:rPr>
              <w:t xml:space="preserve"> în raport cu cheltuielile totale ale PDR.</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5</w:t>
            </w:r>
            <w:r>
              <w:rPr>
                <w:sz w:val="18"/>
                <w:szCs w:val="20"/>
              </w:rPr>
              <w:t xml:space="preserve">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4</w:t>
            </w:r>
            <w:r>
              <w:rPr>
                <w:sz w:val="18"/>
                <w:szCs w:val="20"/>
              </w:rPr>
              <w:t xml:space="preserve">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w:t>
            </w:r>
            <w:r>
              <w:rPr>
                <w:color w:val="F07E31"/>
                <w:sz w:val="18"/>
                <w:szCs w:val="20"/>
              </w:rPr>
              <w:br/>
              <w:t>b*</w:t>
            </w:r>
            <w:r w:rsidRPr="00FA63BD">
              <w:rPr>
                <w:color w:val="F07E31"/>
                <w:sz w:val="18"/>
                <w:szCs w:val="20"/>
              </w:rPr>
              <w:t>100</w:t>
            </w:r>
            <w:r>
              <w:rPr>
                <w:color w:val="F07E31"/>
                <w:sz w:val="18"/>
                <w:szCs w:val="20"/>
              </w:rPr>
              <w:t>/a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w:t>
            </w:r>
            <w:r w:rsidRPr="00FA63BD">
              <w:rPr>
                <w:sz w:val="18"/>
                <w:szCs w:val="20"/>
              </w:rPr>
              <w:t>2</w:t>
            </w:r>
            <w:r>
              <w:rPr>
                <w:sz w:val="18"/>
                <w:szCs w:val="20"/>
              </w:rPr>
              <w:t>: Numărul total al operațiunilor din cadrul proiectelor de cooperare sprijinite în cadrul măsurii de cooperare [articolul </w:t>
            </w:r>
            <w:r w:rsidRPr="00FA63BD">
              <w:rPr>
                <w:sz w:val="18"/>
                <w:szCs w:val="20"/>
              </w:rPr>
              <w:t>35</w:t>
            </w:r>
            <w:r>
              <w:rPr>
                <w:sz w:val="18"/>
                <w:szCs w:val="20"/>
              </w:rPr>
              <w:t xml:space="preserve"> din Regulamentul (UE) nr. </w:t>
            </w:r>
            <w:r w:rsidRPr="00FA63BD">
              <w:rPr>
                <w:sz w:val="18"/>
                <w:szCs w:val="20"/>
              </w:rPr>
              <w:t>1305</w:t>
            </w:r>
            <w:r>
              <w:rPr>
                <w:sz w:val="18"/>
                <w:szCs w:val="20"/>
              </w:rPr>
              <w:t>/</w:t>
            </w:r>
            <w:r w:rsidRPr="00FA63BD">
              <w:rPr>
                <w:sz w:val="18"/>
                <w:szCs w:val="20"/>
              </w:rPr>
              <w:t>2013</w:t>
            </w:r>
            <w:r>
              <w:rPr>
                <w:sz w:val="18"/>
                <w:szCs w:val="20"/>
              </w:rPr>
              <w:t>] (grupuri, rețele/clustere, proiecte-pilot).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Valori ale indicatorilor de rezultat suplimentari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Cheltuielile interne brute pentru cercetare și dezvoltare (GERD) în raport cu produsul intern brut (PIB).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1</w:t>
            </w:r>
            <w:r>
              <w:rPr>
                <w:sz w:val="18"/>
                <w:szCs w:val="20"/>
              </w:rPr>
              <w:t>,</w:t>
            </w:r>
            <w:r w:rsidRPr="00FA63BD">
              <w:rPr>
                <w:sz w:val="18"/>
                <w:szCs w:val="20"/>
              </w:rPr>
              <w:t>5</w:t>
            </w:r>
            <w:r>
              <w:rPr>
                <w:sz w:val="18"/>
                <w:szCs w:val="20"/>
              </w:rPr>
              <w:t xml:space="preserve">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1</w:t>
            </w:r>
            <w:r>
              <w:rPr>
                <w:sz w:val="18"/>
                <w:szCs w:val="20"/>
              </w:rPr>
              <w:t>,</w:t>
            </w:r>
            <w:r w:rsidRPr="00FA63BD">
              <w:rPr>
                <w:sz w:val="18"/>
                <w:szCs w:val="20"/>
              </w:rPr>
              <w:t>5</w:t>
            </w:r>
            <w:r>
              <w:rPr>
                <w:sz w:val="18"/>
                <w:szCs w:val="20"/>
              </w:rPr>
              <w:t xml:space="preserve">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e*</w:t>
            </w:r>
            <w:r w:rsidRPr="00FA63BD">
              <w:rPr>
                <w:color w:val="F07E31"/>
                <w:sz w:val="18"/>
                <w:szCs w:val="18"/>
              </w:rPr>
              <w:t>100</w:t>
            </w:r>
            <w:r>
              <w:rPr>
                <w:color w:val="F07E31"/>
                <w:sz w:val="18"/>
                <w:szCs w:val="18"/>
              </w:rPr>
              <w:t>/d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Cheltuieli ale PDR în cercetare și dezvoltare ca % din PIB (GERD pentru „dezvoltare rurală”).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0</w:t>
            </w:r>
            <w:r>
              <w:rPr>
                <w:sz w:val="18"/>
                <w:szCs w:val="20"/>
              </w:rPr>
              <w:t>,</w:t>
            </w:r>
            <w:r w:rsidRPr="00FA63BD">
              <w:rPr>
                <w:sz w:val="18"/>
                <w:szCs w:val="20"/>
              </w:rPr>
              <w:t>06</w:t>
            </w:r>
            <w:r>
              <w:rPr>
                <w:sz w:val="18"/>
                <w:szCs w:val="20"/>
              </w:rPr>
              <w:t xml:space="preserve">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0</w:t>
            </w:r>
            <w:r>
              <w:rPr>
                <w:sz w:val="18"/>
                <w:szCs w:val="20"/>
              </w:rPr>
              <w:t>,</w:t>
            </w:r>
            <w:r w:rsidRPr="00FA63BD">
              <w:rPr>
                <w:sz w:val="18"/>
                <w:szCs w:val="20"/>
              </w:rPr>
              <w:t>07</w:t>
            </w:r>
            <w:r>
              <w:rPr>
                <w:sz w:val="18"/>
                <w:szCs w:val="20"/>
              </w:rPr>
              <w:t xml:space="preserve">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 xml:space="preserve">i= </w:t>
            </w:r>
            <w:r>
              <w:rPr>
                <w:color w:val="F07E31"/>
                <w:sz w:val="18"/>
                <w:szCs w:val="18"/>
              </w:rPr>
              <w:br/>
              <w:t>c*</w:t>
            </w:r>
            <w:r w:rsidRPr="00FA63BD">
              <w:rPr>
                <w:color w:val="F07E31"/>
                <w:sz w:val="18"/>
                <w:szCs w:val="18"/>
              </w:rPr>
              <w:t>100</w:t>
            </w:r>
            <w:r>
              <w:rPr>
                <w:color w:val="F07E31"/>
                <w:sz w:val="18"/>
                <w:szCs w:val="18"/>
              </w:rPr>
              <w:t>/d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Cheltuielile PDR pentru cercetare și dezvoltare și pentru inovare ca procentaj (%) din totalul cheltuielilor PDR.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15</w:t>
            </w:r>
            <w:r>
              <w:rPr>
                <w:sz w:val="18"/>
                <w:szCs w:val="20"/>
              </w:rPr>
              <w:t xml:space="preserve">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17</w:t>
            </w:r>
            <w:r>
              <w:rPr>
                <w:sz w:val="18"/>
                <w:szCs w:val="20"/>
              </w:rPr>
              <w:t>,</w:t>
            </w:r>
            <w:r w:rsidRPr="00FA63BD">
              <w:rPr>
                <w:sz w:val="18"/>
                <w:szCs w:val="20"/>
              </w:rPr>
              <w:t>72</w:t>
            </w:r>
            <w:r>
              <w:rPr>
                <w:sz w:val="18"/>
                <w:szCs w:val="20"/>
              </w:rPr>
              <w:t xml:space="preserve">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w:t>
            </w:r>
            <w:r>
              <w:rPr>
                <w:color w:val="F07E31"/>
                <w:sz w:val="18"/>
                <w:szCs w:val="18"/>
              </w:rPr>
              <w:br/>
              <w:t>c*</w:t>
            </w:r>
            <w:r w:rsidRPr="00FA63BD">
              <w:rPr>
                <w:color w:val="F07E31"/>
                <w:sz w:val="18"/>
                <w:szCs w:val="18"/>
              </w:rPr>
              <w:t>100</w:t>
            </w:r>
            <w:r>
              <w:rPr>
                <w:color w:val="F07E31"/>
                <w:sz w:val="18"/>
                <w:szCs w:val="18"/>
              </w:rPr>
              <w:t>/a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Cheltuielile PDR pentru cercetare și dezvoltare și pentru inovare ca procentaj (%) din cheltuielile interne brute pentru cercetare și dezvoltare și pentru inovare.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4</w:t>
            </w:r>
            <w:r>
              <w:rPr>
                <w:sz w:val="18"/>
                <w:szCs w:val="20"/>
              </w:rPr>
              <w:t>,</w:t>
            </w:r>
            <w:r w:rsidRPr="00FA63BD">
              <w:rPr>
                <w:sz w:val="18"/>
                <w:szCs w:val="20"/>
              </w:rPr>
              <w:t>00</w:t>
            </w:r>
            <w:r>
              <w:rPr>
                <w:sz w:val="18"/>
                <w:szCs w:val="20"/>
              </w:rPr>
              <w:t xml:space="preserve">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sidRPr="00FA63BD">
              <w:rPr>
                <w:sz w:val="18"/>
                <w:szCs w:val="20"/>
              </w:rPr>
              <w:t>4</w:t>
            </w:r>
            <w:r>
              <w:rPr>
                <w:sz w:val="18"/>
                <w:szCs w:val="20"/>
              </w:rPr>
              <w:t>,</w:t>
            </w:r>
            <w:r w:rsidRPr="00FA63BD">
              <w:rPr>
                <w:sz w:val="18"/>
                <w:szCs w:val="20"/>
              </w:rPr>
              <w:t>67</w:t>
            </w:r>
            <w:r>
              <w:rPr>
                <w:sz w:val="18"/>
                <w:szCs w:val="20"/>
              </w:rPr>
              <w:t xml:space="preserve">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w:t>
            </w:r>
            <w:r>
              <w:rPr>
                <w:color w:val="F07E31"/>
                <w:sz w:val="18"/>
                <w:szCs w:val="18"/>
              </w:rPr>
              <w:br/>
              <w:t>c*</w:t>
            </w:r>
            <w:r w:rsidRPr="00FA63BD">
              <w:rPr>
                <w:color w:val="F07E31"/>
                <w:sz w:val="18"/>
                <w:szCs w:val="18"/>
              </w:rPr>
              <w:t>100</w:t>
            </w:r>
            <w:r>
              <w:rPr>
                <w:color w:val="F07E31"/>
                <w:sz w:val="18"/>
                <w:szCs w:val="18"/>
              </w:rPr>
              <w:t>/e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Riscuri și soluții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7"/>
          <w:p w:rsidR="00A45935" w:rsidRPr="00E05D08" w:rsidRDefault="00A45935" w:rsidP="00E05D08">
            <w:pPr>
              <w:spacing w:after="120" w:line="280" w:lineRule="atLeast"/>
              <w:mirrorIndents/>
              <w:jc w:val="center"/>
              <w:rPr>
                <w:b/>
                <w:color w:val="FFFFFF"/>
                <w:sz w:val="18"/>
                <w:szCs w:val="18"/>
              </w:rPr>
            </w:pPr>
            <w:r>
              <w:rPr>
                <w:b/>
                <w:color w:val="FFFFFF"/>
                <w:sz w:val="18"/>
                <w:szCs w:val="18"/>
              </w:rPr>
              <w:t>Risc</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Soluție</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Estimarea greșită a potențialului diferitelor măsuri ale PDR de a încuraja inovarea în zonele rurale, în special în cazul măsurilor din afara „măsurilor de inovare” tipice, cum ar fi M</w:t>
            </w:r>
            <w:r w:rsidRPr="00FA63BD">
              <w:rPr>
                <w:sz w:val="18"/>
                <w:szCs w:val="18"/>
              </w:rPr>
              <w:t>1</w:t>
            </w:r>
            <w:r>
              <w:rPr>
                <w:sz w:val="18"/>
                <w:szCs w:val="18"/>
              </w:rPr>
              <w:t>, M</w:t>
            </w:r>
            <w:r w:rsidRPr="00FA63BD">
              <w:rPr>
                <w:sz w:val="18"/>
                <w:szCs w:val="18"/>
              </w:rPr>
              <w:t>2</w:t>
            </w:r>
            <w:r>
              <w:rPr>
                <w:sz w:val="18"/>
                <w:szCs w:val="18"/>
              </w:rPr>
              <w:t>, M</w:t>
            </w:r>
            <w:r w:rsidRPr="00FA63BD">
              <w:rPr>
                <w:sz w:val="18"/>
                <w:szCs w:val="18"/>
              </w:rPr>
              <w:t>16</w:t>
            </w:r>
            <w:r>
              <w:rPr>
                <w:sz w:val="18"/>
                <w:szCs w:val="18"/>
              </w:rPr>
              <w:t>, M</w:t>
            </w:r>
            <w:r w:rsidRPr="00FA63BD">
              <w:rPr>
                <w:sz w:val="18"/>
                <w:szCs w:val="18"/>
              </w:rPr>
              <w:t>19</w:t>
            </w:r>
            <w:r>
              <w:rPr>
                <w:sz w:val="18"/>
                <w:szCs w:val="18"/>
              </w:rPr>
              <w:t xml:space="preserve"> sau M</w:t>
            </w:r>
            <w:r w:rsidRPr="00FA63BD">
              <w:rPr>
                <w:sz w:val="18"/>
                <w:szCs w:val="18"/>
              </w:rPr>
              <w:t>20</w:t>
            </w:r>
            <w:r>
              <w:rPr>
                <w:sz w:val="18"/>
                <w:szCs w:val="18"/>
              </w:rPr>
              <w:t>, care ar putea genera erori în calcularea cheltuielilor PDR legate de cercetare și dezvoltare și de inovare.</w:t>
            </w:r>
          </w:p>
          <w:p w:rsidR="00A45935" w:rsidRPr="00864E8E"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t xml:space="preserve">Acest risc poate fi eliminat parțial în cazul în care există o evaluare aprofundată a potențialului de inovare al PDR efectuată înainte de începerea evaluării. Marcarea măsurilor PDR care ar putea demonstra un potențial de inovare ridicat facilitează evaluarea capacității lor reale de a demonstra un astfel de potențial. De exemplu, dacă știu ce măsuri ar putea avea un efect puternic asupra generării de idei noi, evaluatorii vor verifica „performanța inovatoare” a acestor măsuri la momentul evaluării și vor lua în considerare cheltuielile aferente măsurilor în cauză atunci când vor calcula indicatorii respectivi.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lastRenderedPageBreak/>
              <w:t>Lipsa disponibilității și a calității datelor (în formatul solicitat) privind cercetarea și dezvoltarea și privind inovarea în statisticile naționale și regionale. În cazul în care lipsesc datele de înaltă calitate, riscul este ca evaluatorii să nu poată utiliza tehnici adecvate pentru estimarea cheltuielilor investite în cercetare și dezvoltare și în inovare. Acest lucru poate compromite obținerea unor valori realiste ale indicatorilor suplimentari propuși.</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Pentru a evita acest risc, este important ca evaluatorii să aibă capacitatea și instrumentele necesare (de exemplu, coeficienții) pentru a estima valorile statistice la nivel național/regional.</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Concluzii și recomandări </w:t>
      </w:r>
    </w:p>
    <w:p w:rsidR="00A45935" w:rsidRPr="00E05D08" w:rsidRDefault="00A45935" w:rsidP="00E05D08">
      <w:pPr>
        <w:spacing w:after="120" w:line="280" w:lineRule="atLeast"/>
        <w:mirrorIndents/>
        <w:rPr>
          <w:rFonts w:eastAsia="Times New Roman" w:cs="Times New Roman"/>
          <w:szCs w:val="20"/>
        </w:rPr>
      </w:pPr>
      <w:r>
        <w:t xml:space="preserve">Concluziile și recomandările legate de IEC nr. </w:t>
      </w:r>
      <w:r w:rsidRPr="00FA63BD">
        <w:t>23</w:t>
      </w:r>
      <w:r>
        <w:t xml:space="preserve"> ar trebui să ia în considerare următoarele:</w:t>
      </w:r>
    </w:p>
    <w:p w:rsidR="00A45935" w:rsidRPr="00545C6C" w:rsidRDefault="00A45935" w:rsidP="000026C6">
      <w:pPr>
        <w:pStyle w:val="Hlistbullet"/>
      </w:pPr>
      <w:r>
        <w:rPr>
          <w:b/>
          <w:bCs/>
        </w:rPr>
        <w:t>nivelul investițiilor în cercetare și dezvoltare și în inovare</w:t>
      </w:r>
      <w:r>
        <w:t xml:space="preserve"> realizate prin intermediul PDR în raport cu situația generală a investițiilor în cercetare și dezvoltare și în inovare în statul membru/regiune.</w:t>
      </w:r>
    </w:p>
    <w:p w:rsidR="00A45935" w:rsidRPr="00545C6C" w:rsidRDefault="00A45935" w:rsidP="000026C6">
      <w:pPr>
        <w:pStyle w:val="Hlistbullet"/>
      </w:pPr>
      <w:r>
        <w:rPr>
          <w:b/>
          <w:bCs/>
        </w:rPr>
        <w:t>potențialul măsurilor individuale de a investi în cercetare și dezvoltare și în inovare</w:t>
      </w:r>
      <w:r>
        <w:t xml:space="preserve"> în agricultură, producția alimentară, silvicultură și zonele rurale. </w:t>
      </w:r>
    </w:p>
    <w:p w:rsidR="00A45935" w:rsidRPr="00E05D08" w:rsidRDefault="00A45935" w:rsidP="00F31494">
      <w:pPr>
        <w:pStyle w:val="HHeading4"/>
        <w:rPr>
          <w:rFonts w:eastAsia="Calibri"/>
        </w:rPr>
      </w:pPr>
      <w:r>
        <w:t>Informații suplimentare</w:t>
      </w:r>
    </w:p>
    <w:p w:rsidR="00A45935" w:rsidRPr="00E05D08" w:rsidRDefault="00A45935" w:rsidP="00F31494">
      <w:pPr>
        <w:pStyle w:val="HStandard"/>
      </w:pPr>
      <w:r>
        <w:rPr>
          <w:noProof/>
          <w:lang w:val="en-GB" w:eastAsia="en-GB"/>
        </w:rPr>
        <mc:AlternateContent>
          <mc:Choice Requires="wps">
            <w:drawing>
              <wp:inline distT="0" distB="0" distL="0" distR="0" wp14:anchorId="5614E414" wp14:editId="7A7EA3E3">
                <wp:extent cx="5765165" cy="2448560"/>
                <wp:effectExtent l="0" t="0" r="26035" b="27940"/>
                <wp:docPr id="559" name="Rectangle: Diagonal Corners Rounded 559"/>
                <wp:cNvGraphicFramePr/>
                <a:graphic xmlns:a="http://schemas.openxmlformats.org/drawingml/2006/main">
                  <a:graphicData uri="http://schemas.microsoft.com/office/word/2010/wordprocessingShape">
                    <wps:wsp>
                      <wps:cNvSpPr/>
                      <wps:spPr>
                        <a:xfrm>
                          <a:off x="0" y="0"/>
                          <a:ext cx="5765165" cy="2448560"/>
                        </a:xfrm>
                        <a:prstGeom prst="round2DiagRect">
                          <a:avLst>
                            <a:gd name="adj1" fmla="val 9341"/>
                            <a:gd name="adj2" fmla="val 0"/>
                          </a:avLst>
                        </a:prstGeom>
                        <a:noFill/>
                        <a:ln w="25400" cap="flat" cmpd="sng" algn="ctr">
                          <a:solidFill>
                            <a:srgbClr val="59638E"/>
                          </a:solidFill>
                          <a:prstDash val="solid"/>
                        </a:ln>
                        <a:effectLst/>
                      </wps:spPr>
                      <wps:txbx>
                        <w:txbxContent>
                          <w:p w:rsidR="008A60B4" w:rsidRDefault="008A60B4" w:rsidP="00E05D08">
                            <w:pPr>
                              <w:pStyle w:val="HStandard"/>
                              <w:rPr>
                                <w:color w:val="000000"/>
                                <w:sz w:val="18"/>
                              </w:rPr>
                            </w:pPr>
                            <w:r>
                              <w:rPr>
                                <w:noProof/>
                                <w:lang w:val="en-GB" w:eastAsia="en-GB"/>
                              </w:rPr>
                              <w:drawing>
                                <wp:inline distT="0" distB="0" distL="0" distR="0" wp14:anchorId="3199B2F5" wp14:editId="70733F90">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A60B4" w:rsidRPr="008D17C8" w:rsidRDefault="008A60B4" w:rsidP="00E05D08">
                            <w:pPr>
                              <w:pStyle w:val="HStandard"/>
                              <w:rPr>
                                <w:sz w:val="18"/>
                                <w:szCs w:val="18"/>
                              </w:rPr>
                            </w:pPr>
                            <w:r>
                              <w:rPr>
                                <w:sz w:val="18"/>
                                <w:szCs w:val="18"/>
                              </w:rPr>
                              <w:t xml:space="preserve">CE (2010), EUROPA 2020 - </w:t>
                            </w:r>
                            <w:hyperlink r:id="rId81" w:history="1">
                              <w:r>
                                <w:rPr>
                                  <w:rStyle w:val="Hyperlink"/>
                                  <w:sz w:val="18"/>
                                  <w:szCs w:val="18"/>
                                </w:rPr>
                                <w:t>O strategie europeană pentru o creștere inteligentă, durabilă și favorabilă incluziunii</w:t>
                              </w:r>
                            </w:hyperlink>
                          </w:p>
                          <w:p w:rsidR="008A60B4" w:rsidRPr="008D17C8" w:rsidRDefault="008A60B4" w:rsidP="00E05D08">
                            <w:pPr>
                              <w:pStyle w:val="HStandard"/>
                              <w:rPr>
                                <w:sz w:val="18"/>
                                <w:szCs w:val="18"/>
                              </w:rPr>
                            </w:pPr>
                            <w:r>
                              <w:t xml:space="preserve">EUROSTAT (2017), </w:t>
                            </w:r>
                            <w:hyperlink r:id="rId82" w:history="1">
                              <w:r>
                                <w:rPr>
                                  <w:rStyle w:val="Hyperlink"/>
                                  <w:sz w:val="18"/>
                                  <w:szCs w:val="18"/>
                                </w:rPr>
                                <w:t>Mai inteligentă, mai verde, mai incluzivă?</w:t>
                              </w:r>
                            </w:hyperlink>
                            <w:hyperlink r:id="rId83" w:history="1">
                              <w:r>
                                <w:rPr>
                                  <w:rStyle w:val="Hyperlink"/>
                                  <w:sz w:val="18"/>
                                  <w:szCs w:val="18"/>
                                </w:rPr>
                                <w:t>Indicatori pentru sprijinirea Strategiei Europa 2020</w:t>
                              </w:r>
                            </w:hyperlink>
                          </w:p>
                          <w:p w:rsidR="008A60B4" w:rsidRPr="008D17C8" w:rsidRDefault="008A60B4" w:rsidP="00E05D08">
                            <w:pPr>
                              <w:pStyle w:val="HStandard"/>
                              <w:rPr>
                                <w:sz w:val="18"/>
                                <w:szCs w:val="18"/>
                              </w:rPr>
                            </w:pPr>
                            <w:r>
                              <w:rPr>
                                <w:sz w:val="18"/>
                                <w:szCs w:val="18"/>
                              </w:rPr>
                              <w:t>Dietz S. (2017) „</w:t>
                            </w:r>
                            <w:hyperlink r:id="rId84" w:history="1">
                              <w:r>
                                <w:rPr>
                                  <w:rStyle w:val="Hyperlink"/>
                                  <w:sz w:val="18"/>
                                  <w:szCs w:val="18"/>
                                </w:rPr>
                                <w:t>ELER im Kontext der Strategie Europa 2020</w:t>
                              </w:r>
                            </w:hyperlink>
                            <w:r>
                              <w:rPr>
                                <w:sz w:val="18"/>
                                <w:szCs w:val="18"/>
                              </w:rPr>
                              <w:t>”; prezentare în cadrul evenimentului anual al MEN-D 2017</w:t>
                            </w:r>
                          </w:p>
                          <w:p w:rsidR="008A60B4" w:rsidRPr="00385368" w:rsidRDefault="008A60B4" w:rsidP="00E05D08">
                            <w:pPr>
                              <w:pStyle w:val="HStandard"/>
                              <w:rPr>
                                <w:sz w:val="18"/>
                                <w:szCs w:val="18"/>
                              </w:rPr>
                            </w:pPr>
                            <w:r>
                              <w:rPr>
                                <w:sz w:val="18"/>
                                <w:szCs w:val="18"/>
                              </w:rPr>
                              <w:t xml:space="preserve">MEN-D (2015) </w:t>
                            </w:r>
                            <w:hyperlink r:id="rId85" w:history="1">
                              <w:r>
                                <w:rPr>
                                  <w:rStyle w:val="Hyperlink"/>
                                  <w:sz w:val="18"/>
                                  <w:szCs w:val="18"/>
                                </w:rPr>
                                <w:t>Monitoring und Evaluierung der ELER-Förderperiode 2014 – 2020: Auswertung der Methoden und Erfahrungen der Ex-Ante Bewertung.</w:t>
                              </w:r>
                            </w:hyperlink>
                          </w:p>
                          <w:p w:rsidR="008A60B4" w:rsidRPr="000041C9" w:rsidRDefault="008A60B4" w:rsidP="00E05D08">
                            <w:pPr>
                              <w:pStyle w:val="HStandard"/>
                              <w:rPr>
                                <w:sz w:val="18"/>
                                <w:szCs w:val="18"/>
                              </w:rPr>
                            </w:pPr>
                            <w:r>
                              <w:rPr>
                                <w:sz w:val="18"/>
                                <w:szCs w:val="18"/>
                              </w:rPr>
                              <w:t xml:space="preserve">MEN-D (2017), </w:t>
                            </w:r>
                            <w:hyperlink r:id="rId86" w:history="1">
                              <w:r>
                                <w:rPr>
                                  <w:rStyle w:val="Hyperlink"/>
                                  <w:sz w:val="18"/>
                                  <w:szCs w:val="18"/>
                                </w:rPr>
                                <w:t>FEADR în contextul Strategiei Europa 2020 - evaluarea contribuțiilor și a provocărilor viitoare</w:t>
                              </w:r>
                            </w:hyperlink>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14E414" id="Rectangle: Diagonal Corners Rounded 559" o:spid="_x0000_s1053" style="width:453.95pt;height:192.8pt;visibility:visible;mso-wrap-style:square;mso-left-percent:-10001;mso-top-percent:-10001;mso-position-horizontal:absolute;mso-position-horizontal-relative:char;mso-position-vertical:absolute;mso-position-vertical-relative:line;mso-left-percent:-10001;mso-top-percent:-10001;v-text-anchor:middle" coordsize="5765165,244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" adj="-11796480,,5400" path="m228720,l5765165,r,l5765165,2219840v,126319,-102401,228720,-228720,228720l,2448560r,l,228720c,102401,102401,,228720,xe" filled="f" strokecolor="#59638e" strokeweight="2pt">
                <v:stroke joinstyle="miter"/>
                <v:formulas/>
                <v:path arrowok="t" o:connecttype="custom" o:connectlocs="228720,0;5765165,0;5765165,0;5765165,2219840;5536445,2448560;0,2448560;0,2448560;0,228720;228720,0" o:connectangles="0,0,0,0,0,0,0,0,0" textboxrect="0,0,5765165,2448560"/>
                <v:textbox>
                  <w:txbxContent>
                    <w:p w:rsidR="008A60B4" w:rsidRDefault="008A60B4" w:rsidP="00E05D08">
                      <w:pPr>
                        <w:pStyle w:val="HStandard"/>
                        <w:rPr>
                          <w:color w:val="000000"/>
                          <w:sz w:val="18"/>
                        </w:rPr>
                      </w:pPr>
                      <w:r>
                        <w:rPr>
                          <w:noProof/>
                          <w:lang w:val="en-GB" w:eastAsia="en-GB"/>
                        </w:rPr>
                        <w:drawing>
                          <wp:inline distT="0" distB="0" distL="0" distR="0" wp14:anchorId="3199B2F5" wp14:editId="70733F90">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A60B4" w:rsidRPr="008D17C8" w:rsidRDefault="008A60B4" w:rsidP="00E05D08">
                      <w:pPr>
                        <w:pStyle w:val="HStandard"/>
                        <w:rPr>
                          <w:sz w:val="18"/>
                          <w:szCs w:val="18"/>
                        </w:rPr>
                      </w:pPr>
                      <w:r>
                        <w:rPr>
                          <w:sz w:val="18"/>
                          <w:szCs w:val="18"/>
                        </w:rPr>
                        <w:t xml:space="preserve">CE (2010), EUROPA 2020 - </w:t>
                      </w:r>
                      <w:hyperlink r:id="rId87" w:history="1">
                        <w:r>
                          <w:rPr>
                            <w:rStyle w:val="Hyperlink"/>
                            <w:sz w:val="18"/>
                            <w:szCs w:val="18"/>
                          </w:rPr>
                          <w:t>O strategie europeană pentru o creștere inteligentă, durabilă și favorabilă incluziunii</w:t>
                        </w:r>
                      </w:hyperlink>
                    </w:p>
                    <w:p w:rsidR="008A60B4" w:rsidRPr="008D17C8" w:rsidRDefault="008A60B4" w:rsidP="00E05D08">
                      <w:pPr>
                        <w:pStyle w:val="HStandard"/>
                        <w:rPr>
                          <w:sz w:val="18"/>
                          <w:szCs w:val="18"/>
                        </w:rPr>
                      </w:pPr>
                      <w:r>
                        <w:t xml:space="preserve">EUROSTAT (2017), </w:t>
                      </w:r>
                      <w:hyperlink r:id="rId88" w:history="1">
                        <w:r>
                          <w:rPr>
                            <w:rStyle w:val="Hyperlink"/>
                            <w:sz w:val="18"/>
                            <w:szCs w:val="18"/>
                          </w:rPr>
                          <w:t>Mai inteligentă, mai verde, mai incluzivă?</w:t>
                        </w:r>
                      </w:hyperlink>
                      <w:hyperlink r:id="rId89" w:history="1">
                        <w:r>
                          <w:rPr>
                            <w:rStyle w:val="Hyperlink"/>
                            <w:sz w:val="18"/>
                            <w:szCs w:val="18"/>
                          </w:rPr>
                          <w:t>Indicatori pentru sprijinirea Strategiei Europa 2020</w:t>
                        </w:r>
                      </w:hyperlink>
                    </w:p>
                    <w:p w:rsidR="008A60B4" w:rsidRPr="008D17C8" w:rsidRDefault="008A60B4" w:rsidP="00E05D08">
                      <w:pPr>
                        <w:pStyle w:val="HStandard"/>
                        <w:rPr>
                          <w:sz w:val="18"/>
                          <w:szCs w:val="18"/>
                        </w:rPr>
                      </w:pPr>
                      <w:r>
                        <w:rPr>
                          <w:sz w:val="18"/>
                          <w:szCs w:val="18"/>
                        </w:rPr>
                        <w:t>Dietz S. (2017) „</w:t>
                      </w:r>
                      <w:hyperlink r:id="rId90" w:history="1">
                        <w:r>
                          <w:rPr>
                            <w:rStyle w:val="Hyperlink"/>
                            <w:sz w:val="18"/>
                            <w:szCs w:val="18"/>
                          </w:rPr>
                          <w:t>ELER im Kontext der Strategie Europa 2020</w:t>
                        </w:r>
                      </w:hyperlink>
                      <w:r>
                        <w:rPr>
                          <w:sz w:val="18"/>
                          <w:szCs w:val="18"/>
                        </w:rPr>
                        <w:t>”; prezentare în cadrul evenimentului anual al MEN-D 2017</w:t>
                      </w:r>
                    </w:p>
                    <w:p w:rsidR="008A60B4" w:rsidRPr="00385368" w:rsidRDefault="008A60B4" w:rsidP="00E05D08">
                      <w:pPr>
                        <w:pStyle w:val="HStandard"/>
                        <w:rPr>
                          <w:sz w:val="18"/>
                          <w:szCs w:val="18"/>
                        </w:rPr>
                      </w:pPr>
                      <w:r>
                        <w:rPr>
                          <w:sz w:val="18"/>
                          <w:szCs w:val="18"/>
                        </w:rPr>
                        <w:t xml:space="preserve">MEN-D (2015) </w:t>
                      </w:r>
                      <w:hyperlink r:id="rId91" w:history="1">
                        <w:r>
                          <w:rPr>
                            <w:rStyle w:val="Hyperlink"/>
                            <w:sz w:val="18"/>
                            <w:szCs w:val="18"/>
                          </w:rPr>
                          <w:t>Monitoring und Evaluierung der ELER-Förderperiode 2014 – 2020: Auswertung der Methoden und Erfahrungen der Ex-Ante Bewertung.</w:t>
                        </w:r>
                      </w:hyperlink>
                    </w:p>
                    <w:p w:rsidR="008A60B4" w:rsidRPr="000041C9" w:rsidRDefault="008A60B4" w:rsidP="00E05D08">
                      <w:pPr>
                        <w:pStyle w:val="HStandard"/>
                        <w:rPr>
                          <w:sz w:val="18"/>
                          <w:szCs w:val="18"/>
                        </w:rPr>
                      </w:pPr>
                      <w:r>
                        <w:rPr>
                          <w:sz w:val="18"/>
                          <w:szCs w:val="18"/>
                        </w:rPr>
                        <w:t xml:space="preserve">MEN-D (2017), </w:t>
                      </w:r>
                      <w:hyperlink r:id="rId92" w:history="1">
                        <w:r>
                          <w:rPr>
                            <w:rStyle w:val="Hyperlink"/>
                            <w:sz w:val="18"/>
                            <w:szCs w:val="18"/>
                          </w:rPr>
                          <w:t>FEADR în contextul Strategiei Europa 2020 - evaluarea contribuțiilor și a provocărilor viitoare</w:t>
                        </w:r>
                      </w:hyperlink>
                      <w:r>
                        <w:rPr>
                          <w:sz w:val="18"/>
                          <w:szCs w:val="18"/>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29" w:name="_Toc501382135"/>
      <w:bookmarkStart w:id="130" w:name="_Toc508889185"/>
      <w:r>
        <w:t xml:space="preserve">IEC nr. </w:t>
      </w:r>
      <w:r w:rsidRPr="00FA63BD">
        <w:t>30</w:t>
      </w:r>
      <w:r>
        <w:t>: „În ce măsură au contribuit intervențiile PDR la încurajarea inovării?”</w:t>
      </w:r>
      <w:bookmarkEnd w:id="129"/>
      <w:bookmarkEnd w:id="130"/>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Înțelegerea IEC</w:t>
      </w:r>
    </w:p>
    <w:p w:rsidR="00A45935" w:rsidRPr="00E05D08" w:rsidRDefault="00A45935" w:rsidP="00E05D08">
      <w:pPr>
        <w:spacing w:after="120" w:line="280" w:lineRule="atLeast"/>
        <w:mirrorIndents/>
        <w:rPr>
          <w:rFonts w:eastAsia="Times New Roman" w:cs="Arial"/>
          <w:szCs w:val="20"/>
        </w:rPr>
      </w:pPr>
      <w:r>
        <w:t xml:space="preserve">IEC nr. </w:t>
      </w:r>
      <w:r w:rsidRPr="00FA63BD">
        <w:t>30</w:t>
      </w:r>
      <w:r>
        <w:t xml:space="preserve"> se referă la procesul de încurajare a inovării. Acest lucru face ca întrebarea să fie foarte amplă din punct de vedere conceptual, având în vedere că </w:t>
      </w:r>
      <w:r>
        <w:rPr>
          <w:b/>
          <w:bCs/>
        </w:rPr>
        <w:t>inovarea rezultă din interacțiunile actorilor în sistemul de inovare</w:t>
      </w:r>
      <w:r>
        <w:t>.</w:t>
      </w:r>
      <w:r>
        <w:rPr>
          <w:b/>
          <w:szCs w:val="20"/>
        </w:rPr>
        <w:t xml:space="preserve"> </w:t>
      </w:r>
      <w:r>
        <w:t xml:space="preserve">Evaluarea proceselor necesită timp și, prin urmare, se poate răspunde la întrebare numai după ce intervenția PDR a realizat progrese substanțiale (în raportul anual de punere în aplicare prezentat în </w:t>
      </w:r>
      <w:r w:rsidRPr="00FA63BD">
        <w:t>2019</w:t>
      </w:r>
      <w:r>
        <w:t xml:space="preserve">) sau a fost finalizată (în evaluarea </w:t>
      </w:r>
      <w:r w:rsidRPr="00EF035B">
        <w:rPr>
          <w:i/>
        </w:rPr>
        <w:t>ex post</w:t>
      </w:r>
      <w:r>
        <w:t xml:space="preserve">). </w:t>
      </w:r>
    </w:p>
    <w:p w:rsidR="00A45935" w:rsidRPr="00E05D08" w:rsidRDefault="00A45935" w:rsidP="00E05D08">
      <w:pPr>
        <w:spacing w:after="120" w:line="280" w:lineRule="atLeast"/>
        <w:mirrorIndents/>
        <w:rPr>
          <w:rFonts w:eastAsia="Times New Roman" w:cs="Arial"/>
          <w:szCs w:val="20"/>
        </w:rPr>
      </w:pPr>
      <w:r>
        <w:t xml:space="preserve">UE este interesată de contribuția PDR la inovare la scară mare, și anume de procese de inovare de succes care au dus la schimbări relativ majore (de exemplu, un număr relativ mare de fermieri care adoptă o nouă tehnologie). Punctul de plecare pentru furnizarea unui răspuns la IEC nr. </w:t>
      </w:r>
      <w:r w:rsidRPr="00FA63BD">
        <w:t>30</w:t>
      </w:r>
      <w:r>
        <w:t xml:space="preserve">, este, prin </w:t>
      </w:r>
      <w:r>
        <w:lastRenderedPageBreak/>
        <w:t xml:space="preserve">urmare, identificarea schimbărilor majore la care PDR susține că a contribuit și în care cel puțin o parte a contribuției a fost realizată prin încurajarea inovării. Aceste schimbări majore pot fi identificate prin evaluarea indicatorilor de impact și prin colectarea de informații suplimentare (de exemplu, prin controale ale documentelor și interviuri cu părțile interesate în urma rezultatelor identificării potențialului de inovare, a se vedea </w:t>
      </w:r>
      <w:r>
        <w:rPr>
          <w:color w:val="F07E31"/>
          <w:szCs w:val="20"/>
        </w:rPr>
        <w:t xml:space="preserve">capitolul </w:t>
      </w:r>
      <w:r w:rsidRPr="00FA63BD">
        <w:rPr>
          <w:color w:val="F07E31"/>
          <w:szCs w:val="20"/>
        </w:rPr>
        <w:t>2</w:t>
      </w:r>
      <w:r>
        <w:rPr>
          <w:color w:val="F07E31"/>
          <w:szCs w:val="20"/>
        </w:rPr>
        <w:t>.</w:t>
      </w:r>
      <w:r w:rsidRPr="00FA63BD">
        <w:rPr>
          <w:color w:val="F07E31"/>
          <w:szCs w:val="20"/>
        </w:rPr>
        <w:t>2</w:t>
      </w:r>
      <w:r>
        <w:t xml:space="preserve">). Rezultatele vor fi utilizate, de asemenea, pentru a se răspunde la alte IEC-uri decât nr. </w:t>
      </w:r>
      <w:r w:rsidRPr="00FA63BD">
        <w:t>30</w:t>
      </w:r>
      <w:r>
        <w:t xml:space="preserve"> (IEC-urile nr. </w:t>
      </w:r>
      <w:r w:rsidRPr="00FA63BD">
        <w:t>24</w:t>
      </w:r>
      <w:r>
        <w:t>-</w:t>
      </w:r>
      <w:r w:rsidRPr="00FA63BD">
        <w:t>29</w:t>
      </w:r>
      <w:r>
        <w:t xml:space="preserve">). </w:t>
      </w:r>
    </w:p>
    <w:p w:rsidR="00A45935" w:rsidRPr="00E05D08" w:rsidRDefault="00A45935" w:rsidP="00E05D08">
      <w:pPr>
        <w:spacing w:after="120" w:line="280" w:lineRule="atLeast"/>
        <w:mirrorIndents/>
        <w:rPr>
          <w:rFonts w:eastAsia="Times New Roman" w:cs="Arial"/>
          <w:szCs w:val="20"/>
        </w:rPr>
      </w:pPr>
      <w:r>
        <w:t xml:space="preserve">O ipoteză a priori din capitolul </w:t>
      </w:r>
      <w:r w:rsidRPr="00FA63BD">
        <w:t>1</w:t>
      </w:r>
      <w:r>
        <w:t>.</w:t>
      </w:r>
      <w:r w:rsidRPr="00FA63BD">
        <w:t>1</w:t>
      </w:r>
      <w:r>
        <w:t xml:space="preserve"> este aceea că măsurile/submăsurile PDR contribuie la </w:t>
      </w:r>
      <w:r>
        <w:rPr>
          <w:b/>
          <w:bCs/>
        </w:rPr>
        <w:t>încurajarea inovării</w:t>
      </w:r>
      <w:r>
        <w:t xml:space="preserve"> prin intermediul a trei modalități interconectate (a se vedea </w:t>
      </w:r>
      <w:hyperlink w:anchor="Pathways" w:history="1">
        <w:r>
          <w:rPr>
            <w:rStyle w:val="Hyperlink"/>
            <w:sz w:val="20"/>
            <w:szCs w:val="20"/>
          </w:rPr>
          <w:t xml:space="preserve">figura </w:t>
        </w:r>
        <w:r w:rsidRPr="00FA63BD">
          <w:rPr>
            <w:rStyle w:val="Hyperlink"/>
            <w:sz w:val="20"/>
            <w:szCs w:val="20"/>
          </w:rPr>
          <w:t>1</w:t>
        </w:r>
      </w:hyperlink>
      <w:r>
        <w:t xml:space="preserve">). Valoarea celor trei modalități constă în faptul că ajută evaluatorul să analizeze și să înțeleagă mai bine procesul de inovare. Prin urmare, ghidul propune trei întrebări secundare pentru IEC nr. </w:t>
      </w:r>
      <w:r w:rsidRPr="00FA63BD">
        <w:t>30</w:t>
      </w:r>
      <w:r>
        <w:t xml:space="preserve"> care corespund modalităților: </w:t>
      </w:r>
    </w:p>
    <w:p w:rsidR="00A45935" w:rsidRPr="00BE70EE" w:rsidRDefault="00A45935" w:rsidP="000026C6">
      <w:pPr>
        <w:pStyle w:val="Hlistbullet"/>
      </w:pPr>
      <w:r>
        <w:t>În ce măsură a încurajat PDR inovarea prin stimularea potențialului inovator? (Prima modalitate)</w:t>
      </w:r>
    </w:p>
    <w:p w:rsidR="00A45935" w:rsidRPr="00BE70EE" w:rsidRDefault="00A45935" w:rsidP="000026C6">
      <w:pPr>
        <w:pStyle w:val="Hlistbullet"/>
      </w:pPr>
      <w:r>
        <w:t>În ce măsură a încurajat PDR inovarea prin consolidarea capacității de inovare? (A doua modalitate)</w:t>
      </w:r>
    </w:p>
    <w:p w:rsidR="00A45935" w:rsidRPr="00BE70EE" w:rsidRDefault="00A45935" w:rsidP="000026C6">
      <w:pPr>
        <w:pStyle w:val="Hlistbullet"/>
      </w:pPr>
      <w:r>
        <w:t>În ce măsură a încurajat PDR inovarea prin crearea unui mediu favorabil pentru inovare? (A treia modalitate)</w:t>
      </w:r>
    </w:p>
    <w:p w:rsidR="00A45935" w:rsidRPr="00E05D08" w:rsidRDefault="00A45935" w:rsidP="00690E70">
      <w:pPr>
        <w:spacing w:after="120" w:line="280" w:lineRule="atLeast"/>
        <w:mirrorIndents/>
        <w:rPr>
          <w:rFonts w:eastAsia="Times New Roman" w:cs="Arial"/>
          <w:szCs w:val="20"/>
        </w:rPr>
      </w:pPr>
      <w:r>
        <w:t xml:space="preserve">Interacțiunile dintre modalități sunt, de asemenea, importante. Procesul de stimulare a potențialului inovator în mod colaborativ (de exemplu, dezvoltarea și introducerea unei noi tehnologii) consolidează capacitatea de inovare a persoanelor și a organizațiilor în cauză, precum și sistemul de inovare în sine. Interacțiunea dintre modalități ar trebui abordată atunci când se furnizează răspunsuri la cele trei întrebări secundare și la IEC nr. </w:t>
      </w:r>
      <w:r w:rsidRPr="00FA63BD">
        <w:t>30</w:t>
      </w:r>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Provocări specifice </w:t>
      </w:r>
    </w:p>
    <w:p w:rsidR="00A45935" w:rsidRPr="00241663" w:rsidRDefault="00A45935" w:rsidP="000026C6">
      <w:pPr>
        <w:pStyle w:val="Hlistbullet"/>
      </w:pPr>
      <w:r>
        <w:rPr>
          <w:b/>
          <w:bCs/>
        </w:rPr>
        <w:t>Elaborarea elementelor de evaluare suplimentare</w:t>
      </w:r>
      <w:r>
        <w:t xml:space="preserve"> pentru a răspunde la IEC nr. </w:t>
      </w:r>
      <w:r w:rsidRPr="00FA63BD">
        <w:t>30</w:t>
      </w:r>
      <w:r>
        <w:t xml:space="preserve"> (criterii de apreciere și indicatori, atât calitativi, cât și cantitativi). </w:t>
      </w:r>
    </w:p>
    <w:p w:rsidR="00A45935" w:rsidRPr="00241663" w:rsidRDefault="00A45935" w:rsidP="000026C6">
      <w:pPr>
        <w:pStyle w:val="Hlistbullet"/>
      </w:pPr>
      <w:r>
        <w:rPr>
          <w:b/>
          <w:bCs/>
        </w:rPr>
        <w:t xml:space="preserve">Aplicarea </w:t>
      </w:r>
      <w:r w:rsidRPr="00864E8E">
        <w:rPr>
          <w:bCs/>
        </w:rPr>
        <w:t xml:space="preserve">la intervențiile PDR a </w:t>
      </w:r>
      <w:r>
        <w:rPr>
          <w:b/>
          <w:bCs/>
        </w:rPr>
        <w:t>metodelor de evaluare</w:t>
      </w:r>
      <w:r>
        <w:t xml:space="preserve"> care ar permite atribuirea schimbărilor observate în </w:t>
      </w:r>
      <w:r>
        <w:rPr>
          <w:u w:val="single"/>
        </w:rPr>
        <w:t>toate cele trei</w:t>
      </w:r>
      <w:r>
        <w:t xml:space="preserve"> modalități ale sistemului de inovare din zonele rurale. </w:t>
      </w:r>
    </w:p>
    <w:p w:rsidR="00A45935" w:rsidRPr="00241663" w:rsidRDefault="00A45935" w:rsidP="000026C6">
      <w:pPr>
        <w:pStyle w:val="Hlistbullet"/>
      </w:pPr>
      <w:r>
        <w:rPr>
          <w:b/>
          <w:bCs/>
        </w:rPr>
        <w:t>Evaluarea schimbărilor</w:t>
      </w:r>
      <w:r>
        <w:t xml:space="preserve"> care au avut loc ca urmare a inovărilor sprijinite de PDR.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bCs/>
          <w:color w:val="57825E"/>
          <w:szCs w:val="20"/>
          <w:shd w:val="clear" w:color="auto" w:fill="FFFFFF"/>
        </w:rPr>
        <w:t xml:space="preserve">Abordare sugerată pentru a răspunde la IEC nr. </w:t>
      </w:r>
      <w:r w:rsidRPr="00FA63BD">
        <w:rPr>
          <w:b/>
          <w:bCs/>
          <w:color w:val="57825E"/>
          <w:szCs w:val="20"/>
          <w:shd w:val="clear" w:color="auto" w:fill="FFFFFF"/>
        </w:rPr>
        <w:t>30</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Logica de intervenție </w:t>
      </w:r>
    </w:p>
    <w:p w:rsidR="00A45935" w:rsidRDefault="00A45935" w:rsidP="00E05D08">
      <w:pPr>
        <w:spacing w:after="120" w:line="280" w:lineRule="atLeast"/>
        <w:mirrorIndents/>
      </w:pPr>
      <w:r>
        <w:t>Abordarea PDR cu privire la inovare este stabilită pe parcursul conceperii programului</w:t>
      </w:r>
      <w:r>
        <w:rPr>
          <w:rFonts w:eastAsia="Times New Roman" w:cs="Times New Roman"/>
          <w:szCs w:val="20"/>
          <w:vertAlign w:val="superscript"/>
          <w:lang w:eastAsia="de-DE"/>
        </w:rPr>
        <w:footnoteReference w:id="76"/>
      </w:r>
      <w:r>
        <w:t>. Atunci când se examinează potențialul de inovare al măsurilor/submăsurilor din cadrul PDR în etapa de pregătire a evaluării, toate măsurile/submăsurile (nu numai M</w:t>
      </w:r>
      <w:r w:rsidRPr="00FA63BD">
        <w:t>1</w:t>
      </w:r>
      <w:r>
        <w:t>, M</w:t>
      </w:r>
      <w:r w:rsidRPr="00FA63BD">
        <w:t>2</w:t>
      </w:r>
      <w:r>
        <w:t>, M</w:t>
      </w:r>
      <w:r w:rsidRPr="00FA63BD">
        <w:t>16</w:t>
      </w:r>
      <w:r>
        <w:t>, M</w:t>
      </w:r>
      <w:r w:rsidRPr="00FA63BD">
        <w:t>19</w:t>
      </w:r>
      <w:r>
        <w:t xml:space="preserve"> și TA) sunt examinate și testate în privința potențialului lor de a genera idei, de a consolida capacități și de a crea un mediu favorizant pentru inovare. În consecință, se preconizează că </w:t>
      </w:r>
      <w:r>
        <w:rPr>
          <w:b/>
          <w:bCs/>
        </w:rPr>
        <w:t>toate măsurile și submăsurile din cadrul PDR care prezintă un potențial semnificativ de inovare</w:t>
      </w:r>
      <w:r>
        <w:t xml:space="preserve"> vor fi parte a logicii de intervenție legate de inovare a PDR care îndrumă punerea în aplicare a PDR în direcția inovării. Evaluatorul folosește această logică ca un aport pentru a demonstra cu argumente că PDR a contribuit la inovare (a se vedea </w:t>
      </w:r>
      <w:hyperlink w:anchor="Example_IL" w:history="1">
        <w:r>
          <w:rPr>
            <w:rStyle w:val="Hyperlink"/>
            <w:sz w:val="20"/>
            <w:szCs w:val="20"/>
          </w:rPr>
          <w:t xml:space="preserve">figura </w:t>
        </w:r>
        <w:r w:rsidRPr="00FA63BD">
          <w:rPr>
            <w:rStyle w:val="Hyperlink"/>
            <w:sz w:val="20"/>
            <w:szCs w:val="20"/>
          </w:rPr>
          <w:t>11</w:t>
        </w:r>
      </w:hyperlink>
      <w:r>
        <w:t>).</w:t>
      </w:r>
    </w:p>
    <w:p w:rsidR="00BA7932" w:rsidRDefault="00BA7932" w:rsidP="00E05D08">
      <w:pPr>
        <w:spacing w:after="120" w:line="280" w:lineRule="atLeast"/>
        <w:mirrorIndents/>
      </w:pPr>
    </w:p>
    <w:p w:rsidR="00BA7932" w:rsidRDefault="00BA7932" w:rsidP="00E05D08">
      <w:pPr>
        <w:spacing w:after="120" w:line="280" w:lineRule="atLeast"/>
        <w:mirrorIndents/>
      </w:pPr>
    </w:p>
    <w:p w:rsidR="00BA7932" w:rsidRDefault="00BA7932" w:rsidP="00E05D08">
      <w:pPr>
        <w:spacing w:after="120" w:line="280" w:lineRule="atLeast"/>
        <w:mirrorIndents/>
        <w:rPr>
          <w:rFonts w:eastAsia="Times New Roman" w:cs="Arial"/>
          <w:szCs w:val="20"/>
        </w:rPr>
      </w:pPr>
    </w:p>
    <w:p w:rsidR="00A45935" w:rsidRPr="00916AB5" w:rsidRDefault="00BE1F31" w:rsidP="000026C6">
      <w:pPr>
        <w:pStyle w:val="HHeadingfigures"/>
      </w:pPr>
      <w:bookmarkStart w:id="131" w:name="Example_IL"/>
      <w:bookmarkStart w:id="132" w:name="_Toc508889208"/>
      <w:bookmarkEnd w:id="131"/>
      <w:r>
        <w:lastRenderedPageBreak/>
        <w:t xml:space="preserve">Exemplu de logică de intervenție pentru IEC nr. </w:t>
      </w:r>
      <w:r w:rsidRPr="00FA63BD">
        <w:t>30</w:t>
      </w:r>
      <w:bookmarkEnd w:id="132"/>
    </w:p>
    <w:p w:rsidR="00A45935" w:rsidRPr="00E05D08" w:rsidRDefault="00A53D32" w:rsidP="002C2C15">
      <w:pPr>
        <w:suppressAutoHyphens/>
        <w:spacing w:before="60" w:after="140" w:line="240" w:lineRule="auto"/>
        <w:mirrorIndents/>
        <w:jc w:val="center"/>
        <w:rPr>
          <w:rFonts w:eastAsia="Times New Roman" w:cs="Times New Roman"/>
          <w:i/>
          <w:noProof/>
          <w:sz w:val="16"/>
          <w:szCs w:val="20"/>
          <w:lang w:eastAsia="en-GB"/>
        </w:rPr>
      </w:pPr>
      <w:r>
        <w:rPr>
          <w:noProof/>
          <w:lang w:val="en-GB" w:eastAsia="en-GB"/>
        </w:rPr>
        <w:drawing>
          <wp:inline distT="0" distB="0" distL="0" distR="0" wp14:anchorId="510AB0DC" wp14:editId="222FD5EB">
            <wp:extent cx="5732145" cy="3094603"/>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2145" cy="3094603"/>
                    </a:xfrm>
                    <a:prstGeom prst="rect">
                      <a:avLst/>
                    </a:prstGeom>
                  </pic:spPr>
                </pic:pic>
              </a:graphicData>
            </a:graphic>
          </wp:inline>
        </w:drawing>
      </w: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 xml:space="preserve">Sursă: Serviciul european de asistență pentru evaluare în domeniul dezvoltării rurale, </w:t>
      </w:r>
      <w:r w:rsidRPr="00FA63BD">
        <w:rPr>
          <w:i/>
          <w:sz w:val="16"/>
          <w:szCs w:val="20"/>
        </w:rPr>
        <w:t>2017</w:t>
      </w:r>
    </w:p>
    <w:p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mc:AlternateContent>
          <mc:Choice Requires="wps">
            <w:drawing>
              <wp:inline distT="0" distB="0" distL="0" distR="0" wp14:anchorId="00FBB9C2" wp14:editId="54120990">
                <wp:extent cx="5732145" cy="2371411"/>
                <wp:effectExtent l="0" t="0" r="20955" b="10160"/>
                <wp:docPr id="560" name="Rectangle: Diagonal Corners Rounded 560"/>
                <wp:cNvGraphicFramePr/>
                <a:graphic xmlns:a="http://schemas.openxmlformats.org/drawingml/2006/main">
                  <a:graphicData uri="http://schemas.microsoft.com/office/word/2010/wordprocessingShape">
                    <wps:wsp>
                      <wps:cNvSpPr/>
                      <wps:spPr>
                        <a:xfrm>
                          <a:off x="0" y="0"/>
                          <a:ext cx="5732145" cy="2371411"/>
                        </a:xfrm>
                        <a:prstGeom prst="round2DiagRect">
                          <a:avLst>
                            <a:gd name="adj1" fmla="val 11556"/>
                            <a:gd name="adj2" fmla="val 0"/>
                          </a:avLst>
                        </a:prstGeom>
                        <a:noFill/>
                        <a:ln w="25400" cap="flat" cmpd="sng" algn="ctr">
                          <a:solidFill>
                            <a:srgbClr val="F07E31"/>
                          </a:solidFill>
                          <a:prstDash val="solid"/>
                        </a:ln>
                        <a:effectLst/>
                      </wps:spPr>
                      <wps:txbx>
                        <w:txbxContent>
                          <w:p w:rsidR="008A60B4" w:rsidRPr="0079762F" w:rsidRDefault="008A60B4" w:rsidP="00E05D08">
                            <w:pPr>
                              <w:pStyle w:val="HStandard"/>
                              <w:rPr>
                                <w:rFonts w:cs="Arial"/>
                                <w:sz w:val="18"/>
                              </w:rPr>
                            </w:pPr>
                            <w:r>
                              <w:rPr>
                                <w:noProof/>
                                <w:sz w:val="18"/>
                                <w:szCs w:val="18"/>
                                <w:lang w:val="en-GB" w:eastAsia="en-GB"/>
                              </w:rPr>
                              <w:drawing>
                                <wp:inline distT="0" distB="0" distL="0" distR="0" wp14:anchorId="609EF3B7" wp14:editId="4CF89FAD">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În acest exemplu, se preconizează că măsurile (cercurile) din cadrul ariilor de intervenție (dreptunghiurile) vor încuraja inovarea singure sau în combinație cu alte măsuri în moduri diferite (trei modalități prezentate ca pictograme).</w:t>
                            </w:r>
                            <w:r>
                              <w:rPr>
                                <w:sz w:val="18"/>
                              </w:rPr>
                              <w:t xml:space="preserve"> De exemplu, se preconizează că măsurile M16 și M2, programate în cadrul ariei de intervenție 3A (integrarea producătorilor primari în lanțul alimentar) și în cadrul ariei de intervenție 5A (utilizarea eficientă a apei), vor încuraja împreună inovarea prin toate cele trei modalități. Într-un alt caz (aria de intervenție 5B), se preconizează că ambele măsuri, în combinație cu M4, vor încuraja inovarea prin consolidarea capacităților într-o manieră colaborativă.  </w:t>
                            </w:r>
                          </w:p>
                          <w:p w:rsidR="008A60B4" w:rsidRPr="00ED3BAD" w:rsidRDefault="008A60B4" w:rsidP="00E05D08">
                            <w:pPr>
                              <w:pStyle w:val="HStandard"/>
                              <w:rPr>
                                <w:sz w:val="18"/>
                                <w:szCs w:val="18"/>
                              </w:rPr>
                            </w:pPr>
                            <w:r>
                              <w:rPr>
                                <w:sz w:val="18"/>
                              </w:rPr>
                              <w:t>Se preconizează că măsurile cu potențial de inovare vor produce realizări care, prin cele trei modalități, vor genera rezultate în ceea ce privește încurajarea inovării și, în final, acestea au un impact asupra îndeplinirii obiectivelor de politică.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FBB9C2" id="Rectangle: Diagonal Corners Rounded 560" o:spid="_x0000_s1054" style="width:451.35pt;height:186.75pt;visibility:visible;mso-wrap-style:square;mso-left-percent:-10001;mso-top-percent:-10001;mso-position-horizontal:absolute;mso-position-horizontal-relative:char;mso-position-vertical:absolute;mso-position-vertical-relative:line;mso-left-percent:-10001;mso-top-percent:-10001;v-text-anchor:middle" coordsize="5732145,2371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" adj="-11796480,,5400" path="m274040,l5732145,r,l5732145,2097371v,151348,-122692,274040,-274040,274040l,2371411r,l,274040c,122692,122692,,274040,xe" filled="f" strokecolor="#f07e31" strokeweight="2pt">
                <v:stroke joinstyle="miter"/>
                <v:formulas/>
                <v:path arrowok="t" o:connecttype="custom" o:connectlocs="274040,0;5732145,0;5732145,0;5732145,2097371;5458105,2371411;0,2371411;0,2371411;0,274040;274040,0" o:connectangles="0,0,0,0,0,0,0,0,0" textboxrect="0,0,5732145,2371411"/>
                <v:textbox>
                  <w:txbxContent>
                    <w:p w:rsidR="008A60B4" w:rsidRPr="0079762F" w:rsidRDefault="008A60B4" w:rsidP="00E05D08">
                      <w:pPr>
                        <w:pStyle w:val="HStandard"/>
                        <w:rPr>
                          <w:rFonts w:cs="Arial"/>
                          <w:sz w:val="18"/>
                        </w:rPr>
                      </w:pPr>
                      <w:r>
                        <w:rPr>
                          <w:noProof/>
                          <w:sz w:val="18"/>
                          <w:szCs w:val="18"/>
                          <w:lang w:val="en-GB" w:eastAsia="en-GB"/>
                        </w:rPr>
                        <w:drawing>
                          <wp:inline distT="0" distB="0" distL="0" distR="0" wp14:anchorId="609EF3B7" wp14:editId="4CF89FAD">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În acest exemplu, se preconizează că măsurile (cercurile) din cadrul ariilor de intervenție (dreptunghiurile) vor încuraja inovarea singure sau în combinație cu alte măsuri în moduri diferite (trei modalități prezentate ca pictograme).</w:t>
                      </w:r>
                      <w:r>
                        <w:rPr>
                          <w:sz w:val="18"/>
                        </w:rPr>
                        <w:t xml:space="preserve"> De exemplu, se preconizează că măsurile M16 și M2, programate în cadrul ariei de intervenție 3A (integrarea producătorilor primari în lanțul alimentar) și în cadrul ariei de intervenție 5A (utilizarea eficientă a apei), vor încuraja împreună inovarea prin toate cele trei modalități. Într-un alt caz (aria de intervenție 5B), se preconizează că ambele măsuri, în combinație cu M4, vor încuraja inovarea prin consolidarea capacităților într-o manieră colaborativă.  </w:t>
                      </w:r>
                    </w:p>
                    <w:p w:rsidR="008A60B4" w:rsidRPr="00ED3BAD" w:rsidRDefault="008A60B4" w:rsidP="00E05D08">
                      <w:pPr>
                        <w:pStyle w:val="HStandard"/>
                        <w:rPr>
                          <w:sz w:val="18"/>
                          <w:szCs w:val="18"/>
                        </w:rPr>
                      </w:pPr>
                      <w:r>
                        <w:rPr>
                          <w:sz w:val="18"/>
                        </w:rPr>
                        <w:t>Se preconizează că măsurile cu potențial de inovare vor produce realizări care, prin cele trei modalități, vor genera rezultate în ceea ce privește încurajarea inovării și, în final, acestea au un impact asupra îndeplinirii obiectivelor de politică.</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4"/>
          <w:headerReference w:type="first" r:id="rId95"/>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t>Având în vedere natura complexă și emergentă a inovării, se presupune că va exista o corelare imperfectă între potențialul de inovare preconizat și intervențiile din cadrul PDR care au generat o schimbare. Prin urmare, în momentul evaluării, sarcina evaluatorului este de a compara potențialul de inovare al PDR preconizat cu contribuțiile efective la schimbare.</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Elemente de evaluare </w:t>
      </w:r>
    </w:p>
    <w:p w:rsidR="00A45935" w:rsidRPr="00E05D08" w:rsidRDefault="00A45935" w:rsidP="00E05D08">
      <w:pPr>
        <w:spacing w:after="120" w:line="280" w:lineRule="atLeast"/>
        <w:mirrorIndents/>
        <w:rPr>
          <w:rFonts w:eastAsia="Times New Roman" w:cs="Times New Roman"/>
          <w:szCs w:val="20"/>
        </w:rPr>
      </w:pPr>
      <w:r>
        <w:t xml:space="preserve">Documentul de lucru </w:t>
      </w:r>
      <w:hyperlink r:id="rId96" w:history="1">
        <w:r>
          <w:rPr>
            <w:rStyle w:val="Hyperlink"/>
            <w:sz w:val="20"/>
            <w:szCs w:val="20"/>
          </w:rPr>
          <w:t xml:space="preserve">Întrebări de evaluare comune pentru programele de dezvoltare rurală în perioada </w:t>
        </w:r>
        <w:r w:rsidRPr="00FA63BD">
          <w:rPr>
            <w:rStyle w:val="Hyperlink"/>
            <w:sz w:val="20"/>
            <w:szCs w:val="20"/>
          </w:rPr>
          <w:t>2014</w:t>
        </w:r>
        <w:r>
          <w:rPr>
            <w:rStyle w:val="Hyperlink"/>
            <w:sz w:val="20"/>
            <w:szCs w:val="20"/>
          </w:rPr>
          <w:t>-</w:t>
        </w:r>
        <w:r w:rsidRPr="00FA63BD">
          <w:rPr>
            <w:rStyle w:val="Hyperlink"/>
            <w:sz w:val="20"/>
            <w:szCs w:val="20"/>
          </w:rPr>
          <w:t>2020</w:t>
        </w:r>
        <w:r>
          <w:rPr>
            <w:rStyle w:val="Hyperlink"/>
            <w:sz w:val="20"/>
            <w:szCs w:val="20"/>
          </w:rPr>
          <w:t>,</w:t>
        </w:r>
      </w:hyperlink>
      <w:r>
        <w:t xml:space="preserve"> sugerează un criteriu de apreciere (a fost încurajată inovarea în zonele și sectoarele rurale) și un indicator comun (T</w:t>
      </w:r>
      <w:r w:rsidRPr="00FA63BD">
        <w:t>1</w:t>
      </w:r>
      <w:r>
        <w:t xml:space="preserve"> - cheltuieli legate de articolele </w:t>
      </w:r>
      <w:r w:rsidRPr="00FA63BD">
        <w:t>14</w:t>
      </w:r>
      <w:r>
        <w:t xml:space="preserve">, </w:t>
      </w:r>
      <w:r w:rsidRPr="00FA63BD">
        <w:t>15</w:t>
      </w:r>
      <w:r>
        <w:t xml:space="preserve"> și </w:t>
      </w:r>
      <w:r w:rsidRPr="00FA63BD">
        <w:t>35</w:t>
      </w:r>
      <w:r>
        <w:t xml:space="preserve">). De asemenea, documentul recomandă colectarea de informații cantitative și calitative suplimentare privind inovarea, pentru a se răspunde la IEC nr. </w:t>
      </w:r>
      <w:r w:rsidRPr="00FA63BD">
        <w:t>30</w:t>
      </w:r>
      <w:r>
        <w:t xml:space="preserve">. Totuși, elementele respective nu pot surprinde pe deplin contribuțiile PDR la încurajarea inovărilor. </w:t>
      </w:r>
    </w:p>
    <w:p w:rsidR="00A45935" w:rsidRPr="00E05D08" w:rsidRDefault="00A45935" w:rsidP="00E05D08">
      <w:pPr>
        <w:spacing w:after="120" w:line="280" w:lineRule="atLeast"/>
        <w:mirrorIndents/>
        <w:rPr>
          <w:rFonts w:eastAsia="Times New Roman" w:cs="Times New Roman"/>
          <w:szCs w:val="20"/>
        </w:rPr>
      </w:pPr>
      <w:r>
        <w:t xml:space="preserve">Prin urmare, prezentul ghid propune luarea în considerare a utilizării elementelor de evaluare suplimentare pentru a se răspunde la IEC nr. </w:t>
      </w:r>
      <w:r w:rsidRPr="00FA63BD">
        <w:t>30</w:t>
      </w:r>
      <w:r>
        <w:t xml:space="preserve"> (a se vedea </w:t>
      </w:r>
      <w:hyperlink w:anchor="CEQ_fostering" w:history="1">
        <w:r>
          <w:rPr>
            <w:rStyle w:val="Hyperlink"/>
            <w:sz w:val="20"/>
            <w:szCs w:val="20"/>
          </w:rPr>
          <w:t xml:space="preserve">tabelul </w:t>
        </w:r>
        <w:r w:rsidRPr="00FA63BD">
          <w:rPr>
            <w:rStyle w:val="Hyperlink"/>
            <w:sz w:val="20"/>
            <w:szCs w:val="20"/>
          </w:rPr>
          <w:t>9</w:t>
        </w:r>
      </w:hyperlink>
      <w:r>
        <w:t xml:space="preserve">). În cazul IEC nr. </w:t>
      </w:r>
      <w:r w:rsidRPr="00FA63BD">
        <w:t>30</w:t>
      </w:r>
      <w:r>
        <w:t xml:space="preserve">, elementele de evaluare sunt legate de cele trei întrebări secundare care corespund celor trei modalități ale procesului de inovare. Criteriile de apreciere propuse sunt legate de caracteristicile fiecărei modalități. </w:t>
      </w:r>
      <w:r>
        <w:lastRenderedPageBreak/>
        <w:t xml:space="preserve">Acest lucru permite să se verifice dacă modalitatea a fost urmată prin punerea în aplicare a măsurilor din PDR identificate pe parcursul examinării potențialului de inovare. </w:t>
      </w:r>
    </w:p>
    <w:p w:rsidR="00A45935" w:rsidRPr="00E05D08" w:rsidRDefault="00A45935" w:rsidP="00E05D08">
      <w:pPr>
        <w:spacing w:after="120" w:line="280" w:lineRule="atLeast"/>
        <w:mirrorIndents/>
        <w:rPr>
          <w:rFonts w:eastAsia="Times New Roman" w:cs="Times New Roman"/>
          <w:szCs w:val="20"/>
        </w:rPr>
      </w:pPr>
      <w:r>
        <w:t xml:space="preserve">Cu excepția indicatorilor comuni, elementele sugerate nu sunt obligatorii, iar părțile interesate din statele membre își pot elabora propriile criterii de apreciere și propriii indicatori suplimentari.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33" w:name="CEQ_fostering"/>
      <w:bookmarkStart w:id="134" w:name="_Toc508889197"/>
      <w:bookmarkEnd w:id="133"/>
      <w:r>
        <w:rPr>
          <w:color w:val="6F6F6F"/>
          <w:sz w:val="18"/>
          <w:szCs w:val="18"/>
        </w:rPr>
        <w:lastRenderedPageBreak/>
        <w:t xml:space="preserve">Elemente de evaluare legate de IEC nr. </w:t>
      </w:r>
      <w:r w:rsidRPr="00FA63BD">
        <w:rPr>
          <w:color w:val="6F6F6F"/>
          <w:sz w:val="18"/>
          <w:szCs w:val="18"/>
        </w:rPr>
        <w:t>30</w:t>
      </w:r>
      <w:bookmarkEnd w:id="134"/>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 w:val="18"/>
          <w:szCs w:val="20"/>
        </w:rPr>
        <w:t>Elementele de evaluare (întrebările secundare, criteriile de apreciere și indicatorii) furnizate în plus față de cele preluate din documentul de lucru:</w:t>
      </w:r>
      <w:r>
        <w:rPr>
          <w:i/>
          <w:szCs w:val="20"/>
        </w:rPr>
        <w:t xml:space="preserve"> </w:t>
      </w:r>
      <w:hyperlink r:id="rId97" w:history="1">
        <w:r>
          <w:rPr>
            <w:rStyle w:val="Hyperlink"/>
            <w:sz w:val="20"/>
            <w:szCs w:val="20"/>
          </w:rPr>
          <w:t xml:space="preserve">Întrebări de evaluare comune pentru programele de dezvoltare rurală în perioada </w:t>
        </w:r>
        <w:r w:rsidRPr="00FA63BD">
          <w:rPr>
            <w:rStyle w:val="Hyperlink"/>
            <w:sz w:val="20"/>
            <w:szCs w:val="20"/>
          </w:rPr>
          <w:t>2014</w:t>
        </w:r>
        <w:r>
          <w:rPr>
            <w:rStyle w:val="Hyperlink"/>
            <w:sz w:val="20"/>
            <w:szCs w:val="20"/>
          </w:rPr>
          <w:t>-</w:t>
        </w:r>
        <w:r w:rsidRPr="00FA63BD">
          <w:rPr>
            <w:rStyle w:val="Hyperlink"/>
            <w:sz w:val="20"/>
            <w:szCs w:val="20"/>
          </w:rPr>
          <w:t>2020</w:t>
        </w:r>
      </w:hyperlink>
      <w:r>
        <w:t xml:space="preserve"> </w:t>
      </w:r>
      <w:r>
        <w:rPr>
          <w:i/>
          <w:iCs/>
        </w:rPr>
        <w:t>sunt scrise cu caractere cursive</w:t>
      </w:r>
      <w:r>
        <w:t>.</w:t>
      </w:r>
      <w:r>
        <w:rPr>
          <w:i/>
          <w:szCs w:val="20"/>
        </w:rPr>
        <w:t xml:space="preserve">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127"/>
        <w:gridCol w:w="3302"/>
        <w:gridCol w:w="2715"/>
        <w:gridCol w:w="2715"/>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Întrebări secundare</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Criterii de apreciere</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Indicatori de rezultat</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Nevoi în materie de date și de informații</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Surse de date</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 xml:space="preserve">În ce măsură a încurajat PDR inovarea prin stimularea potențialului inovator (modalitatea </w:t>
            </w:r>
            <w:r w:rsidRPr="00FA63BD">
              <w:rPr>
                <w:i/>
                <w:sz w:val="18"/>
                <w:szCs w:val="16"/>
              </w:rPr>
              <w:t>1</w:t>
            </w:r>
            <w:r>
              <w:rPr>
                <w:i/>
                <w:sz w:val="18"/>
                <w:szCs w:val="16"/>
              </w:rPr>
              <w:t>)?</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Criteriu de apreciere suplimentar: Adoptarea ideilor, proceselor, modelelor și/sau tehnologiilor inovatoare introduse de PDR.</w:t>
            </w:r>
          </w:p>
        </w:tc>
        <w:tc>
          <w:tcPr>
            <w:tcW w:w="3302" w:type="dxa"/>
          </w:tcPr>
          <w:p w:rsidR="00A45935" w:rsidRPr="00385368" w:rsidRDefault="00A45935" w:rsidP="00F73706">
            <w:pPr>
              <w:spacing w:line="220" w:lineRule="atLeast"/>
              <w:jc w:val="left"/>
              <w:rPr>
                <w:rFonts w:cs="Arial"/>
                <w:sz w:val="18"/>
                <w:szCs w:val="16"/>
              </w:rPr>
            </w:pPr>
            <w:r>
              <w:rPr>
                <w:sz w:val="18"/>
                <w:szCs w:val="16"/>
              </w:rPr>
              <w:t>T</w:t>
            </w:r>
            <w:r w:rsidRPr="00FA63BD">
              <w:rPr>
                <w:sz w:val="18"/>
                <w:szCs w:val="16"/>
              </w:rPr>
              <w:t>1</w:t>
            </w:r>
            <w:r>
              <w:rPr>
                <w:sz w:val="18"/>
                <w:szCs w:val="16"/>
              </w:rPr>
              <w:t xml:space="preserve">: % al cheltuielilor efectuate în temeiul articolelor </w:t>
            </w:r>
            <w:r w:rsidRPr="00FA63BD">
              <w:rPr>
                <w:sz w:val="18"/>
                <w:szCs w:val="16"/>
              </w:rPr>
              <w:t>14</w:t>
            </w:r>
            <w:r>
              <w:rPr>
                <w:sz w:val="18"/>
                <w:szCs w:val="16"/>
              </w:rPr>
              <w:t xml:space="preserve">, </w:t>
            </w:r>
            <w:r w:rsidRPr="00FA63BD">
              <w:rPr>
                <w:sz w:val="18"/>
                <w:szCs w:val="16"/>
              </w:rPr>
              <w:t>15</w:t>
            </w:r>
            <w:r>
              <w:rPr>
                <w:sz w:val="18"/>
                <w:szCs w:val="16"/>
              </w:rPr>
              <w:t xml:space="preserve"> și </w:t>
            </w:r>
            <w:r w:rsidRPr="00FA63BD">
              <w:rPr>
                <w:sz w:val="18"/>
                <w:szCs w:val="16"/>
              </w:rPr>
              <w:t>35</w:t>
            </w:r>
            <w:r>
              <w:rPr>
                <w:sz w:val="18"/>
                <w:szCs w:val="16"/>
              </w:rPr>
              <w:t xml:space="preserve"> din Regulamentul (UE) nr. </w:t>
            </w:r>
            <w:r w:rsidRPr="00FA63BD">
              <w:rPr>
                <w:sz w:val="18"/>
                <w:szCs w:val="16"/>
              </w:rPr>
              <w:t>1305</w:t>
            </w:r>
            <w:r>
              <w:rPr>
                <w:sz w:val="18"/>
                <w:szCs w:val="16"/>
              </w:rPr>
              <w:t>/</w:t>
            </w:r>
            <w:r w:rsidRPr="00FA63BD">
              <w:rPr>
                <w:sz w:val="18"/>
                <w:szCs w:val="16"/>
              </w:rPr>
              <w:t>2013</w:t>
            </w:r>
            <w:r>
              <w:rPr>
                <w:sz w:val="18"/>
                <w:szCs w:val="16"/>
              </w:rPr>
              <w:t xml:space="preserve"> în raport cu cheltuielile totale ale PDR. </w:t>
            </w:r>
          </w:p>
          <w:p w:rsidR="001275FF" w:rsidRPr="00864E8E" w:rsidRDefault="001275FF" w:rsidP="00F73706">
            <w:pPr>
              <w:spacing w:line="220" w:lineRule="atLeast"/>
              <w:jc w:val="left"/>
              <w:rPr>
                <w:rFonts w:cs="Arial"/>
                <w:sz w:val="18"/>
                <w:szCs w:val="16"/>
              </w:rPr>
            </w:pPr>
          </w:p>
          <w:p w:rsidR="00A45935" w:rsidRPr="00864E8E"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Numărul acțiunilor inovatoare sprijinite care sunt puse în aplicare și diseminate de grupurile operaționale PEI.</w:t>
            </w:r>
          </w:p>
          <w:p w:rsidR="001275FF" w:rsidRPr="00864E8E" w:rsidRDefault="001275FF" w:rsidP="00F73706">
            <w:pPr>
              <w:spacing w:line="220" w:lineRule="atLeast"/>
              <w:jc w:val="left"/>
              <w:rPr>
                <w:rFonts w:cs="Arial"/>
                <w:sz w:val="18"/>
                <w:szCs w:val="16"/>
              </w:rPr>
            </w:pPr>
          </w:p>
          <w:p w:rsidR="00A45935" w:rsidRPr="00864E8E"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i/>
                <w:sz w:val="18"/>
                <w:szCs w:val="16"/>
              </w:rPr>
            </w:pPr>
            <w:r>
              <w:rPr>
                <w:i/>
                <w:color w:val="57825E"/>
                <w:sz w:val="18"/>
                <w:szCs w:val="16"/>
                <w:u w:val="single"/>
              </w:rPr>
              <w:t>Indicator de rezultat suplimentar:</w:t>
            </w:r>
            <w:r>
              <w:rPr>
                <w:i/>
                <w:color w:val="57825E"/>
                <w:sz w:val="18"/>
                <w:szCs w:val="16"/>
              </w:rPr>
              <w:t xml:space="preserve"> Nivelul de adoptare a ideilor, proceselor, modelelor și/sau tehnologiilor noi introduse de părțile interesate. </w:t>
            </w:r>
          </w:p>
        </w:tc>
        <w:tc>
          <w:tcPr>
            <w:tcW w:w="2715" w:type="dxa"/>
          </w:tcPr>
          <w:p w:rsidR="00A45935" w:rsidRPr="00385368" w:rsidRDefault="00A45935" w:rsidP="00F73706">
            <w:pPr>
              <w:spacing w:line="220" w:lineRule="atLeast"/>
              <w:jc w:val="left"/>
              <w:rPr>
                <w:rFonts w:cs="Arial"/>
                <w:sz w:val="18"/>
                <w:szCs w:val="16"/>
              </w:rPr>
            </w:pPr>
            <w:r>
              <w:rPr>
                <w:sz w:val="18"/>
                <w:szCs w:val="16"/>
              </w:rPr>
              <w:t>Date privind cheltuielile efectuate pentru operațiunile puse în aplicare în cadrul M</w:t>
            </w:r>
            <w:r w:rsidRPr="00FA63BD">
              <w:rPr>
                <w:sz w:val="18"/>
                <w:szCs w:val="16"/>
              </w:rPr>
              <w:t>1</w:t>
            </w:r>
            <w:r>
              <w:rPr>
                <w:sz w:val="18"/>
                <w:szCs w:val="16"/>
              </w:rPr>
              <w:t>, M</w:t>
            </w:r>
            <w:r w:rsidRPr="00FA63BD">
              <w:rPr>
                <w:sz w:val="18"/>
                <w:szCs w:val="16"/>
              </w:rPr>
              <w:t>2</w:t>
            </w:r>
            <w:r>
              <w:rPr>
                <w:sz w:val="18"/>
                <w:szCs w:val="16"/>
              </w:rPr>
              <w:t xml:space="preserve"> și M</w:t>
            </w:r>
            <w:r w:rsidRPr="00FA63BD">
              <w:rPr>
                <w:sz w:val="18"/>
                <w:szCs w:val="16"/>
              </w:rPr>
              <w:t>16</w:t>
            </w:r>
            <w:r>
              <w:rPr>
                <w:sz w:val="18"/>
                <w:szCs w:val="16"/>
              </w:rPr>
              <w:t>.</w:t>
            </w:r>
          </w:p>
          <w:p w:rsidR="00A45935" w:rsidRPr="00864E8E" w:rsidRDefault="00A45935" w:rsidP="00F73706">
            <w:pPr>
              <w:spacing w:line="220" w:lineRule="atLeast"/>
              <w:jc w:val="left"/>
              <w:rPr>
                <w:rFonts w:cs="Arial"/>
                <w:sz w:val="18"/>
                <w:szCs w:val="16"/>
              </w:rPr>
            </w:pPr>
          </w:p>
          <w:p w:rsidR="00A45935" w:rsidRPr="00864E8E" w:rsidRDefault="00A45935" w:rsidP="00F73706">
            <w:pPr>
              <w:spacing w:line="220" w:lineRule="atLeast"/>
              <w:jc w:val="left"/>
              <w:rPr>
                <w:rFonts w:cs="Arial"/>
                <w:sz w:val="18"/>
                <w:szCs w:val="16"/>
              </w:rPr>
            </w:pPr>
          </w:p>
          <w:p w:rsidR="00A45935" w:rsidRPr="00864E8E"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Date privind acțiunile inovatoare puse în aplicare de grupul operațional PEI. </w:t>
            </w:r>
          </w:p>
          <w:p w:rsidR="00A45935" w:rsidRPr="00864E8E" w:rsidRDefault="00A45935" w:rsidP="00F73706">
            <w:pPr>
              <w:spacing w:line="220" w:lineRule="atLeast"/>
              <w:jc w:val="left"/>
              <w:rPr>
                <w:rFonts w:cs="Arial"/>
                <w:sz w:val="18"/>
                <w:szCs w:val="16"/>
              </w:rPr>
            </w:pPr>
          </w:p>
          <w:p w:rsidR="00A45935" w:rsidRPr="00864E8E" w:rsidRDefault="00A45935" w:rsidP="00F73706">
            <w:pPr>
              <w:spacing w:line="220" w:lineRule="atLeast"/>
              <w:jc w:val="left"/>
              <w:rPr>
                <w:rFonts w:cs="Arial"/>
                <w:sz w:val="18"/>
                <w:szCs w:val="16"/>
              </w:rPr>
            </w:pPr>
          </w:p>
          <w:p w:rsidR="00A45935" w:rsidRPr="00864E8E"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Date și informații privind ideile, modelele și tehnologiile inovatoare generate. </w:t>
            </w:r>
          </w:p>
          <w:p w:rsidR="00A45935" w:rsidRPr="00864E8E" w:rsidRDefault="00A45935" w:rsidP="00F73706">
            <w:pPr>
              <w:spacing w:line="220" w:lineRule="atLeast"/>
              <w:jc w:val="left"/>
              <w:rPr>
                <w:rFonts w:cs="Arial"/>
                <w:sz w:val="18"/>
                <w:szCs w:val="16"/>
              </w:rPr>
            </w:pPr>
          </w:p>
          <w:p w:rsidR="00A45935" w:rsidRPr="00864E8E" w:rsidRDefault="00A45935" w:rsidP="00F73706">
            <w:pPr>
              <w:spacing w:line="220" w:lineRule="atLeast"/>
              <w:jc w:val="left"/>
              <w:rPr>
                <w:rFonts w:cs="Arial"/>
                <w:sz w:val="18"/>
                <w:szCs w:val="16"/>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Sistemul de monitorizare al PDR. </w:t>
            </w:r>
          </w:p>
          <w:p w:rsidR="00A45935" w:rsidRPr="00864E8E" w:rsidRDefault="00A45935" w:rsidP="00F73706">
            <w:pPr>
              <w:spacing w:line="220" w:lineRule="atLeast"/>
              <w:jc w:val="left"/>
              <w:rPr>
                <w:rFonts w:cs="Arial"/>
                <w:sz w:val="18"/>
                <w:szCs w:val="16"/>
                <w:lang w:val="it-IT"/>
              </w:rPr>
            </w:pPr>
          </w:p>
          <w:p w:rsidR="00A45935" w:rsidRPr="00864E8E" w:rsidRDefault="00A45935" w:rsidP="00F73706">
            <w:pPr>
              <w:spacing w:line="220" w:lineRule="atLeast"/>
              <w:jc w:val="left"/>
              <w:rPr>
                <w:rFonts w:cs="Arial"/>
                <w:sz w:val="18"/>
                <w:szCs w:val="16"/>
                <w:lang w:val="it-IT"/>
              </w:rPr>
            </w:pPr>
          </w:p>
          <w:p w:rsidR="00A45935" w:rsidRPr="00864E8E" w:rsidRDefault="00A45935" w:rsidP="00F73706">
            <w:pPr>
              <w:spacing w:line="220" w:lineRule="atLeast"/>
              <w:jc w:val="left"/>
              <w:rPr>
                <w:rFonts w:cs="Arial"/>
                <w:sz w:val="18"/>
                <w:szCs w:val="16"/>
                <w:lang w:val="it-IT"/>
              </w:rPr>
            </w:pPr>
          </w:p>
          <w:p w:rsidR="00A45935" w:rsidRPr="00864E8E" w:rsidRDefault="00A45935" w:rsidP="00F73706">
            <w:pPr>
              <w:spacing w:line="220" w:lineRule="atLeast"/>
              <w:jc w:val="left"/>
              <w:rPr>
                <w:rFonts w:cs="Arial"/>
                <w:sz w:val="18"/>
                <w:szCs w:val="16"/>
                <w:lang w:val="it-IT"/>
              </w:rPr>
            </w:pPr>
          </w:p>
          <w:p w:rsidR="00A45935" w:rsidRPr="00864E8E" w:rsidRDefault="00A45935" w:rsidP="00F73706">
            <w:pPr>
              <w:spacing w:line="220" w:lineRule="atLeast"/>
              <w:jc w:val="left"/>
              <w:rPr>
                <w:rFonts w:cs="Arial"/>
                <w:sz w:val="18"/>
                <w:szCs w:val="16"/>
                <w:lang w:val="it-IT"/>
              </w:rPr>
            </w:pPr>
          </w:p>
          <w:p w:rsidR="00A45935" w:rsidRPr="00385368" w:rsidRDefault="00A45935" w:rsidP="00F73706">
            <w:pPr>
              <w:spacing w:line="220" w:lineRule="atLeast"/>
              <w:jc w:val="left"/>
              <w:rPr>
                <w:rFonts w:cs="Arial"/>
                <w:sz w:val="18"/>
                <w:szCs w:val="16"/>
              </w:rPr>
            </w:pPr>
            <w:r>
              <w:rPr>
                <w:sz w:val="18"/>
                <w:szCs w:val="16"/>
              </w:rPr>
              <w:t>Sistemul de monitorizare al PDR și interviuri.</w:t>
            </w:r>
          </w:p>
          <w:p w:rsidR="00A45935" w:rsidRPr="00864E8E" w:rsidRDefault="00A45935" w:rsidP="00F73706">
            <w:pPr>
              <w:spacing w:line="220" w:lineRule="atLeast"/>
              <w:jc w:val="left"/>
              <w:rPr>
                <w:rFonts w:cs="Arial"/>
                <w:sz w:val="18"/>
                <w:szCs w:val="16"/>
                <w:lang w:val="it-IT"/>
              </w:rPr>
            </w:pPr>
          </w:p>
          <w:p w:rsidR="00A45935" w:rsidRPr="00864E8E" w:rsidRDefault="00A45935" w:rsidP="00F73706">
            <w:pPr>
              <w:spacing w:line="220" w:lineRule="atLeast"/>
              <w:jc w:val="left"/>
              <w:rPr>
                <w:rFonts w:cs="Arial"/>
                <w:sz w:val="18"/>
                <w:szCs w:val="16"/>
                <w:lang w:val="it-IT"/>
              </w:rPr>
            </w:pPr>
          </w:p>
          <w:p w:rsidR="00A45935" w:rsidRPr="00864E8E" w:rsidRDefault="00A45935" w:rsidP="00F73706">
            <w:pPr>
              <w:spacing w:line="220" w:lineRule="atLeast"/>
              <w:jc w:val="left"/>
              <w:rPr>
                <w:rFonts w:cs="Arial"/>
                <w:sz w:val="18"/>
                <w:szCs w:val="16"/>
                <w:lang w:val="it-IT"/>
              </w:rPr>
            </w:pPr>
          </w:p>
          <w:p w:rsidR="00A45935" w:rsidRPr="00385368" w:rsidRDefault="00A45935" w:rsidP="00F73706">
            <w:pPr>
              <w:spacing w:line="220" w:lineRule="atLeast"/>
              <w:jc w:val="left"/>
              <w:rPr>
                <w:rFonts w:cs="Arial"/>
                <w:sz w:val="18"/>
                <w:szCs w:val="16"/>
              </w:rPr>
            </w:pPr>
            <w:r>
              <w:rPr>
                <w:sz w:val="18"/>
                <w:szCs w:val="16"/>
              </w:rPr>
              <w:t>Sistemul de monitorizare al PDR și sondaje, interviuri.</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 xml:space="preserve">În ce măsură a încurajat PDR inovarea prin consolidarea capacității de inovare (modalitatea </w:t>
            </w:r>
            <w:r w:rsidRPr="00FA63BD">
              <w:rPr>
                <w:i/>
                <w:sz w:val="18"/>
                <w:szCs w:val="16"/>
              </w:rPr>
              <w:t>2</w:t>
            </w:r>
            <w:r>
              <w:rPr>
                <w:i/>
                <w:sz w:val="18"/>
                <w:szCs w:val="16"/>
              </w:rPr>
              <w:t>)?</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Criteriu de apreciere suplimentar: PDR a consolidat legăturile funcționale între diferite tipuri de actori. </w:t>
            </w:r>
          </w:p>
          <w:p w:rsidR="00A45935" w:rsidRPr="00864E8E" w:rsidRDefault="00A45935" w:rsidP="00F73706">
            <w:pPr>
              <w:spacing w:line="220" w:lineRule="atLeast"/>
              <w:jc w:val="left"/>
              <w:rPr>
                <w:rFonts w:eastAsia="Calibri" w:cs="Arial"/>
                <w:i/>
                <w:sz w:val="18"/>
                <w:szCs w:val="16"/>
              </w:rPr>
            </w:pPr>
          </w:p>
          <w:p w:rsidR="00A45935" w:rsidRPr="00864E8E" w:rsidRDefault="00A45935" w:rsidP="00F73706">
            <w:pPr>
              <w:spacing w:line="220" w:lineRule="atLeast"/>
              <w:jc w:val="left"/>
              <w:rPr>
                <w:rFonts w:eastAsia="Calibri" w:cs="Arial"/>
                <w:i/>
                <w:sz w:val="18"/>
                <w:szCs w:val="16"/>
              </w:rPr>
            </w:pPr>
          </w:p>
          <w:p w:rsidR="00A45935" w:rsidRPr="00864E8E" w:rsidRDefault="00A45935" w:rsidP="00F73706">
            <w:pPr>
              <w:spacing w:line="220" w:lineRule="atLeast"/>
              <w:jc w:val="left"/>
              <w:rPr>
                <w:rFonts w:eastAsia="Calibri" w:cs="Arial"/>
                <w:i/>
                <w:sz w:val="18"/>
                <w:szCs w:val="16"/>
              </w:rPr>
            </w:pPr>
          </w:p>
          <w:p w:rsidR="00A45935" w:rsidRPr="00864E8E" w:rsidRDefault="00A45935" w:rsidP="00F73706">
            <w:pPr>
              <w:spacing w:line="220" w:lineRule="atLeast"/>
              <w:jc w:val="left"/>
              <w:rPr>
                <w:rFonts w:eastAsia="Calibri" w:cs="Arial"/>
                <w:i/>
                <w:sz w:val="18"/>
                <w:szCs w:val="16"/>
              </w:rPr>
            </w:pPr>
          </w:p>
          <w:p w:rsidR="00A45935" w:rsidRPr="00864E8E" w:rsidRDefault="00A45935" w:rsidP="00F73706">
            <w:pPr>
              <w:spacing w:line="220" w:lineRule="atLeast"/>
              <w:jc w:val="left"/>
              <w:rPr>
                <w:rFonts w:eastAsia="Calibri" w:cs="Arial"/>
                <w:i/>
                <w:sz w:val="18"/>
                <w:szCs w:val="16"/>
              </w:rPr>
            </w:pPr>
          </w:p>
          <w:p w:rsidR="00A45935" w:rsidRPr="00864E8E"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Criteriu de apreciere suplimentar: Au fost create și consolidate platformele de învățare </w:t>
            </w:r>
            <w:r>
              <w:rPr>
                <w:i/>
                <w:sz w:val="18"/>
                <w:szCs w:val="16"/>
              </w:rPr>
              <w:lastRenderedPageBreak/>
              <w:t>și alte tipuri de spații instituționale care permit împărtășirea, reflecția și învățarea.</w:t>
            </w:r>
          </w:p>
          <w:p w:rsidR="00A45935" w:rsidRPr="00864E8E"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sz w:val="18"/>
                <w:szCs w:val="16"/>
              </w:rPr>
            </w:pPr>
            <w:r>
              <w:rPr>
                <w:i/>
                <w:sz w:val="18"/>
                <w:szCs w:val="16"/>
              </w:rPr>
              <w:t xml:space="preserve">Criteriu de apreciere suplimentar: S-a îmbunătățit fluxul de informații între diferiții actori din sistemul de inovare în care s-a produs schimbarea.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Indicator de rezultat suplimentar:</w:t>
            </w:r>
            <w:r>
              <w:rPr>
                <w:i/>
                <w:color w:val="57825E"/>
                <w:sz w:val="18"/>
                <w:szCs w:val="16"/>
              </w:rPr>
              <w:t xml:space="preserve"> Numărul parteneriatelor oficiale intermediate de PDR ca fiind legate de schimbările din cadrul priorităților de dezvoltare rurală la care a contribuit PDR. </w:t>
            </w:r>
          </w:p>
          <w:p w:rsidR="00A45935" w:rsidRPr="00864E8E"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t xml:space="preserve">Creșterea procentuală (%) a numărului și a tipurilor de parteneri implicați în proiectele de cooperare (Document de lucru privind IEC pentru PDR pentru perioada </w:t>
            </w:r>
            <w:r w:rsidRPr="00FA63BD">
              <w:rPr>
                <w:sz w:val="18"/>
                <w:szCs w:val="16"/>
              </w:rPr>
              <w:t>2014</w:t>
            </w:r>
            <w:r>
              <w:rPr>
                <w:sz w:val="18"/>
                <w:szCs w:val="16"/>
              </w:rPr>
              <w:t>-</w:t>
            </w:r>
            <w:r w:rsidRPr="00FA63BD">
              <w:rPr>
                <w:sz w:val="18"/>
                <w:szCs w:val="16"/>
              </w:rPr>
              <w:t>2020</w:t>
            </w:r>
            <w:r>
              <w:rPr>
                <w:sz w:val="18"/>
                <w:szCs w:val="16"/>
              </w:rPr>
              <w:t xml:space="preserve">). </w:t>
            </w:r>
          </w:p>
          <w:p w:rsidR="00A45935" w:rsidRPr="00864E8E"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Indicator de rezultat suplimentar:</w:t>
            </w:r>
            <w:r>
              <w:rPr>
                <w:i/>
                <w:color w:val="57825E"/>
                <w:sz w:val="18"/>
                <w:szCs w:val="16"/>
              </w:rPr>
              <w:t xml:space="preserve"> Numărul și calitatea platformelor și a </w:t>
            </w:r>
            <w:r>
              <w:rPr>
                <w:i/>
                <w:color w:val="57825E"/>
                <w:sz w:val="18"/>
                <w:szCs w:val="16"/>
              </w:rPr>
              <w:lastRenderedPageBreak/>
              <w:t xml:space="preserve">„spațiilor” care sprijină inovarea pe care PDR le-a creat sau consolidat, de exemplu comunități de practică, platforme de inovare, evenimente organizate pentru reflecție și învățare. </w:t>
            </w:r>
          </w:p>
          <w:p w:rsidR="00A45935" w:rsidRPr="00864E8E" w:rsidRDefault="00A45935" w:rsidP="00F73706">
            <w:pPr>
              <w:spacing w:line="220" w:lineRule="atLeast"/>
              <w:jc w:val="left"/>
              <w:rPr>
                <w:rFonts w:eastAsia="Calibri" w:cs="Arial"/>
                <w:color w:val="57825E"/>
                <w:sz w:val="18"/>
                <w:szCs w:val="16"/>
              </w:rPr>
            </w:pPr>
          </w:p>
          <w:p w:rsidR="00560E46" w:rsidRPr="00864E8E" w:rsidRDefault="00560E46" w:rsidP="00F73706">
            <w:pPr>
              <w:spacing w:line="220" w:lineRule="atLeast"/>
              <w:jc w:val="left"/>
              <w:rPr>
                <w:rFonts w:eastAsia="Calibri" w:cs="Arial"/>
                <w:color w:val="57825E"/>
                <w:sz w:val="18"/>
                <w:szCs w:val="16"/>
              </w:rPr>
            </w:pPr>
          </w:p>
          <w:p w:rsidR="00560E46" w:rsidRPr="00864E8E" w:rsidRDefault="00560E46"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Indicator de rezultat suplimentar: </w:t>
            </w:r>
            <w:r>
              <w:rPr>
                <w:i/>
                <w:color w:val="57825E"/>
                <w:sz w:val="18"/>
                <w:szCs w:val="16"/>
              </w:rPr>
              <w:t xml:space="preserve">Scăderea lungimii medii a rutei rețelei și a diversității rețelei (măsuri de analiză a rețelelor sociale).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Informații privind relațiile formale.</w:t>
            </w:r>
          </w:p>
          <w:p w:rsidR="00A45935" w:rsidRPr="00864E8E" w:rsidRDefault="00A45935" w:rsidP="00F73706">
            <w:pPr>
              <w:spacing w:line="220" w:lineRule="atLeast"/>
              <w:jc w:val="left"/>
              <w:rPr>
                <w:rFonts w:eastAsia="Calibri" w:cs="Arial"/>
                <w:sz w:val="18"/>
                <w:szCs w:val="16"/>
              </w:rPr>
            </w:pPr>
          </w:p>
          <w:p w:rsidR="00A45935" w:rsidRPr="00864E8E" w:rsidRDefault="00A45935" w:rsidP="00F73706">
            <w:pPr>
              <w:spacing w:line="220" w:lineRule="atLeast"/>
              <w:jc w:val="left"/>
              <w:rPr>
                <w:rFonts w:eastAsia="Calibri" w:cs="Arial"/>
                <w:sz w:val="18"/>
                <w:szCs w:val="16"/>
              </w:rPr>
            </w:pPr>
          </w:p>
          <w:p w:rsidR="00A45935" w:rsidRPr="00864E8E" w:rsidRDefault="00A45935" w:rsidP="00F73706">
            <w:pPr>
              <w:spacing w:line="220" w:lineRule="atLeast"/>
              <w:jc w:val="left"/>
              <w:rPr>
                <w:rFonts w:eastAsia="Calibri" w:cs="Arial"/>
                <w:sz w:val="18"/>
                <w:szCs w:val="16"/>
              </w:rPr>
            </w:pPr>
          </w:p>
          <w:p w:rsidR="00A45935" w:rsidRPr="00864E8E"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Date privind numărul și tipul partenerilor implicați în proiectele de cooperare. </w:t>
            </w:r>
          </w:p>
          <w:p w:rsidR="00A45935" w:rsidRPr="00864E8E" w:rsidRDefault="00A45935" w:rsidP="00F73706">
            <w:pPr>
              <w:spacing w:line="220" w:lineRule="atLeast"/>
              <w:jc w:val="left"/>
              <w:rPr>
                <w:rFonts w:eastAsia="Calibri" w:cs="Arial"/>
                <w:sz w:val="18"/>
                <w:szCs w:val="16"/>
              </w:rPr>
            </w:pPr>
          </w:p>
          <w:p w:rsidR="00A45935" w:rsidRPr="00864E8E"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Informații privind platformele create de PDR.</w:t>
            </w:r>
          </w:p>
          <w:p w:rsidR="00A45935" w:rsidRPr="00864E8E" w:rsidRDefault="00A45935" w:rsidP="00F73706">
            <w:pPr>
              <w:spacing w:line="220" w:lineRule="atLeast"/>
              <w:jc w:val="left"/>
              <w:rPr>
                <w:rFonts w:eastAsia="Calibri" w:cs="Arial"/>
                <w:sz w:val="18"/>
                <w:szCs w:val="16"/>
              </w:rPr>
            </w:pPr>
          </w:p>
          <w:p w:rsidR="00A45935" w:rsidRPr="00864E8E" w:rsidRDefault="00A45935" w:rsidP="00F73706">
            <w:pPr>
              <w:spacing w:line="220" w:lineRule="atLeast"/>
              <w:jc w:val="left"/>
              <w:rPr>
                <w:rFonts w:eastAsia="Calibri" w:cs="Arial"/>
                <w:sz w:val="18"/>
                <w:szCs w:val="16"/>
              </w:rPr>
            </w:pPr>
          </w:p>
          <w:p w:rsidR="00A45935" w:rsidRPr="00864E8E" w:rsidRDefault="00A45935" w:rsidP="00F73706">
            <w:pPr>
              <w:spacing w:line="220" w:lineRule="atLeast"/>
              <w:jc w:val="left"/>
              <w:rPr>
                <w:rFonts w:eastAsia="Calibri" w:cs="Arial"/>
                <w:sz w:val="18"/>
                <w:szCs w:val="16"/>
              </w:rPr>
            </w:pPr>
          </w:p>
          <w:p w:rsidR="00A45935" w:rsidRPr="00864E8E" w:rsidRDefault="00A45935" w:rsidP="00F73706">
            <w:pPr>
              <w:spacing w:line="220" w:lineRule="atLeast"/>
              <w:jc w:val="left"/>
              <w:rPr>
                <w:rFonts w:eastAsia="Calibri" w:cs="Arial"/>
                <w:sz w:val="18"/>
                <w:szCs w:val="16"/>
              </w:rPr>
            </w:pPr>
          </w:p>
          <w:p w:rsidR="00A45935" w:rsidRPr="00864E8E" w:rsidRDefault="00A45935" w:rsidP="00F73706">
            <w:pPr>
              <w:spacing w:line="220" w:lineRule="atLeast"/>
              <w:jc w:val="left"/>
              <w:rPr>
                <w:rFonts w:eastAsia="Calibri" w:cs="Arial"/>
                <w:sz w:val="18"/>
                <w:szCs w:val="16"/>
              </w:rPr>
            </w:pPr>
          </w:p>
          <w:p w:rsidR="00A45935" w:rsidRPr="00864E8E" w:rsidRDefault="00A45935" w:rsidP="00F73706">
            <w:pPr>
              <w:spacing w:line="220" w:lineRule="atLeast"/>
              <w:jc w:val="left"/>
              <w:rPr>
                <w:rFonts w:eastAsia="Calibri" w:cs="Arial"/>
                <w:sz w:val="18"/>
                <w:szCs w:val="16"/>
              </w:rPr>
            </w:pPr>
          </w:p>
          <w:p w:rsidR="00560E46" w:rsidRPr="00864E8E" w:rsidRDefault="00560E46" w:rsidP="00F73706">
            <w:pPr>
              <w:spacing w:line="220" w:lineRule="atLeast"/>
              <w:jc w:val="left"/>
              <w:rPr>
                <w:rFonts w:eastAsia="Calibri" w:cs="Arial"/>
                <w:sz w:val="18"/>
                <w:szCs w:val="16"/>
              </w:rPr>
            </w:pPr>
          </w:p>
          <w:p w:rsidR="00560E46" w:rsidRPr="00864E8E" w:rsidRDefault="00560E46" w:rsidP="00F7370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Informații privind rețelele.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Interviuri și grupuri de reflecție. </w:t>
            </w:r>
          </w:p>
          <w:p w:rsidR="00A45935" w:rsidRPr="00864E8E" w:rsidRDefault="00A45935" w:rsidP="00F73706">
            <w:pPr>
              <w:spacing w:line="220" w:lineRule="atLeast"/>
              <w:jc w:val="left"/>
              <w:rPr>
                <w:rFonts w:eastAsia="Calibri" w:cs="Arial"/>
                <w:sz w:val="18"/>
                <w:szCs w:val="16"/>
                <w:lang w:val="pt-PT"/>
              </w:rPr>
            </w:pPr>
          </w:p>
          <w:p w:rsidR="00A45935" w:rsidRPr="00864E8E" w:rsidRDefault="00A45935" w:rsidP="00F73706">
            <w:pPr>
              <w:spacing w:line="220" w:lineRule="atLeast"/>
              <w:jc w:val="left"/>
              <w:rPr>
                <w:rFonts w:eastAsia="Calibri" w:cs="Arial"/>
                <w:sz w:val="18"/>
                <w:szCs w:val="16"/>
                <w:lang w:val="pt-PT"/>
              </w:rPr>
            </w:pPr>
          </w:p>
          <w:p w:rsidR="00A45935" w:rsidRPr="00864E8E" w:rsidRDefault="00A45935" w:rsidP="00F73706">
            <w:pPr>
              <w:spacing w:line="220" w:lineRule="atLeast"/>
              <w:jc w:val="left"/>
              <w:rPr>
                <w:rFonts w:eastAsia="Calibri" w:cs="Arial"/>
                <w:sz w:val="18"/>
                <w:szCs w:val="16"/>
                <w:lang w:val="pt-PT"/>
              </w:rPr>
            </w:pPr>
          </w:p>
          <w:p w:rsidR="00A45935" w:rsidRPr="00864E8E" w:rsidRDefault="00A45935" w:rsidP="00F73706">
            <w:pPr>
              <w:spacing w:line="220" w:lineRule="atLeast"/>
              <w:jc w:val="left"/>
              <w:rPr>
                <w:rFonts w:eastAsia="Calibri" w:cs="Arial"/>
                <w:sz w:val="18"/>
                <w:szCs w:val="16"/>
                <w:lang w:val="pt-PT"/>
              </w:rPr>
            </w:pPr>
          </w:p>
          <w:p w:rsidR="00A45935" w:rsidRPr="00864E8E" w:rsidRDefault="00A45935" w:rsidP="00F73706">
            <w:pPr>
              <w:spacing w:line="220" w:lineRule="atLeast"/>
              <w:jc w:val="left"/>
              <w:rPr>
                <w:rFonts w:eastAsia="Calibri" w:cs="Arial"/>
                <w:sz w:val="18"/>
                <w:szCs w:val="16"/>
                <w:lang w:val="pt-PT"/>
              </w:rPr>
            </w:pPr>
          </w:p>
          <w:p w:rsidR="00A45935" w:rsidRPr="00864E8E" w:rsidRDefault="00A45935" w:rsidP="00F73706">
            <w:pPr>
              <w:spacing w:line="220" w:lineRule="atLeast"/>
              <w:jc w:val="left"/>
              <w:rPr>
                <w:rFonts w:eastAsia="Calibri" w:cs="Arial"/>
                <w:sz w:val="18"/>
                <w:szCs w:val="16"/>
                <w:lang w:val="pt-PT"/>
              </w:rPr>
            </w:pPr>
          </w:p>
          <w:p w:rsidR="00A45935" w:rsidRPr="00385368" w:rsidRDefault="00A45935" w:rsidP="00F73706">
            <w:pPr>
              <w:spacing w:line="220" w:lineRule="atLeast"/>
              <w:jc w:val="left"/>
              <w:rPr>
                <w:rFonts w:eastAsia="Calibri" w:cs="Arial"/>
                <w:sz w:val="18"/>
                <w:szCs w:val="16"/>
              </w:rPr>
            </w:pPr>
            <w:r>
              <w:rPr>
                <w:sz w:val="18"/>
                <w:szCs w:val="16"/>
              </w:rPr>
              <w:t>Sistemul de monitorizare al PDR.</w:t>
            </w:r>
          </w:p>
          <w:p w:rsidR="00A45935" w:rsidRPr="00864E8E" w:rsidRDefault="00A45935" w:rsidP="00F73706">
            <w:pPr>
              <w:spacing w:line="220" w:lineRule="atLeast"/>
              <w:jc w:val="left"/>
              <w:rPr>
                <w:rFonts w:eastAsia="Calibri" w:cs="Arial"/>
                <w:sz w:val="18"/>
                <w:szCs w:val="16"/>
                <w:lang w:val="it-IT"/>
              </w:rPr>
            </w:pPr>
          </w:p>
          <w:p w:rsidR="00A45935" w:rsidRPr="00864E8E" w:rsidRDefault="00A45935" w:rsidP="00F73706">
            <w:pPr>
              <w:spacing w:line="220" w:lineRule="atLeast"/>
              <w:jc w:val="left"/>
              <w:rPr>
                <w:rFonts w:eastAsia="Calibri" w:cs="Arial"/>
                <w:sz w:val="18"/>
                <w:szCs w:val="16"/>
                <w:lang w:val="it-IT"/>
              </w:rPr>
            </w:pPr>
          </w:p>
          <w:p w:rsidR="00A45935" w:rsidRPr="00864E8E" w:rsidRDefault="00A45935" w:rsidP="00F73706">
            <w:pPr>
              <w:spacing w:line="220" w:lineRule="atLeast"/>
              <w:jc w:val="left"/>
              <w:rPr>
                <w:rFonts w:eastAsia="Calibri" w:cs="Arial"/>
                <w:sz w:val="18"/>
                <w:szCs w:val="16"/>
                <w:lang w:val="it-IT"/>
              </w:rPr>
            </w:pPr>
          </w:p>
          <w:p w:rsidR="00A45935" w:rsidRPr="00385368" w:rsidRDefault="00A45935" w:rsidP="00F73706">
            <w:pPr>
              <w:spacing w:line="220" w:lineRule="atLeast"/>
              <w:jc w:val="left"/>
              <w:rPr>
                <w:rFonts w:eastAsia="Calibri" w:cs="Arial"/>
                <w:sz w:val="18"/>
                <w:szCs w:val="16"/>
              </w:rPr>
            </w:pPr>
            <w:r>
              <w:rPr>
                <w:sz w:val="18"/>
                <w:szCs w:val="16"/>
              </w:rPr>
              <w:t xml:space="preserve">Interviuri și grupuri de reflecție. </w:t>
            </w:r>
          </w:p>
          <w:p w:rsidR="00A45935" w:rsidRPr="00864E8E" w:rsidRDefault="00A45935" w:rsidP="00F73706">
            <w:pPr>
              <w:spacing w:line="220" w:lineRule="atLeast"/>
              <w:jc w:val="left"/>
              <w:rPr>
                <w:rFonts w:eastAsia="Calibri" w:cs="Arial"/>
                <w:sz w:val="18"/>
                <w:szCs w:val="16"/>
                <w:lang w:val="pt-PT"/>
              </w:rPr>
            </w:pPr>
          </w:p>
          <w:p w:rsidR="00A45935" w:rsidRPr="00864E8E" w:rsidRDefault="00A45935" w:rsidP="00F73706">
            <w:pPr>
              <w:spacing w:line="220" w:lineRule="atLeast"/>
              <w:jc w:val="left"/>
              <w:rPr>
                <w:rFonts w:eastAsia="Calibri" w:cs="Arial"/>
                <w:sz w:val="18"/>
                <w:szCs w:val="16"/>
                <w:lang w:val="pt-PT"/>
              </w:rPr>
            </w:pPr>
          </w:p>
          <w:p w:rsidR="00A45935" w:rsidRPr="00864E8E" w:rsidRDefault="00A45935" w:rsidP="00F73706">
            <w:pPr>
              <w:spacing w:line="220" w:lineRule="atLeast"/>
              <w:jc w:val="left"/>
              <w:rPr>
                <w:rFonts w:eastAsia="Calibri" w:cs="Arial"/>
                <w:sz w:val="18"/>
                <w:szCs w:val="16"/>
                <w:lang w:val="pt-PT"/>
              </w:rPr>
            </w:pPr>
          </w:p>
          <w:p w:rsidR="00A45935" w:rsidRPr="00864E8E" w:rsidRDefault="00A45935" w:rsidP="00F73706">
            <w:pPr>
              <w:spacing w:line="220" w:lineRule="atLeast"/>
              <w:jc w:val="left"/>
              <w:rPr>
                <w:rFonts w:eastAsia="Calibri" w:cs="Arial"/>
                <w:sz w:val="18"/>
                <w:szCs w:val="16"/>
                <w:lang w:val="pt-PT"/>
              </w:rPr>
            </w:pPr>
          </w:p>
          <w:p w:rsidR="00A45935" w:rsidRPr="00864E8E" w:rsidRDefault="00A45935" w:rsidP="00F73706">
            <w:pPr>
              <w:spacing w:line="220" w:lineRule="atLeast"/>
              <w:jc w:val="left"/>
              <w:rPr>
                <w:rFonts w:eastAsia="Calibri" w:cs="Arial"/>
                <w:sz w:val="18"/>
                <w:szCs w:val="16"/>
                <w:lang w:val="pt-PT"/>
              </w:rPr>
            </w:pPr>
          </w:p>
          <w:p w:rsidR="00A45935" w:rsidRPr="00864E8E" w:rsidRDefault="00A45935" w:rsidP="00F73706">
            <w:pPr>
              <w:spacing w:line="220" w:lineRule="atLeast"/>
              <w:jc w:val="left"/>
              <w:rPr>
                <w:rFonts w:eastAsia="Calibri" w:cs="Arial"/>
                <w:sz w:val="18"/>
                <w:szCs w:val="16"/>
                <w:lang w:val="pt-PT"/>
              </w:rPr>
            </w:pPr>
          </w:p>
          <w:p w:rsidR="00A45935" w:rsidRPr="00864E8E" w:rsidRDefault="00A45935" w:rsidP="00F73706">
            <w:pPr>
              <w:spacing w:line="220" w:lineRule="atLeast"/>
              <w:jc w:val="left"/>
              <w:rPr>
                <w:rFonts w:eastAsia="Calibri" w:cs="Arial"/>
                <w:sz w:val="18"/>
                <w:szCs w:val="16"/>
                <w:lang w:val="pt-PT"/>
              </w:rPr>
            </w:pPr>
          </w:p>
          <w:p w:rsidR="00560E46" w:rsidRPr="00864E8E" w:rsidRDefault="00560E46" w:rsidP="00F73706">
            <w:pPr>
              <w:spacing w:line="220" w:lineRule="atLeast"/>
              <w:jc w:val="left"/>
              <w:rPr>
                <w:rFonts w:eastAsia="Calibri" w:cs="Arial"/>
                <w:sz w:val="18"/>
                <w:szCs w:val="16"/>
                <w:lang w:val="pt-PT"/>
              </w:rPr>
            </w:pPr>
          </w:p>
          <w:p w:rsidR="00560E46" w:rsidRPr="00864E8E" w:rsidRDefault="00560E46" w:rsidP="00F73706">
            <w:pPr>
              <w:spacing w:line="220" w:lineRule="atLeast"/>
              <w:jc w:val="left"/>
              <w:rPr>
                <w:rFonts w:eastAsia="Calibri" w:cs="Arial"/>
                <w:sz w:val="18"/>
                <w:szCs w:val="16"/>
                <w:lang w:val="pt-PT"/>
              </w:rPr>
            </w:pPr>
          </w:p>
          <w:p w:rsidR="00A45935" w:rsidRPr="00385368" w:rsidRDefault="00A45935" w:rsidP="00560E46">
            <w:pPr>
              <w:spacing w:line="220" w:lineRule="atLeast"/>
              <w:jc w:val="left"/>
              <w:rPr>
                <w:rFonts w:eastAsia="Calibri" w:cs="Arial"/>
                <w:sz w:val="18"/>
                <w:szCs w:val="16"/>
              </w:rPr>
            </w:pPr>
            <w:r>
              <w:rPr>
                <w:sz w:val="18"/>
                <w:szCs w:val="16"/>
              </w:rPr>
              <w:t>Informații privind analiza rețelelor sociale.</w:t>
            </w:r>
          </w:p>
        </w:tc>
      </w:tr>
      <w:tr w:rsidR="00A45935" w:rsidRPr="00E05D08" w:rsidTr="00BA7932">
        <w:trPr>
          <w:trHeight w:val="849"/>
        </w:trPr>
        <w:tc>
          <w:tcPr>
            <w:tcW w:w="2988" w:type="dxa"/>
          </w:tcPr>
          <w:p w:rsidR="00A45935" w:rsidRPr="00385368" w:rsidRDefault="00A45935" w:rsidP="00F73706">
            <w:pPr>
              <w:spacing w:line="220" w:lineRule="atLeast"/>
              <w:jc w:val="left"/>
              <w:rPr>
                <w:rFonts w:cs="Arial"/>
                <w:i/>
                <w:sz w:val="18"/>
                <w:szCs w:val="16"/>
              </w:rPr>
            </w:pPr>
            <w:r>
              <w:rPr>
                <w:i/>
                <w:sz w:val="18"/>
                <w:szCs w:val="16"/>
              </w:rPr>
              <w:t xml:space="preserve">În ce măsură a încurajat PDR inovarea prin crearea unui mediu favorizant pentru inovare (modalitatea </w:t>
            </w:r>
            <w:r w:rsidRPr="00FA63BD">
              <w:rPr>
                <w:i/>
                <w:sz w:val="18"/>
                <w:szCs w:val="16"/>
              </w:rPr>
              <w:t>3</w:t>
            </w:r>
            <w:r>
              <w:rPr>
                <w:i/>
                <w:sz w:val="18"/>
                <w:szCs w:val="16"/>
              </w:rPr>
              <w:t>)?</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Criteriu de apreciere suplimentar: PDR a contribuit cu informații la politicile care sprijină schimbările la care a contribuit PDR.</w:t>
            </w:r>
          </w:p>
          <w:p w:rsidR="00A45935" w:rsidRPr="00864E8E"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Criteriu de apreciere suplimentar: PDR a deschis calea unor oportunități de formare profesională și de schimb de practici inovatoare. </w:t>
            </w:r>
          </w:p>
          <w:p w:rsidR="00A45935" w:rsidRPr="00864E8E"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Criteriu de apreciere suplimentar: PDR a deschis calea pentru interacțiuni între actori (la nivel național/transfrontalier) pentru a încuraja inovațiile. </w:t>
            </w:r>
          </w:p>
          <w:p w:rsidR="00A45935" w:rsidRPr="00864E8E"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t xml:space="preserve">Criteriu de apreciere suplimentar: PDR a </w:t>
            </w:r>
            <w:r>
              <w:rPr>
                <w:i/>
                <w:sz w:val="18"/>
                <w:szCs w:val="16"/>
              </w:rPr>
              <w:lastRenderedPageBreak/>
              <w:t xml:space="preserve">sprijinit noile tehnologii în zonele rurale.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Indicator de rezultat suplimentar:</w:t>
            </w:r>
            <w:r>
              <w:rPr>
                <w:i/>
                <w:color w:val="57825E"/>
                <w:sz w:val="18"/>
                <w:szCs w:val="16"/>
              </w:rPr>
              <w:t xml:space="preserve"> Numărul și tipul politicilor pe care le-a influențat PDR la nivelul organizațiilor participante și al mediului favorizant mai amplu. </w:t>
            </w:r>
          </w:p>
          <w:p w:rsidR="00A45935" w:rsidRPr="00864E8E"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Indicator de rezultat suplimentar:</w:t>
            </w:r>
            <w:r>
              <w:rPr>
                <w:i/>
                <w:color w:val="57825E"/>
                <w:sz w:val="18"/>
                <w:szCs w:val="16"/>
              </w:rPr>
              <w:t xml:space="preserve"> Numărul cursurilor de formare profesională și al evenimentelor dedicate schimbului de practici inovatoare și ponderea lor în numărul total al cursurilor de formare profesională/evenimentelor sprijinite de PDR. </w:t>
            </w:r>
          </w:p>
          <w:p w:rsidR="00A45935" w:rsidRPr="00864E8E"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Indicator de rezultat suplimentar:</w:t>
            </w:r>
            <w:r>
              <w:rPr>
                <w:i/>
                <w:color w:val="57825E"/>
                <w:sz w:val="18"/>
                <w:szCs w:val="16"/>
              </w:rPr>
              <w:t xml:space="preserve"> Numărul evenimentelor axate pe stabilirea de contacte între actorii din domeniul inovării sprijiniți de PDR. </w:t>
            </w:r>
          </w:p>
          <w:p w:rsidR="00A45935" w:rsidRPr="00864E8E" w:rsidRDefault="00A45935" w:rsidP="00F73706">
            <w:pPr>
              <w:spacing w:line="220" w:lineRule="atLeast"/>
              <w:jc w:val="left"/>
              <w:rPr>
                <w:rFonts w:eastAsia="Calibri" w:cs="Arial"/>
                <w:i/>
                <w:color w:val="57825E"/>
                <w:sz w:val="18"/>
                <w:szCs w:val="16"/>
              </w:rPr>
            </w:pPr>
          </w:p>
          <w:p w:rsidR="00A45935" w:rsidRPr="00864E8E" w:rsidRDefault="00A45935" w:rsidP="00F73706">
            <w:pPr>
              <w:spacing w:line="220" w:lineRule="atLeast"/>
              <w:jc w:val="left"/>
              <w:rPr>
                <w:rFonts w:eastAsia="Calibri" w:cs="Arial"/>
                <w:i/>
                <w:color w:val="57825E"/>
                <w:sz w:val="18"/>
                <w:szCs w:val="16"/>
              </w:rPr>
            </w:pPr>
          </w:p>
          <w:p w:rsidR="00560E46" w:rsidRPr="00864E8E"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Indicator de rezultat suplimentar:</w:t>
            </w:r>
            <w:r>
              <w:rPr>
                <w:i/>
                <w:color w:val="57825E"/>
                <w:sz w:val="18"/>
                <w:szCs w:val="16"/>
              </w:rPr>
              <w:t xml:space="preserve"> Numărul noilor tehnologii în zonele rurale sprijinite de PDR, clasificate în funcție de tip.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Informații privind politicile. </w:t>
            </w:r>
          </w:p>
          <w:p w:rsidR="00A45935" w:rsidRPr="00864E8E" w:rsidRDefault="00A45935" w:rsidP="00560E46">
            <w:pPr>
              <w:spacing w:line="220" w:lineRule="atLeast"/>
              <w:jc w:val="left"/>
              <w:rPr>
                <w:rFonts w:eastAsia="Calibri" w:cs="Arial"/>
                <w:sz w:val="18"/>
                <w:szCs w:val="16"/>
              </w:rPr>
            </w:pPr>
          </w:p>
          <w:p w:rsidR="00A45935" w:rsidRPr="00864E8E" w:rsidRDefault="00A45935" w:rsidP="00560E46">
            <w:pPr>
              <w:spacing w:line="220" w:lineRule="atLeast"/>
              <w:jc w:val="left"/>
              <w:rPr>
                <w:rFonts w:eastAsia="Calibri" w:cs="Arial"/>
                <w:sz w:val="18"/>
                <w:szCs w:val="16"/>
              </w:rPr>
            </w:pPr>
          </w:p>
          <w:p w:rsidR="00560E46" w:rsidRPr="00864E8E" w:rsidRDefault="00560E46" w:rsidP="00560E46">
            <w:pPr>
              <w:spacing w:line="220" w:lineRule="atLeast"/>
              <w:jc w:val="left"/>
              <w:rPr>
                <w:rFonts w:eastAsia="Calibri" w:cs="Arial"/>
                <w:sz w:val="18"/>
                <w:szCs w:val="16"/>
              </w:rPr>
            </w:pPr>
          </w:p>
          <w:p w:rsidR="00560E46" w:rsidRPr="00864E8E" w:rsidRDefault="00560E46" w:rsidP="00560E46">
            <w:pPr>
              <w:spacing w:line="220" w:lineRule="atLeast"/>
              <w:jc w:val="left"/>
              <w:rPr>
                <w:rFonts w:eastAsia="Calibri" w:cs="Arial"/>
                <w:sz w:val="18"/>
                <w:szCs w:val="16"/>
              </w:rPr>
            </w:pPr>
          </w:p>
          <w:p w:rsidR="00560E46" w:rsidRPr="00864E8E" w:rsidRDefault="00560E46" w:rsidP="00560E4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Informații privind cursurile de formare și evenimentele.</w:t>
            </w:r>
          </w:p>
          <w:p w:rsidR="00A45935" w:rsidRPr="00864E8E" w:rsidRDefault="00A45935" w:rsidP="00560E46">
            <w:pPr>
              <w:spacing w:line="220" w:lineRule="atLeast"/>
              <w:jc w:val="left"/>
              <w:rPr>
                <w:rFonts w:eastAsia="Calibri" w:cs="Arial"/>
                <w:sz w:val="18"/>
                <w:szCs w:val="16"/>
              </w:rPr>
            </w:pPr>
          </w:p>
          <w:p w:rsidR="00A45935" w:rsidRPr="00864E8E" w:rsidRDefault="00A45935" w:rsidP="00560E46">
            <w:pPr>
              <w:spacing w:line="220" w:lineRule="atLeast"/>
              <w:jc w:val="left"/>
              <w:rPr>
                <w:rFonts w:eastAsia="Calibri" w:cs="Arial"/>
                <w:sz w:val="18"/>
                <w:szCs w:val="16"/>
              </w:rPr>
            </w:pPr>
          </w:p>
          <w:p w:rsidR="00A45935" w:rsidRPr="00864E8E" w:rsidRDefault="00A45935" w:rsidP="00560E46">
            <w:pPr>
              <w:spacing w:line="220" w:lineRule="atLeast"/>
              <w:jc w:val="left"/>
              <w:rPr>
                <w:rFonts w:eastAsia="Calibri" w:cs="Arial"/>
                <w:sz w:val="18"/>
                <w:szCs w:val="16"/>
              </w:rPr>
            </w:pPr>
          </w:p>
          <w:p w:rsidR="00A45935" w:rsidRPr="00864E8E" w:rsidRDefault="00A45935" w:rsidP="00560E4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Informații privind noile tehnologii.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Interviuri și grupuri de reflecție (de exemplu, colectarea realizărilor). </w:t>
            </w:r>
          </w:p>
          <w:p w:rsidR="00A45935" w:rsidRPr="00864E8E" w:rsidRDefault="00A45935" w:rsidP="00560E46">
            <w:pPr>
              <w:spacing w:line="220" w:lineRule="atLeast"/>
              <w:jc w:val="left"/>
              <w:rPr>
                <w:rFonts w:eastAsia="Calibri" w:cs="Arial"/>
                <w:sz w:val="18"/>
                <w:szCs w:val="18"/>
                <w:lang w:val="pt-PT"/>
              </w:rPr>
            </w:pPr>
          </w:p>
          <w:p w:rsidR="00A45935" w:rsidRPr="00864E8E" w:rsidRDefault="00A45935" w:rsidP="00560E46">
            <w:pPr>
              <w:spacing w:line="220" w:lineRule="atLeast"/>
              <w:jc w:val="left"/>
              <w:rPr>
                <w:rFonts w:eastAsia="Calibri" w:cs="Arial"/>
                <w:sz w:val="18"/>
                <w:szCs w:val="18"/>
                <w:lang w:val="pt-PT"/>
              </w:rPr>
            </w:pPr>
          </w:p>
          <w:p w:rsidR="00560E46" w:rsidRPr="00864E8E" w:rsidRDefault="00560E46" w:rsidP="00560E46">
            <w:pPr>
              <w:spacing w:line="220" w:lineRule="atLeast"/>
              <w:jc w:val="left"/>
              <w:rPr>
                <w:rFonts w:eastAsia="Calibri" w:cs="Arial"/>
                <w:sz w:val="18"/>
                <w:szCs w:val="18"/>
                <w:lang w:val="pt-PT"/>
              </w:rPr>
            </w:pPr>
          </w:p>
          <w:p w:rsidR="00560E46" w:rsidRPr="00864E8E" w:rsidRDefault="00560E46" w:rsidP="00560E46">
            <w:pPr>
              <w:spacing w:line="220" w:lineRule="atLeast"/>
              <w:jc w:val="left"/>
              <w:rPr>
                <w:rFonts w:eastAsia="Calibri" w:cs="Arial"/>
                <w:sz w:val="18"/>
                <w:szCs w:val="18"/>
                <w:lang w:val="pt-PT"/>
              </w:rPr>
            </w:pPr>
          </w:p>
          <w:p w:rsidR="00A45935" w:rsidRPr="00E05D08" w:rsidRDefault="00A45935" w:rsidP="00560E46">
            <w:pPr>
              <w:spacing w:line="220" w:lineRule="atLeast"/>
              <w:jc w:val="left"/>
              <w:rPr>
                <w:rFonts w:eastAsia="Calibri" w:cs="Arial"/>
                <w:sz w:val="18"/>
                <w:szCs w:val="18"/>
              </w:rPr>
            </w:pPr>
            <w:r>
              <w:rPr>
                <w:sz w:val="18"/>
                <w:szCs w:val="18"/>
              </w:rPr>
              <w:t>Sistemul de monitorizare al PDR.</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Metodologia de evaluare propusă</w:t>
      </w:r>
    </w:p>
    <w:p w:rsidR="00A45935" w:rsidRPr="00E05D08" w:rsidRDefault="00A45935" w:rsidP="00E05D08">
      <w:pPr>
        <w:spacing w:after="120" w:line="280" w:lineRule="atLeast"/>
        <w:mirrorIndents/>
        <w:rPr>
          <w:rFonts w:eastAsia="Times New Roman" w:cs="Arial"/>
          <w:szCs w:val="20"/>
        </w:rPr>
      </w:pPr>
      <w:r>
        <w:t xml:space="preserve">Metoda de evaluare propusă pentru a răspunde IEC nr. </w:t>
      </w:r>
      <w:r w:rsidRPr="00FA63BD">
        <w:t>30</w:t>
      </w:r>
      <w:r>
        <w:t xml:space="preserve"> este </w:t>
      </w:r>
      <w:r>
        <w:rPr>
          <w:b/>
          <w:bCs/>
        </w:rPr>
        <w:t>metoda studiului de caz</w:t>
      </w:r>
      <w:r>
        <w:t>. Următoarele etape sunt recomandate evaluatorilor pentru efectuarea evaluării:</w:t>
      </w:r>
    </w:p>
    <w:p w:rsidR="00A45935" w:rsidRDefault="00A45935" w:rsidP="000026C6">
      <w:pPr>
        <w:pStyle w:val="Hlistbullet"/>
      </w:pPr>
      <w:r>
        <w:rPr>
          <w:b/>
          <w:bCs/>
        </w:rPr>
        <w:t xml:space="preserve">ETAPA </w:t>
      </w:r>
      <w:r w:rsidRPr="00FA63BD">
        <w:rPr>
          <w:b/>
          <w:bCs/>
        </w:rPr>
        <w:t>1</w:t>
      </w:r>
      <w:r>
        <w:rPr>
          <w:b/>
          <w:bCs/>
        </w:rPr>
        <w:t xml:space="preserve"> - Identificați schimbarea semnificativă sau schimbările semnificative la care PDR poate susține că a contribuit prin încurajarea inovării prin una sau mai multe dintre cele trei modalități.</w:t>
      </w:r>
      <w:r>
        <w:t xml:space="preserve"> Această identificare poate fi realizată prin referire la răspunsurile la IEC-urile nr. </w:t>
      </w:r>
      <w:r w:rsidRPr="00FA63BD">
        <w:t>22</w:t>
      </w:r>
      <w:r>
        <w:t>-</w:t>
      </w:r>
      <w:r w:rsidRPr="00FA63BD">
        <w:t>29</w:t>
      </w:r>
      <w:r>
        <w:t xml:space="preserve"> (IEC referitoare la obiectivele generale ale UE </w:t>
      </w:r>
      <w:r w:rsidRPr="00FA63BD">
        <w:t>2020</w:t>
      </w:r>
      <w:r>
        <w:t xml:space="preserve"> și PAC), prin intervievarea personalului și/sau printr-o analiză a documentației proiectului. De exemplu, PDR poate susține că a contribuit la o schimbare semnificativă a profitabilității exploatației prin dezvoltarea unei nou utilaj agricol care a fost ulterior adoptat și utilizat pe scară largă de fermieri. Identificarea schimbărilor semnificative ar trebui să ia în considerare previziunile emise cu privire la posibila adoptare atunci când a fost stabilit potențialul de inovare la începutul programului.</w:t>
      </w:r>
    </w:p>
    <w:p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3EB78594" wp14:editId="218C6798">
                <wp:extent cx="5374005" cy="3416198"/>
                <wp:effectExtent l="0" t="0" r="17145" b="13335"/>
                <wp:docPr id="719" name="Rectangle: Diagonal Corners Rounded 719"/>
                <wp:cNvGraphicFramePr/>
                <a:graphic xmlns:a="http://schemas.openxmlformats.org/drawingml/2006/main">
                  <a:graphicData uri="http://schemas.microsoft.com/office/word/2010/wordprocessingShape">
                    <wps:wsp>
                      <wps:cNvSpPr/>
                      <wps:spPr>
                        <a:xfrm>
                          <a:off x="0" y="0"/>
                          <a:ext cx="5374005" cy="3416198"/>
                        </a:xfrm>
                        <a:prstGeom prst="round2DiagRect">
                          <a:avLst>
                            <a:gd name="adj1" fmla="val 3961"/>
                            <a:gd name="adj2" fmla="val 0"/>
                          </a:avLst>
                        </a:prstGeom>
                        <a:noFill/>
                        <a:ln w="25400" cap="flat" cmpd="sng" algn="ctr">
                          <a:solidFill>
                            <a:srgbClr val="F07E31"/>
                          </a:solidFill>
                          <a:prstDash val="solid"/>
                        </a:ln>
                        <a:effectLst/>
                      </wps:spPr>
                      <wps:txbx>
                        <w:txbxContent>
                          <w:p w:rsidR="008A60B4" w:rsidRPr="00253803" w:rsidRDefault="008A60B4" w:rsidP="00320AA0">
                            <w:pPr>
                              <w:ind w:left="567" w:hanging="567"/>
                              <w:rPr>
                                <w:rFonts w:cs="Arial"/>
                                <w:color w:val="F07E31"/>
                                <w:sz w:val="18"/>
                                <w:szCs w:val="18"/>
                              </w:rPr>
                            </w:pPr>
                            <w:r>
                              <w:rPr>
                                <w:noProof/>
                                <w:szCs w:val="18"/>
                                <w:lang w:val="en-GB" w:eastAsia="en-GB"/>
                              </w:rPr>
                              <w:drawing>
                                <wp:inline distT="0" distB="0" distL="0" distR="0" wp14:anchorId="3EFECBCC" wp14:editId="4FDD232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rPr>
                              <w:t>O rețea tematică privind agricultura cu valoare naturală ridicată</w:t>
                            </w:r>
                          </w:p>
                          <w:p w:rsidR="008A60B4" w:rsidRPr="00253803" w:rsidRDefault="008A60B4" w:rsidP="00320AA0">
                            <w:pPr>
                              <w:spacing w:line="280" w:lineRule="atLeast"/>
                              <w:rPr>
                                <w:rFonts w:cs="Arial"/>
                                <w:sz w:val="18"/>
                                <w:szCs w:val="18"/>
                              </w:rPr>
                            </w:pPr>
                            <w:r>
                              <w:rPr>
                                <w:sz w:val="18"/>
                                <w:szCs w:val="18"/>
                              </w:rPr>
                              <w:t xml:space="preserve">Ca parte a proiectului de cercetare Orizont 2020: </w:t>
                            </w:r>
                            <w:r>
                              <w:t>„</w:t>
                            </w:r>
                            <w:hyperlink r:id="rId98" w:history="1">
                              <w:r>
                                <w:rPr>
                                  <w:rStyle w:val="Hyperlink"/>
                                  <w:sz w:val="18"/>
                                  <w:szCs w:val="18"/>
                                </w:rPr>
                                <w:t>HNV-Link</w:t>
                              </w:r>
                            </w:hyperlink>
                            <w:r>
                              <w:rPr>
                                <w:rStyle w:val="Hyperlink"/>
                                <w:sz w:val="18"/>
                                <w:szCs w:val="18"/>
                              </w:rPr>
                              <w:t>”</w:t>
                            </w:r>
                            <w:r>
                              <w:t>, o echipă de cercetători, a elaborat un cadru de evaluare pentru a analiza situația de referință a zonelor cu valoare naturală ridicată la care inovarea are potențialul de a contribui.</w:t>
                            </w:r>
                            <w:r>
                              <w:rPr>
                                <w:sz w:val="18"/>
                                <w:szCs w:val="18"/>
                              </w:rPr>
                              <w:t xml:space="preserve"> Această evaluare inițială include analiza mai multor atribute legate de: </w:t>
                            </w:r>
                          </w:p>
                          <w:p w:rsidR="008A60B4" w:rsidRPr="00253803" w:rsidRDefault="008A60B4" w:rsidP="00320AA0">
                            <w:pPr>
                              <w:numPr>
                                <w:ilvl w:val="0"/>
                                <w:numId w:val="63"/>
                              </w:numPr>
                              <w:ind w:left="567" w:hanging="567"/>
                              <w:contextualSpacing/>
                              <w:rPr>
                                <w:rFonts w:cs="Arial"/>
                                <w:sz w:val="18"/>
                                <w:szCs w:val="18"/>
                              </w:rPr>
                            </w:pPr>
                            <w:r>
                              <w:rPr>
                                <w:sz w:val="18"/>
                                <w:szCs w:val="18"/>
                              </w:rPr>
                              <w:t>sistemul agroecologic (sol, climă și condiții de relief);</w:t>
                            </w:r>
                          </w:p>
                          <w:p w:rsidR="008A60B4" w:rsidRPr="00253803" w:rsidRDefault="008A60B4" w:rsidP="00320AA0">
                            <w:pPr>
                              <w:numPr>
                                <w:ilvl w:val="0"/>
                                <w:numId w:val="63"/>
                              </w:numPr>
                              <w:ind w:left="567" w:hanging="567"/>
                              <w:contextualSpacing/>
                              <w:rPr>
                                <w:rFonts w:cs="Arial"/>
                                <w:sz w:val="18"/>
                                <w:szCs w:val="18"/>
                              </w:rPr>
                            </w:pPr>
                            <w:r>
                              <w:rPr>
                                <w:sz w:val="18"/>
                                <w:szCs w:val="18"/>
                              </w:rPr>
                              <w:t>sistemele agricole și dinamica lor în sistemele agrare;</w:t>
                            </w:r>
                          </w:p>
                          <w:p w:rsidR="008A60B4" w:rsidRPr="00253803" w:rsidRDefault="008A60B4" w:rsidP="00320AA0">
                            <w:pPr>
                              <w:numPr>
                                <w:ilvl w:val="0"/>
                                <w:numId w:val="63"/>
                              </w:numPr>
                              <w:ind w:left="567" w:hanging="567"/>
                              <w:contextualSpacing/>
                              <w:rPr>
                                <w:rFonts w:cs="Arial"/>
                                <w:sz w:val="18"/>
                                <w:szCs w:val="18"/>
                              </w:rPr>
                            </w:pPr>
                            <w:r>
                              <w:rPr>
                                <w:sz w:val="18"/>
                                <w:szCs w:val="18"/>
                              </w:rPr>
                              <w:t xml:space="preserve">contextul rural și forțele motrice mai largi (politici, tehnologii, schimbări societale); </w:t>
                            </w:r>
                          </w:p>
                          <w:p w:rsidR="008A60B4" w:rsidRPr="00253803" w:rsidRDefault="008A60B4" w:rsidP="00320AA0">
                            <w:pPr>
                              <w:numPr>
                                <w:ilvl w:val="0"/>
                                <w:numId w:val="63"/>
                              </w:numPr>
                              <w:ind w:left="567" w:hanging="567"/>
                              <w:contextualSpacing/>
                              <w:rPr>
                                <w:rFonts w:cs="Arial"/>
                                <w:sz w:val="18"/>
                                <w:szCs w:val="18"/>
                              </w:rPr>
                            </w:pPr>
                            <w:r>
                              <w:rPr>
                                <w:sz w:val="18"/>
                                <w:szCs w:val="18"/>
                              </w:rPr>
                              <w:t>aspecte transversale (actori și organizare socială).</w:t>
                            </w:r>
                          </w:p>
                          <w:p w:rsidR="008A60B4" w:rsidRPr="000E5745" w:rsidRDefault="008A60B4" w:rsidP="00320AA0">
                            <w:pPr>
                              <w:pStyle w:val="Hlistbullet"/>
                              <w:numPr>
                                <w:ilvl w:val="0"/>
                                <w:numId w:val="0"/>
                              </w:numPr>
                              <w:rPr>
                                <w:sz w:val="18"/>
                                <w:szCs w:val="18"/>
                              </w:rPr>
                            </w:pPr>
                            <w:r>
                              <w:rPr>
                                <w:sz w:val="18"/>
                                <w:szCs w:val="18"/>
                              </w:rPr>
                              <w:t xml:space="preserve">Diferite metode au fost combinate pentru a crea o situație de referință: 1) evaluarea sistemului agroecologic, 2) analiza sistemului agrar și agricol, 3) analiza mediului rural, 4) analiza actorilor. Metodologia contribuie la crearea unei situații contrafactuale pentru a evalua atât procesul, cât și efectele inovărilor care au loc în zonele cu valoare naturală ridicată. Un exemplu de aplicare a acestei metodologii poate fi consultat la adresa: </w:t>
                            </w:r>
                            <w:hyperlink r:id="rId99"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B78594" id="Rectangle: Diagonal Corners Rounded 719" o:spid="_x0000_s1055" style="width:423.15pt;height:269pt;visibility:visible;mso-wrap-style:square;mso-left-percent:-10001;mso-top-percent:-10001;mso-position-horizontal:absolute;mso-position-horizontal-relative:char;mso-position-vertical:absolute;mso-position-vertical-relative:line;mso-left-percent:-10001;mso-top-percent:-10001;v-text-anchor:middle" coordsize="5374005,34161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" adj="-11796480,,5400" path="m135316,l5374005,r,l5374005,3280882v,74733,-60583,135316,-135316,135316l,3416198r,l,135316c,60583,60583,,135316,xe" filled="f" strokecolor="#f07e31" strokeweight="2pt">
                <v:stroke joinstyle="miter"/>
                <v:formulas/>
                <v:path arrowok="t" o:connecttype="custom" o:connectlocs="135316,0;5374005,0;5374005,0;5374005,3280882;5238689,3416198;0,3416198;0,3416198;0,135316;135316,0" o:connectangles="0,0,0,0,0,0,0,0,0" textboxrect="0,0,5374005,3416198"/>
                <v:textbox>
                  <w:txbxContent>
                    <w:p w:rsidR="008A60B4" w:rsidRPr="00253803" w:rsidRDefault="008A60B4" w:rsidP="00320AA0">
                      <w:pPr>
                        <w:ind w:left="567" w:hanging="567"/>
                        <w:rPr>
                          <w:rFonts w:cs="Arial"/>
                          <w:color w:val="F07E31"/>
                          <w:sz w:val="18"/>
                          <w:szCs w:val="18"/>
                        </w:rPr>
                      </w:pPr>
                      <w:r>
                        <w:rPr>
                          <w:noProof/>
                          <w:szCs w:val="18"/>
                          <w:lang w:val="en-GB" w:eastAsia="en-GB"/>
                        </w:rPr>
                        <w:drawing>
                          <wp:inline distT="0" distB="0" distL="0" distR="0" wp14:anchorId="3EFECBCC" wp14:editId="4FDD232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rPr>
                        <w:t>O rețea tematică privind agricultura cu valoare naturală ridicată</w:t>
                      </w:r>
                    </w:p>
                    <w:p w:rsidR="008A60B4" w:rsidRPr="00253803" w:rsidRDefault="008A60B4" w:rsidP="00320AA0">
                      <w:pPr>
                        <w:spacing w:line="280" w:lineRule="atLeast"/>
                        <w:rPr>
                          <w:rFonts w:cs="Arial"/>
                          <w:sz w:val="18"/>
                          <w:szCs w:val="18"/>
                        </w:rPr>
                      </w:pPr>
                      <w:r>
                        <w:rPr>
                          <w:sz w:val="18"/>
                          <w:szCs w:val="18"/>
                        </w:rPr>
                        <w:t xml:space="preserve">Ca parte a proiectului de cercetare Orizont 2020: </w:t>
                      </w:r>
                      <w:r>
                        <w:t>„</w:t>
                      </w:r>
                      <w:hyperlink r:id="rId100" w:history="1">
                        <w:r>
                          <w:rPr>
                            <w:rStyle w:val="Hyperlink"/>
                            <w:sz w:val="18"/>
                            <w:szCs w:val="18"/>
                          </w:rPr>
                          <w:t>HNV-Link</w:t>
                        </w:r>
                      </w:hyperlink>
                      <w:r>
                        <w:rPr>
                          <w:rStyle w:val="Hyperlink"/>
                          <w:sz w:val="18"/>
                          <w:szCs w:val="18"/>
                        </w:rPr>
                        <w:t>”</w:t>
                      </w:r>
                      <w:r>
                        <w:t>, o echipă de cercetători, a elaborat un cadru de evaluare pentru a analiza situația de referință a zonelor cu valoare naturală ridicată la care inovarea are potențialul de a contribui.</w:t>
                      </w:r>
                      <w:r>
                        <w:rPr>
                          <w:sz w:val="18"/>
                          <w:szCs w:val="18"/>
                        </w:rPr>
                        <w:t xml:space="preserve"> Această evaluare inițială include analiza mai multor atribute legate de: </w:t>
                      </w:r>
                    </w:p>
                    <w:p w:rsidR="008A60B4" w:rsidRPr="00253803" w:rsidRDefault="008A60B4" w:rsidP="00320AA0">
                      <w:pPr>
                        <w:numPr>
                          <w:ilvl w:val="0"/>
                          <w:numId w:val="63"/>
                        </w:numPr>
                        <w:ind w:left="567" w:hanging="567"/>
                        <w:contextualSpacing/>
                        <w:rPr>
                          <w:rFonts w:cs="Arial"/>
                          <w:sz w:val="18"/>
                          <w:szCs w:val="18"/>
                        </w:rPr>
                      </w:pPr>
                      <w:r>
                        <w:rPr>
                          <w:sz w:val="18"/>
                          <w:szCs w:val="18"/>
                        </w:rPr>
                        <w:t>sistemul agroecologic (sol, climă și condiții de relief);</w:t>
                      </w:r>
                    </w:p>
                    <w:p w:rsidR="008A60B4" w:rsidRPr="00253803" w:rsidRDefault="008A60B4" w:rsidP="00320AA0">
                      <w:pPr>
                        <w:numPr>
                          <w:ilvl w:val="0"/>
                          <w:numId w:val="63"/>
                        </w:numPr>
                        <w:ind w:left="567" w:hanging="567"/>
                        <w:contextualSpacing/>
                        <w:rPr>
                          <w:rFonts w:cs="Arial"/>
                          <w:sz w:val="18"/>
                          <w:szCs w:val="18"/>
                        </w:rPr>
                      </w:pPr>
                      <w:r>
                        <w:rPr>
                          <w:sz w:val="18"/>
                          <w:szCs w:val="18"/>
                        </w:rPr>
                        <w:t>sistemele agricole și dinamica lor în sistemele agrare;</w:t>
                      </w:r>
                    </w:p>
                    <w:p w:rsidR="008A60B4" w:rsidRPr="00253803" w:rsidRDefault="008A60B4" w:rsidP="00320AA0">
                      <w:pPr>
                        <w:numPr>
                          <w:ilvl w:val="0"/>
                          <w:numId w:val="63"/>
                        </w:numPr>
                        <w:ind w:left="567" w:hanging="567"/>
                        <w:contextualSpacing/>
                        <w:rPr>
                          <w:rFonts w:cs="Arial"/>
                          <w:sz w:val="18"/>
                          <w:szCs w:val="18"/>
                        </w:rPr>
                      </w:pPr>
                      <w:r>
                        <w:rPr>
                          <w:sz w:val="18"/>
                          <w:szCs w:val="18"/>
                        </w:rPr>
                        <w:t xml:space="preserve">contextul rural și forțele motrice mai largi (politici, tehnologii, schimbări societale); </w:t>
                      </w:r>
                    </w:p>
                    <w:p w:rsidR="008A60B4" w:rsidRPr="00253803" w:rsidRDefault="008A60B4" w:rsidP="00320AA0">
                      <w:pPr>
                        <w:numPr>
                          <w:ilvl w:val="0"/>
                          <w:numId w:val="63"/>
                        </w:numPr>
                        <w:ind w:left="567" w:hanging="567"/>
                        <w:contextualSpacing/>
                        <w:rPr>
                          <w:rFonts w:cs="Arial"/>
                          <w:sz w:val="18"/>
                          <w:szCs w:val="18"/>
                        </w:rPr>
                      </w:pPr>
                      <w:r>
                        <w:rPr>
                          <w:sz w:val="18"/>
                          <w:szCs w:val="18"/>
                        </w:rPr>
                        <w:t>aspecte transversale (actori și organizare socială).</w:t>
                      </w:r>
                    </w:p>
                    <w:p w:rsidR="008A60B4" w:rsidRPr="000E5745" w:rsidRDefault="008A60B4" w:rsidP="00320AA0">
                      <w:pPr>
                        <w:pStyle w:val="Hlistbullet"/>
                        <w:numPr>
                          <w:ilvl w:val="0"/>
                          <w:numId w:val="0"/>
                        </w:numPr>
                        <w:rPr>
                          <w:sz w:val="18"/>
                          <w:szCs w:val="18"/>
                        </w:rPr>
                      </w:pPr>
                      <w:r>
                        <w:rPr>
                          <w:sz w:val="18"/>
                          <w:szCs w:val="18"/>
                        </w:rPr>
                        <w:t xml:space="preserve">Diferite metode au fost combinate pentru a crea o situație de referință: 1) evaluarea sistemului agroecologic, 2) analiza sistemului agrar și agricol, 3) analiza mediului rural, 4) analiza actorilor. Metodologia contribuie la crearea unei situații contrafactuale pentru a evalua atât procesul, cât și efectele inovărilor care au loc în zonele cu valoare naturală ridicată. Un exemplu de aplicare a acestei metodologii poate fi consultat la adresa: </w:t>
                      </w:r>
                      <w:hyperlink r:id="rId101" w:history="1">
                        <w:r>
                          <w:rPr>
                            <w:rStyle w:val="Hyperlink"/>
                            <w:sz w:val="18"/>
                            <w:szCs w:val="18"/>
                          </w:rPr>
                          <w:t>http://www.hnvlink.eu/download/D1.3BAcomplete.pdf</w:t>
                        </w:r>
                      </w:hyperlink>
                    </w:p>
                  </w:txbxContent>
                </v:textbox>
                <w10:anchorlock/>
              </v:shape>
            </w:pict>
          </mc:Fallback>
        </mc:AlternateContent>
      </w:r>
    </w:p>
    <w:p w:rsidR="00A45935" w:rsidRPr="00F74623" w:rsidRDefault="00A45935" w:rsidP="000026C6">
      <w:pPr>
        <w:pStyle w:val="Hlistbullet"/>
      </w:pPr>
      <w:r>
        <w:rPr>
          <w:b/>
          <w:bCs/>
        </w:rPr>
        <w:t xml:space="preserve">ETAPA </w:t>
      </w:r>
      <w:r w:rsidRPr="00FA63BD">
        <w:rPr>
          <w:b/>
          <w:bCs/>
        </w:rPr>
        <w:t>2</w:t>
      </w:r>
      <w:r>
        <w:rPr>
          <w:b/>
          <w:bCs/>
        </w:rPr>
        <w:t xml:space="preserve"> - Colectați informații despre performanța PDR în raport cu criteriile și indicatorii de evaluare</w:t>
      </w:r>
      <w:r>
        <w:t xml:space="preserve"> (astfel cum se propune în tabelul </w:t>
      </w:r>
      <w:r w:rsidRPr="00FA63BD">
        <w:t>9</w:t>
      </w:r>
      <w:r>
        <w:t xml:space="preserve"> referitor la elementele de evaluare de mai sus) pentru cele trei întrebări secundare referitoare la măsura în care PDR a avut un impact asupra celor trei modalități. </w:t>
      </w:r>
    </w:p>
    <w:p w:rsidR="00A45935" w:rsidRPr="00717885" w:rsidRDefault="00037CA6" w:rsidP="000026C6">
      <w:pPr>
        <w:pStyle w:val="Hlistbullet2"/>
      </w:pPr>
      <w:r>
        <w:rPr>
          <w:noProof/>
          <w:highlight w:val="yellow"/>
          <w:lang w:val="en-GB" w:eastAsia="en-GB"/>
        </w:rPr>
        <w:lastRenderedPageBreak/>
        <mc:AlternateContent>
          <mc:Choice Requires="wps">
            <w:drawing>
              <wp:anchor distT="0" distB="0" distL="114300" distR="114300" simplePos="0" relativeHeight="251726848" behindDoc="0" locked="0" layoutInCell="1" allowOverlap="1" wp14:anchorId="535692EB" wp14:editId="3B4F367C">
                <wp:simplePos x="0" y="0"/>
                <wp:positionH relativeFrom="column">
                  <wp:posOffset>351155</wp:posOffset>
                </wp:positionH>
                <wp:positionV relativeFrom="paragraph">
                  <wp:posOffset>555625</wp:posOffset>
                </wp:positionV>
                <wp:extent cx="5414645" cy="2733040"/>
                <wp:effectExtent l="0" t="0" r="14605" b="10160"/>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733040"/>
                        </a:xfrm>
                        <a:prstGeom prst="round2DiagRect">
                          <a:avLst>
                            <a:gd name="adj1" fmla="val 7843"/>
                            <a:gd name="adj2" fmla="val 0"/>
                          </a:avLst>
                        </a:prstGeom>
                        <a:noFill/>
                        <a:ln w="25400" cap="flat" cmpd="sng" algn="ctr">
                          <a:solidFill>
                            <a:srgbClr val="BE4A35"/>
                          </a:solidFill>
                          <a:prstDash val="solid"/>
                        </a:ln>
                        <a:effectLst/>
                      </wps:spPr>
                      <wps:txbx>
                        <w:txbxContent>
                          <w:p w:rsidR="008A60B4" w:rsidRPr="003D7EC4" w:rsidRDefault="008A60B4" w:rsidP="00E05D08">
                            <w:pPr>
                              <w:pStyle w:val="HStandard"/>
                              <w:rPr>
                                <w:rFonts w:cs="Arial"/>
                                <w:sz w:val="18"/>
                              </w:rPr>
                            </w:pPr>
                            <w:r>
                              <w:rPr>
                                <w:noProof/>
                                <w:lang w:val="en-GB" w:eastAsia="en-GB"/>
                              </w:rPr>
                              <w:drawing>
                                <wp:inline distT="0" distB="0" distL="0" distR="0" wp14:anchorId="2F42D547" wp14:editId="31FCD80A">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Adoptarea ideilor, proceselor, modelelor și/sau tehnologiilor inovatoare introduse de PDR</w:t>
                            </w:r>
                            <w:r>
                              <w:rPr>
                                <w:sz w:val="18"/>
                              </w:rPr>
                              <w:t xml:space="preserve"> poate fi evaluată utilizând </w:t>
                            </w:r>
                            <w:r>
                              <w:rPr>
                                <w:b/>
                                <w:bCs/>
                                <w:sz w:val="18"/>
                              </w:rPr>
                              <w:t>sondaje</w:t>
                            </w:r>
                            <w:r>
                              <w:rPr>
                                <w:sz w:val="18"/>
                              </w:rPr>
                              <w:t xml:space="preserve"> care măsoară nivelul și amploarea adoptării elementelor de noutate și stabilesc sursa acestora. Sondajele ar trebui:</w:t>
                            </w:r>
                          </w:p>
                          <w:p w:rsidR="008A60B4" w:rsidRPr="003D7EC4" w:rsidRDefault="008A60B4" w:rsidP="008C0B17">
                            <w:pPr>
                              <w:pStyle w:val="HStandard"/>
                              <w:numPr>
                                <w:ilvl w:val="3"/>
                                <w:numId w:val="43"/>
                              </w:numPr>
                            </w:pPr>
                            <w:r>
                              <w:rPr>
                                <w:sz w:val="18"/>
                              </w:rPr>
                              <w:t>să includă persoanele care au adoptat elementele de noutate, dar și persoanele care nu le-au adoptat și să urmărească: a) să înțeleagă motivele pentru care elementele de noutate nu au fost adoptate și b) să identifice dacă există moduri alternative de abordare a problemei la care se referă elementul de noutate;</w:t>
                            </w:r>
                          </w:p>
                          <w:p w:rsidR="008A60B4" w:rsidRPr="000E5745" w:rsidRDefault="008A60B4" w:rsidP="008C0B17">
                            <w:pPr>
                              <w:pStyle w:val="HStandard"/>
                              <w:numPr>
                                <w:ilvl w:val="3"/>
                                <w:numId w:val="43"/>
                              </w:numPr>
                            </w:pPr>
                            <w:r>
                              <w:t xml:space="preserve">să fie enumerate în rândul persoanelor care au adoptat și al celor care nu au adoptat o idee nouă acolo unde se cunoaște faptul că a avut loc adoptarea, precum și în zonele care au fost identificate ca fiind promițătoare pe parcursul evaluării potențialului de inovare (a se vedea </w:t>
                            </w:r>
                            <w:hyperlink w:anchor="Screening_Potential" w:history="1">
                              <w:r>
                                <w:rPr>
                                  <w:rStyle w:val="Hyperlink"/>
                                  <w:sz w:val="18"/>
                                </w:rPr>
                                <w:t>capitolul 2.2</w:t>
                              </w:r>
                            </w:hyperlink>
                            <w:r>
                              <w:t>).</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692EB" id="Rectangle: Diagonal Corners Rounded 562" o:spid="_x0000_s1056" style="position:absolute;left:0;text-align:left;margin-left:27.65pt;margin-top:43.75pt;width:426.35pt;height:21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733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" adj="-11796480,,5400" path="m214352,l5414645,r,l5414645,2518688v,118383,-95969,214352,-214352,214352l,2733040r,l,214352c,95969,95969,,214352,xe" filled="f" strokecolor="#be4a35" strokeweight="2pt">
                <v:stroke joinstyle="miter"/>
                <v:formulas/>
                <v:path arrowok="t" o:connecttype="custom" o:connectlocs="214352,0;5414645,0;5414645,0;5414645,2518688;5200293,2733040;0,2733040;0,2733040;0,214352;214352,0" o:connectangles="0,0,0,0,0,0,0,0,0" textboxrect="0,0,5414645,2733040"/>
                <v:textbox>
                  <w:txbxContent>
                    <w:p w:rsidR="008A60B4" w:rsidRPr="003D7EC4" w:rsidRDefault="008A60B4" w:rsidP="00E05D08">
                      <w:pPr>
                        <w:pStyle w:val="HStandard"/>
                        <w:rPr>
                          <w:rFonts w:cs="Arial"/>
                          <w:sz w:val="18"/>
                        </w:rPr>
                      </w:pPr>
                      <w:r>
                        <w:rPr>
                          <w:noProof/>
                          <w:lang w:val="en-GB" w:eastAsia="en-GB"/>
                        </w:rPr>
                        <w:drawing>
                          <wp:inline distT="0" distB="0" distL="0" distR="0" wp14:anchorId="2F42D547" wp14:editId="31FCD80A">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Adoptarea ideilor, proceselor, modelelor și/sau tehnologiilor inovatoare introduse de PDR</w:t>
                      </w:r>
                      <w:r>
                        <w:rPr>
                          <w:sz w:val="18"/>
                        </w:rPr>
                        <w:t xml:space="preserve"> poate fi evaluată utilizând </w:t>
                      </w:r>
                      <w:r>
                        <w:rPr>
                          <w:b/>
                          <w:bCs/>
                          <w:sz w:val="18"/>
                        </w:rPr>
                        <w:t>sondaje</w:t>
                      </w:r>
                      <w:r>
                        <w:rPr>
                          <w:sz w:val="18"/>
                        </w:rPr>
                        <w:t xml:space="preserve"> care măsoară nivelul și amploarea adoptării elementelor de noutate și stabilesc sursa acestora. Sondajele ar trebui:</w:t>
                      </w:r>
                    </w:p>
                    <w:p w:rsidR="008A60B4" w:rsidRPr="003D7EC4" w:rsidRDefault="008A60B4" w:rsidP="008C0B17">
                      <w:pPr>
                        <w:pStyle w:val="HStandard"/>
                        <w:numPr>
                          <w:ilvl w:val="3"/>
                          <w:numId w:val="43"/>
                        </w:numPr>
                      </w:pPr>
                      <w:r>
                        <w:rPr>
                          <w:sz w:val="18"/>
                        </w:rPr>
                        <w:t>să includă persoanele care au adoptat elementele de noutate, dar și persoanele care nu le-au adoptat și să urmărească: a) să înțeleagă motivele pentru care elementele de noutate nu au fost adoptate și b) să identifice dacă există moduri alternative de abordare a problemei la care se referă elementul de noutate;</w:t>
                      </w:r>
                    </w:p>
                    <w:p w:rsidR="008A60B4" w:rsidRPr="000E5745" w:rsidRDefault="008A60B4" w:rsidP="008C0B17">
                      <w:pPr>
                        <w:pStyle w:val="HStandard"/>
                        <w:numPr>
                          <w:ilvl w:val="3"/>
                          <w:numId w:val="43"/>
                        </w:numPr>
                      </w:pPr>
                      <w:r>
                        <w:t xml:space="preserve">să fie enumerate în rândul persoanelor care au adoptat și al celor care nu au adoptat o idee nouă acolo unde se cunoaște faptul că a avut loc adoptarea, precum și în zonele care au fost identificate ca fiind promițătoare pe parcursul evaluării potențialului de inovare (a se vedea </w:t>
                      </w:r>
                      <w:hyperlink w:anchor="Screening_Potential" w:history="1">
                        <w:r>
                          <w:rPr>
                            <w:rStyle w:val="Hyperlink"/>
                            <w:sz w:val="18"/>
                          </w:rPr>
                          <w:t>capitolul 2.2</w:t>
                        </w:r>
                      </w:hyperlink>
                      <w:r>
                        <w:t>).</w:t>
                      </w:r>
                      <w:r>
                        <w:rPr>
                          <w:sz w:val="18"/>
                        </w:rPr>
                        <w:t xml:space="preserve"> </w:t>
                      </w:r>
                    </w:p>
                  </w:txbxContent>
                </v:textbox>
                <w10:wrap type="square"/>
              </v:shape>
            </w:pict>
          </mc:Fallback>
        </mc:AlternateContent>
      </w:r>
      <w:r>
        <w:rPr>
          <w:b/>
          <w:bCs/>
        </w:rPr>
        <w:t xml:space="preserve">Modalitatea </w:t>
      </w:r>
      <w:r w:rsidRPr="00FA63BD">
        <w:rPr>
          <w:b/>
          <w:bCs/>
        </w:rPr>
        <w:t>1</w:t>
      </w:r>
      <w:r>
        <w:t xml:space="preserve"> cuprinde criteriul de apreciere „adoptarea ideilor, proceselor, modelelor și/sau tehnologiilor inovatoare introduse de PDR”. Acest criteriu poate fi măsurat prin indicatori comuni și suplimentari, astfel cum se propune în tabelul </w:t>
      </w:r>
      <w:r w:rsidRPr="00FA63BD">
        <w:t>9</w:t>
      </w:r>
      <w:r>
        <w:t>. În cazul indicatorilor comuni, datele pot fi colectate prin baza de date a operațiunilor. În cazul indicatorilor suplimentari, datele și informațiile pot fi colectate printr-un sondaj organizat și desfășurat de evaluator (a se vedea exemplul de mai jos)</w:t>
      </w:r>
    </w:p>
    <w:p w:rsidR="00A45935" w:rsidRPr="00717885" w:rsidRDefault="00A45935" w:rsidP="000026C6">
      <w:pPr>
        <w:pStyle w:val="Hlistbullet2"/>
      </w:pPr>
      <w:r>
        <w:rPr>
          <w:b/>
          <w:bCs/>
        </w:rPr>
        <w:t xml:space="preserve">Modalitatea </w:t>
      </w:r>
      <w:r w:rsidRPr="00FA63BD">
        <w:rPr>
          <w:b/>
          <w:bCs/>
        </w:rPr>
        <w:t>2</w:t>
      </w:r>
      <w:r>
        <w:t xml:space="preserve"> cuprinde trei criterii de apreciere, care sunt însoțite de indicatori de rezultat: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primul este îmbunătățirea colaborării și a partajării între actorii implicați în realizarea schimbării la care a contribuit PDR. Acest lucru implică identificarea acordurilor între parteneri pe care PDR le-a intermediat cu ajutorul indicatorilor de rezultat suplimentari: „Numărul parteneriatelor oficiale intermediate de PDR ca fiind legate de schimbările din cadrul priorităților de dezvoltare rurală la care a contribuit PDR” și „creșterea exprimată în procentaje a numărului și tipurilor partenerilor implicați în proiecte de cooperare” (a se vedea documentul de lucru </w:t>
      </w:r>
      <w:hyperlink r:id="rId102" w:history="1">
        <w:r>
          <w:rPr>
            <w:color w:val="F07E31"/>
            <w:szCs w:val="20"/>
            <w:u w:val="single"/>
          </w:rPr>
          <w:t xml:space="preserve">Întrebări de evaluare comune pentru programele de dezvoltare rurală pentru perioada </w:t>
        </w:r>
        <w:r w:rsidRPr="00FA63BD">
          <w:rPr>
            <w:color w:val="F07E31"/>
            <w:szCs w:val="20"/>
            <w:u w:val="single"/>
          </w:rPr>
          <w:t>2014</w:t>
        </w:r>
        <w:r>
          <w:rPr>
            <w:color w:val="F07E31"/>
            <w:szCs w:val="20"/>
            <w:u w:val="single"/>
          </w:rPr>
          <w:t>-</w:t>
        </w:r>
        <w:r w:rsidRPr="00FA63BD">
          <w:rPr>
            <w:color w:val="F07E31"/>
            <w:szCs w:val="20"/>
            <w:u w:val="single"/>
          </w:rPr>
          <w:t>2020</w:t>
        </w:r>
      </w:hyperlink>
      <w:r>
        <w:t xml:space="preserve">). Datele și informațiile pentru primul indicator suplimentar pot fi colectate de către evaluatori pe parcursul evaluării prin interviuri și grupuri de reflecție cu partenerii implicați în parteneriate stabilite. Pentru cel de al doilea indicator suplimentar, datele pot fi colectate direct din baza de date a operațiunilor.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Cel de al doilea criteriu se referă la contribuția PDR la un nivel mai ridicat de învățare, reflectare și împărtășire. Acest lucru implică identificarea platformelor (de exemplu, comunitatea de practică), a grupurilor și a altor forme de „spațiu” instituțional (de exemplu, revizuiri după acțiuni), atât virtuale, cât și față în față, care permit participanților la procesul de inovare să împărtășească experiențe, să reflecteze cu privire la înțelesul și valoarea acestora, să învețe și să întreprindă acțiuni ulterioare. Indicatorul de rezultat suplimentar „numărul și calitatea platformelor și a «spațiilor» care sprijină inovarea generată sau consolidată de PDR” este propus spre a fi utilizat pentru a măsura succesul, astfel cum se specifică în acest criteriu de apreciere.</w:t>
      </w:r>
      <w:r>
        <w:rPr>
          <w:i/>
          <w:sz w:val="18"/>
          <w:szCs w:val="16"/>
        </w:rPr>
        <w:t xml:space="preserve"> </w:t>
      </w:r>
      <w:r>
        <w:t xml:space="preserve">Informațiile cantitative și calitative vor fi colectate de către evaluatori pe parcursul evaluării (de exemplu, utilizând interviurile grupurilor de reflecție cu participanții din cadrul platformelor/spațiilor de mai sus).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727872" behindDoc="0" locked="0" layoutInCell="1" allowOverlap="1" wp14:anchorId="31897A3D" wp14:editId="02234E0E">
                <wp:simplePos x="0" y="0"/>
                <wp:positionH relativeFrom="column">
                  <wp:posOffset>3322651</wp:posOffset>
                </wp:positionH>
                <wp:positionV relativeFrom="paragraph">
                  <wp:posOffset>1188085</wp:posOffset>
                </wp:positionV>
                <wp:extent cx="2360930" cy="2011680"/>
                <wp:effectExtent l="0" t="0" r="20320" b="2667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011680"/>
                        </a:xfrm>
                        <a:prstGeom prst="round2DiagRect">
                          <a:avLst>
                            <a:gd name="adj1" fmla="val 7843"/>
                            <a:gd name="adj2" fmla="val 0"/>
                          </a:avLst>
                        </a:prstGeom>
                        <a:noFill/>
                        <a:ln w="25400" cap="flat" cmpd="sng" algn="ctr">
                          <a:solidFill>
                            <a:srgbClr val="BE4A35"/>
                          </a:solidFill>
                          <a:prstDash val="solid"/>
                        </a:ln>
                        <a:effectLst/>
                      </wps:spPr>
                      <wps:txbx>
                        <w:txbxContent>
                          <w:p w:rsidR="008A60B4" w:rsidRPr="000E5745" w:rsidRDefault="008A60B4" w:rsidP="00E05D08">
                            <w:pPr>
                              <w:pStyle w:val="HStandard"/>
                            </w:pPr>
                            <w:r>
                              <w:rPr>
                                <w:noProof/>
                                <w:lang w:val="en-GB" w:eastAsia="en-GB"/>
                              </w:rPr>
                              <w:drawing>
                                <wp:inline distT="0" distB="0" distL="0" distR="0" wp14:anchorId="20E98000" wp14:editId="38E04276">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bCs/>
                                <w:color w:val="BE4A35"/>
                                <w:sz w:val="18"/>
                              </w:rPr>
                              <w:t>Colectarea realizărilor</w:t>
                            </w:r>
                            <w:r>
                              <w:rPr>
                                <w:color w:val="BE4A35"/>
                                <w:sz w:val="18"/>
                              </w:rPr>
                              <w:t xml:space="preserve"> </w:t>
                            </w:r>
                            <w:r>
                              <w:rPr>
                                <w:sz w:val="18"/>
                              </w:rPr>
                              <w:t>este o metodă care solicită agenților de schimbare ai PDR (cei implicați în angajamentul de politică al PDR) să identifice schimbările de politică la care a contribuit PDR și, ulterior, solicită unor persoane informate, dar independente, să valideze aceste afirmații.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7A3D" id="Rectangle: Diagonal Corners Rounded 564" o:spid="_x0000_s1057" style="position:absolute;left:0;text-align:left;margin-left:261.65pt;margin-top:93.55pt;width:185.9pt;height:15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01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" adj="-11796480,,5400" path="m157776,l2360930,r,l2360930,1853904v,87137,-70639,157776,-157776,157776l,2011680r,l,157776c,70639,70639,,157776,xe" filled="f" strokecolor="#be4a35" strokeweight="2pt">
                <v:stroke joinstyle="miter"/>
                <v:formulas/>
                <v:path arrowok="t" o:connecttype="custom" o:connectlocs="157776,0;2360930,0;2360930,0;2360930,1853904;2203154,2011680;0,2011680;0,2011680;0,157776;157776,0" o:connectangles="0,0,0,0,0,0,0,0,0" textboxrect="0,0,2360930,2011680"/>
                <v:textbox>
                  <w:txbxContent>
                    <w:p w:rsidR="008A60B4" w:rsidRPr="000E5745" w:rsidRDefault="008A60B4" w:rsidP="00E05D08">
                      <w:pPr>
                        <w:pStyle w:val="HStandard"/>
                      </w:pPr>
                      <w:r>
                        <w:rPr>
                          <w:noProof/>
                          <w:lang w:val="en-GB" w:eastAsia="en-GB"/>
                        </w:rPr>
                        <w:drawing>
                          <wp:inline distT="0" distB="0" distL="0" distR="0" wp14:anchorId="20E98000" wp14:editId="38E04276">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bCs/>
                          <w:color w:val="BE4A35"/>
                          <w:sz w:val="18"/>
                        </w:rPr>
                        <w:t>Colectarea realizărilor</w:t>
                      </w:r>
                      <w:r>
                        <w:rPr>
                          <w:color w:val="BE4A35"/>
                          <w:sz w:val="18"/>
                        </w:rPr>
                        <w:t xml:space="preserve"> </w:t>
                      </w:r>
                      <w:r>
                        <w:rPr>
                          <w:sz w:val="18"/>
                        </w:rPr>
                        <w:t>este o metodă care solicită agenților de schimbare ai PDR (cei implicați în angajamentul de politică al PDR) să identifice schimbările de politică la care a contribuit PDR și, ulterior, solicită unor persoane informate, dar independente, să valideze aceste afirmații.</w:t>
                      </w:r>
                    </w:p>
                  </w:txbxContent>
                </v:textbox>
                <w10:wrap type="square"/>
              </v:shape>
            </w:pict>
          </mc:Fallback>
        </mc:AlternateContent>
      </w:r>
      <w:r>
        <w:t>Cel de-al treilea indicator se referă la îmbunătățirea fluxului de informații și a diversității tipurilor de organizații în sistemul de inovare în care a avut loc schimbarea. Dovezile pot fi colectate cu ajutorul indicatorului de rezultat suplimentar: „scăderea lungimii medii a rutei rețelei și a diversității rețelei”. Acesta poate fi măsurat prin analiza rețelelor sociale care trebuie efectuată de evaluator la momentul evaluării.</w:t>
      </w:r>
      <w:r>
        <w:rPr>
          <w:b/>
          <w:i/>
          <w:color w:val="BE4A35"/>
          <w:szCs w:val="20"/>
        </w:rPr>
        <w:t xml:space="preserve"> </w:t>
      </w:r>
      <w:r>
        <w:rPr>
          <w:b/>
          <w:bCs/>
          <w:i/>
          <w:color w:val="BE4A35"/>
        </w:rPr>
        <w:t>Analiza rețelelor sociale</w:t>
      </w:r>
      <w:r>
        <w:rPr>
          <w:rFonts w:eastAsia="Calibri" w:cs="Times New Roman"/>
          <w:szCs w:val="20"/>
          <w:vertAlign w:val="superscript"/>
        </w:rPr>
        <w:footnoteReference w:id="77"/>
      </w:r>
      <w:r>
        <w:t xml:space="preserve"> este metoda care trebuie utilizată pentru a colecta dovezi pentru indicatorii aferenți în două momente de timp, calculând modificările lungimii medii a rutei rețelei și numărul diferitelor tipuri de actori implicați. Ulterior, schimbările trebuie să fie legate de intervenția PDR prin intermediul </w:t>
      </w:r>
      <w:r>
        <w:rPr>
          <w:b/>
          <w:bCs/>
        </w:rPr>
        <w:t>interviurilor</w:t>
      </w:r>
      <w:r>
        <w:t xml:space="preserve"> informatorilor-cheie cu persoane informate, dar independente, care pot verifica sau respinge afirmațiile cauzale. În mod ideal, valoarea de referință ar fi fost stabilită ca parte a estimării potențialului de inovare la începutul PDR.</w:t>
      </w:r>
    </w:p>
    <w:p w:rsidR="00A45935" w:rsidRPr="00E34FAC" w:rsidRDefault="00A45935" w:rsidP="00A847F8">
      <w:pPr>
        <w:pStyle w:val="Hlistbullet2"/>
      </w:pPr>
      <w:r>
        <w:rPr>
          <w:b/>
          <w:bCs/>
        </w:rPr>
        <w:t xml:space="preserve">Modalitatea </w:t>
      </w:r>
      <w:r w:rsidRPr="00FA63BD">
        <w:rPr>
          <w:b/>
          <w:bCs/>
        </w:rPr>
        <w:t>3</w:t>
      </w:r>
      <w:r>
        <w:t xml:space="preserve"> cuprinde mai multe criterii de apreciere legate de diferite tipuri de medii favorizante, astfel cum sunt descrise în capitolul </w:t>
      </w:r>
      <w:r w:rsidRPr="00FA63BD">
        <w:t>1</w:t>
      </w:r>
      <w:r>
        <w:t>.</w:t>
      </w:r>
      <w:r w:rsidRPr="00FA63BD">
        <w:t>1</w:t>
      </w:r>
      <w:r>
        <w:t>:</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Primul se referă la măsura în care PDR a contribuit cu informații la politicile care au susținut schimbarea la care a contribuit PDR. Acest criteriu necesită identificarea politicilor pe care PDR poate susține că le-a influențat, urmată de un proces de evidențiere pentru a se stabili legitimitatea acestor afirmații. Dovezile pot fi colectate cu ajutorul indicatorului de rezultat suplimentar „numărul și tipul politicilor pe care le-a influențat PDR la nivelul organizațiilor participante și al mediului favorizant mai amplu” în timpul evaluării. Colectarea realizărilor</w:t>
      </w:r>
      <w:r>
        <w:rPr>
          <w:rFonts w:eastAsia="Times New Roman" w:cs="Arial"/>
          <w:szCs w:val="20"/>
          <w:vertAlign w:val="superscript"/>
          <w:lang w:eastAsia="de-DE"/>
        </w:rPr>
        <w:footnoteReference w:id="78"/>
      </w:r>
      <w:r>
        <w:t xml:space="preserve"> este o abordare adecvată pentru evaluarea angajamentului de politică al PDR.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Al doilea criteriu de apreciere se referă la oportunitățile de formare profesională și de realizare a schimbului de practici inovatoare, astfel cum sunt sprijinite de PDR. Indicatorul de rezultat suplimentar propus pentru colectarea dovezilor este „numărul cursurilor de formare profesională și al evenimentelor organizate în vederea schimbului de practici inovatoare și ponderea acestora în numărul total al cursurilor de formare profesională/evenimentelor sprijinite de PDR”. Datele pentru indicator pot fi colectate prin intermediul bazei de date a operațiunilor, după stabilirea legăturii dintre informațiile referitoare la activitățile de formare profesională și la evenimente și inovare.</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Al treilea criteriu de apreciere este legat de favorizarea interacțiunilor în rândul actorilor din domeniul inovării. Pentru a se măsura succesul legat de acest criteriu de apreciere, se recomandă utilizarea indicatorului de rezultat suplimentar: „numărul evenimentelor organizate care s-au concentrat asupra stabilirii de contacte între actorii din domeniul inovării sprijiniți de PDR”. Datele pentru acest indicator pot fi colectate prin intermediul bazei de date a operațiunilor (de exemplu, prin adăugarea </w:t>
      </w:r>
      <w:r>
        <w:lastRenderedPageBreak/>
        <w:t xml:space="preserve">la monitorizarea evenimentelor a informațiilor privind actorii din domeniul inovării sprijiniți de PDR). </w:t>
      </w:r>
    </w:p>
    <w:p w:rsidR="001275FF" w:rsidRDefault="00A45935" w:rsidP="00A847F8">
      <w:pPr>
        <w:numPr>
          <w:ilvl w:val="0"/>
          <w:numId w:val="48"/>
        </w:numPr>
        <w:spacing w:before="60" w:after="120" w:line="280" w:lineRule="atLeast"/>
        <w:ind w:left="1701" w:hanging="567"/>
        <w:rPr>
          <w:rFonts w:eastAsia="Calibri" w:cs="Arial"/>
          <w:szCs w:val="20"/>
        </w:rPr>
      </w:pPr>
      <w:r>
        <w:t xml:space="preserve">Cel de al patrulea criteriu de apreciere ia în considerare PDR drept creator al unui mediu favorizant pentru introducerea de noi tehnologii. Acesta poate fi măsurat cu ajutorul indicatorului de rezultat suplimentar „numărul noilor tehnologii în zonele rurale sprijinite de PDR, clasificate în funcție de tipuri”. Informațiile necesare pentru acest indicator pot fi colectate din baza de date a operațiunilor, dacă sunt adaptate în consecință. </w:t>
      </w:r>
    </w:p>
    <w:p w:rsidR="00A45935" w:rsidRPr="000E1023" w:rsidRDefault="00A847F8" w:rsidP="00A847F8">
      <w:pPr>
        <w:pStyle w:val="Hlistbullet"/>
        <w:rPr>
          <w:color w:val="FFFFFF" w:themeColor="background1"/>
        </w:rPr>
      </w:pPr>
      <w:r>
        <w:rPr>
          <w:b/>
          <w:noProof/>
          <w:highlight w:val="yellow"/>
          <w:lang w:val="en-GB" w:eastAsia="en-GB"/>
        </w:rPr>
        <mc:AlternateContent>
          <mc:Choice Requires="wps">
            <w:drawing>
              <wp:anchor distT="0" distB="0" distL="114300" distR="114300" simplePos="0" relativeHeight="251693056" behindDoc="0" locked="0" layoutInCell="1" allowOverlap="1" wp14:anchorId="4D373832" wp14:editId="5A73B339">
                <wp:simplePos x="0" y="0"/>
                <wp:positionH relativeFrom="column">
                  <wp:posOffset>40640</wp:posOffset>
                </wp:positionH>
                <wp:positionV relativeFrom="paragraph">
                  <wp:posOffset>1896745</wp:posOffset>
                </wp:positionV>
                <wp:extent cx="5670550" cy="2631440"/>
                <wp:effectExtent l="0" t="0" r="25400" b="1651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631440"/>
                        </a:xfrm>
                        <a:prstGeom prst="round2DiagRect">
                          <a:avLst>
                            <a:gd name="adj1" fmla="val 7843"/>
                            <a:gd name="adj2" fmla="val 0"/>
                          </a:avLst>
                        </a:prstGeom>
                        <a:noFill/>
                        <a:ln w="25400" cap="flat" cmpd="sng" algn="ctr">
                          <a:solidFill>
                            <a:srgbClr val="BE4A35"/>
                          </a:solidFill>
                          <a:prstDash val="solid"/>
                        </a:ln>
                        <a:effectLst/>
                      </wps:spPr>
                      <wps:txbx>
                        <w:txbxContent>
                          <w:p w:rsidR="008A60B4" w:rsidRPr="00EF653F" w:rsidRDefault="008A60B4" w:rsidP="00E05D08">
                            <w:pPr>
                              <w:pStyle w:val="HStandard"/>
                              <w:rPr>
                                <w:rFonts w:cs="Arial"/>
                                <w:b/>
                                <w:sz w:val="18"/>
                                <w:szCs w:val="18"/>
                              </w:rPr>
                            </w:pPr>
                            <w:r>
                              <w:rPr>
                                <w:noProof/>
                                <w:lang w:val="en-GB" w:eastAsia="en-GB"/>
                              </w:rPr>
                              <w:drawing>
                                <wp:inline distT="0" distB="0" distL="0" distR="0" wp14:anchorId="293963DA" wp14:editId="19B85FF0">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Tehnici pentru elaborarea descrierii și evaluarea rezultatelor</w:t>
                            </w:r>
                          </w:p>
                          <w:p w:rsidR="008A60B4" w:rsidRPr="00EF653F" w:rsidRDefault="008A60B4" w:rsidP="00E05D08">
                            <w:pPr>
                              <w:pStyle w:val="HStandard"/>
                              <w:rPr>
                                <w:rFonts w:cs="Arial"/>
                                <w:sz w:val="18"/>
                                <w:szCs w:val="18"/>
                              </w:rPr>
                            </w:pPr>
                            <w:r>
                              <w:rPr>
                                <w:sz w:val="18"/>
                                <w:szCs w:val="18"/>
                              </w:rPr>
                              <w:t xml:space="preserve">În elaborarea descrierii, evaluatorul poate utiliza mai multe </w:t>
                            </w:r>
                            <w:r>
                              <w:rPr>
                                <w:b/>
                                <w:bCs/>
                                <w:sz w:val="18"/>
                                <w:szCs w:val="18"/>
                              </w:rPr>
                              <w:t>tehnici pentru a triangula și a fundamenta cazul</w:t>
                            </w:r>
                            <w:r>
                              <w:rPr>
                                <w:sz w:val="18"/>
                                <w:szCs w:val="18"/>
                              </w:rPr>
                              <w:t>.</w:t>
                            </w:r>
                            <w:r>
                              <w:rPr>
                                <w:b/>
                                <w:sz w:val="18"/>
                                <w:szCs w:val="18"/>
                              </w:rPr>
                              <w:t xml:space="preserve"> </w:t>
                            </w:r>
                            <w:r>
                              <w:rPr>
                                <w:sz w:val="18"/>
                                <w:szCs w:val="18"/>
                              </w:rPr>
                              <w:t>Aceste tehnici includ: analiza contribuției, în care evaluatorul identifică un pachet cauzal necesar și suficient pentru a explica schimbarea</w:t>
                            </w:r>
                            <w:r>
                              <w:rPr>
                                <w:sz w:val="18"/>
                                <w:szCs w:val="18"/>
                                <w:vertAlign w:val="superscript"/>
                              </w:rPr>
                              <w:t>82</w:t>
                            </w:r>
                            <w:r>
                              <w:rPr>
                                <w:sz w:val="18"/>
                                <w:szCs w:val="18"/>
                              </w:rPr>
                              <w:t>; stabilirea și respingerea explicațiilor cauzale alternative</w:t>
                            </w:r>
                            <w:r>
                              <w:rPr>
                                <w:sz w:val="18"/>
                                <w:szCs w:val="18"/>
                                <w:vertAlign w:val="superscript"/>
                              </w:rPr>
                              <w:t>83</w:t>
                            </w:r>
                            <w:r>
                              <w:rPr>
                                <w:sz w:val="18"/>
                                <w:szCs w:val="18"/>
                              </w:rPr>
                              <w:t xml:space="preserve"> și/sau identificarea și fundamentarea părților esențiale ale lanțului de dovezi asamblat pentru a demonstra contribuția PDR</w:t>
                            </w:r>
                            <w:r>
                              <w:rPr>
                                <w:sz w:val="18"/>
                                <w:szCs w:val="18"/>
                                <w:vertAlign w:val="superscript"/>
                              </w:rPr>
                              <w:t>84</w:t>
                            </w:r>
                            <w:r>
                              <w:rPr>
                                <w:sz w:val="18"/>
                                <w:szCs w:val="18"/>
                              </w:rPr>
                              <w:t>.</w:t>
                            </w:r>
                          </w:p>
                          <w:p w:rsidR="008A60B4" w:rsidRPr="000E5745" w:rsidRDefault="008A60B4" w:rsidP="00E05D08">
                            <w:pPr>
                              <w:pStyle w:val="HStandard"/>
                            </w:pPr>
                            <w:r>
                              <w:rPr>
                                <w:sz w:val="18"/>
                                <w:szCs w:val="18"/>
                              </w:rPr>
                              <w:t>Nivelul contribuției PDR ar trebui să fie apreciat pe o scară Likert</w:t>
                            </w:r>
                            <w:r>
                              <w:rPr>
                                <w:sz w:val="18"/>
                                <w:szCs w:val="18"/>
                                <w:vertAlign w:val="superscript"/>
                              </w:rPr>
                              <w:t>85</w:t>
                            </w:r>
                            <w:r>
                              <w:rPr>
                                <w:sz w:val="18"/>
                                <w:szCs w:val="18"/>
                              </w:rPr>
                              <w:t xml:space="preserve"> cu evaluări precum: nicio contribuție, contribuție scăzută, contribuție parțială, factor major de contribuție și singurul factor contributiv. Evaluatorul ar trebui, de asemenea, să evalueze nivelul de încredere pe care îl are în constatări pe o scară de cinci puncte similară. Punctajele acordate vor trebui să fie justificate.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3832" id="Rectangle: Diagonal Corners Rounded 566" o:spid="_x0000_s1058" style="position:absolute;left:0;text-align:left;margin-left:3.2pt;margin-top:149.35pt;width:446.5pt;height:20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63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" adj="-11796480,,5400" path="m206384,l5670550,r,l5670550,2425056v,113983,-92401,206384,-206384,206384l,2631440r,l,206384c,92401,92401,,206384,xe" filled="f" strokecolor="#be4a35" strokeweight="2pt">
                <v:stroke joinstyle="miter"/>
                <v:formulas/>
                <v:path arrowok="t" o:connecttype="custom" o:connectlocs="206384,0;5670550,0;5670550,0;5670550,2425056;5464166,2631440;0,2631440;0,2631440;0,206384;206384,0" o:connectangles="0,0,0,0,0,0,0,0,0" textboxrect="0,0,5670550,2631440"/>
                <v:textbox>
                  <w:txbxContent>
                    <w:p w:rsidR="008A60B4" w:rsidRPr="00EF653F" w:rsidRDefault="008A60B4" w:rsidP="00E05D08">
                      <w:pPr>
                        <w:pStyle w:val="HStandard"/>
                        <w:rPr>
                          <w:rFonts w:cs="Arial"/>
                          <w:b/>
                          <w:sz w:val="18"/>
                          <w:szCs w:val="18"/>
                        </w:rPr>
                      </w:pPr>
                      <w:r>
                        <w:rPr>
                          <w:noProof/>
                          <w:lang w:val="en-GB" w:eastAsia="en-GB"/>
                        </w:rPr>
                        <w:drawing>
                          <wp:inline distT="0" distB="0" distL="0" distR="0" wp14:anchorId="293963DA" wp14:editId="19B85FF0">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Tehnici pentru elaborarea descrierii și evaluarea rezultatelor</w:t>
                      </w:r>
                    </w:p>
                    <w:p w:rsidR="008A60B4" w:rsidRPr="00EF653F" w:rsidRDefault="008A60B4" w:rsidP="00E05D08">
                      <w:pPr>
                        <w:pStyle w:val="HStandard"/>
                        <w:rPr>
                          <w:rFonts w:cs="Arial"/>
                          <w:sz w:val="18"/>
                          <w:szCs w:val="18"/>
                        </w:rPr>
                      </w:pPr>
                      <w:r>
                        <w:rPr>
                          <w:sz w:val="18"/>
                          <w:szCs w:val="18"/>
                        </w:rPr>
                        <w:t xml:space="preserve">În elaborarea descrierii, evaluatorul poate utiliza mai multe </w:t>
                      </w:r>
                      <w:r>
                        <w:rPr>
                          <w:b/>
                          <w:bCs/>
                          <w:sz w:val="18"/>
                          <w:szCs w:val="18"/>
                        </w:rPr>
                        <w:t>tehnici pentru a triangula și a fundamenta cazul</w:t>
                      </w:r>
                      <w:r>
                        <w:rPr>
                          <w:sz w:val="18"/>
                          <w:szCs w:val="18"/>
                        </w:rPr>
                        <w:t>.</w:t>
                      </w:r>
                      <w:r>
                        <w:rPr>
                          <w:b/>
                          <w:sz w:val="18"/>
                          <w:szCs w:val="18"/>
                        </w:rPr>
                        <w:t xml:space="preserve"> </w:t>
                      </w:r>
                      <w:r>
                        <w:rPr>
                          <w:sz w:val="18"/>
                          <w:szCs w:val="18"/>
                        </w:rPr>
                        <w:t>Aceste tehnici includ: analiza contribuției, în care evaluatorul identifică un pachet cauzal necesar și suficient pentru a explica schimbarea</w:t>
                      </w:r>
                      <w:r>
                        <w:rPr>
                          <w:sz w:val="18"/>
                          <w:szCs w:val="18"/>
                          <w:vertAlign w:val="superscript"/>
                        </w:rPr>
                        <w:t>82</w:t>
                      </w:r>
                      <w:r>
                        <w:rPr>
                          <w:sz w:val="18"/>
                          <w:szCs w:val="18"/>
                        </w:rPr>
                        <w:t>; stabilirea și respingerea explicațiilor cauzale alternative</w:t>
                      </w:r>
                      <w:r>
                        <w:rPr>
                          <w:sz w:val="18"/>
                          <w:szCs w:val="18"/>
                          <w:vertAlign w:val="superscript"/>
                        </w:rPr>
                        <w:t>83</w:t>
                      </w:r>
                      <w:r>
                        <w:rPr>
                          <w:sz w:val="18"/>
                          <w:szCs w:val="18"/>
                        </w:rPr>
                        <w:t xml:space="preserve"> și/sau identificarea și fundamentarea părților esențiale ale lanțului de dovezi asamblat pentru a demonstra contribuția PDR</w:t>
                      </w:r>
                      <w:r>
                        <w:rPr>
                          <w:sz w:val="18"/>
                          <w:szCs w:val="18"/>
                          <w:vertAlign w:val="superscript"/>
                        </w:rPr>
                        <w:t>84</w:t>
                      </w:r>
                      <w:r>
                        <w:rPr>
                          <w:sz w:val="18"/>
                          <w:szCs w:val="18"/>
                        </w:rPr>
                        <w:t>.</w:t>
                      </w:r>
                    </w:p>
                    <w:p w:rsidR="008A60B4" w:rsidRPr="000E5745" w:rsidRDefault="008A60B4" w:rsidP="00E05D08">
                      <w:pPr>
                        <w:pStyle w:val="HStandard"/>
                      </w:pPr>
                      <w:r>
                        <w:rPr>
                          <w:sz w:val="18"/>
                          <w:szCs w:val="18"/>
                        </w:rPr>
                        <w:t>Nivelul contribuției PDR ar trebui să fie apreciat pe o scară Likert</w:t>
                      </w:r>
                      <w:r>
                        <w:rPr>
                          <w:sz w:val="18"/>
                          <w:szCs w:val="18"/>
                          <w:vertAlign w:val="superscript"/>
                        </w:rPr>
                        <w:t>85</w:t>
                      </w:r>
                      <w:r>
                        <w:rPr>
                          <w:sz w:val="18"/>
                          <w:szCs w:val="18"/>
                        </w:rPr>
                        <w:t xml:space="preserve"> cu evaluări precum: nicio contribuție, contribuție scăzută, contribuție parțială, factor major de contribuție și singurul factor contributiv. Evaluatorul ar trebui, de asemenea, să evalueze nivelul de încredere pe care îl are în constatări pe o scară de cinci puncte similară. Punctajele acordate vor trebui să fie justificate.</w:t>
                      </w:r>
                    </w:p>
                  </w:txbxContent>
                </v:textbox>
                <w10:wrap type="square"/>
              </v:shape>
            </w:pict>
          </mc:Fallback>
        </mc:AlternateContent>
      </w:r>
      <w:r>
        <w:rPr>
          <w:b/>
          <w:bCs/>
        </w:rPr>
        <w:t xml:space="preserve">ETAPA </w:t>
      </w:r>
      <w:r w:rsidRPr="00FA63BD">
        <w:rPr>
          <w:b/>
          <w:bCs/>
        </w:rPr>
        <w:t>3</w:t>
      </w:r>
      <w:r>
        <w:rPr>
          <w:b/>
          <w:bCs/>
        </w:rPr>
        <w:t xml:space="preserve"> - Realizați o cronologie cauzală și o descriere</w:t>
      </w:r>
      <w:r>
        <w:t xml:space="preserve"> a modului în care au apărut schimbările identificate în etapa </w:t>
      </w:r>
      <w:r w:rsidRPr="00FA63BD">
        <w:t>1</w:t>
      </w:r>
      <w:r>
        <w:t xml:space="preserve">. Descrierea va presupune a priori că schimbarea (schimbările) a(u) apărut prin una sau mai multe dintre cele trei modalități și prin interacțiunile lor (a se vedea </w:t>
      </w:r>
      <w:hyperlink w:anchor="Pathways" w:history="1">
        <w:r>
          <w:rPr>
            <w:rStyle w:val="Hyperlink"/>
            <w:sz w:val="20"/>
          </w:rPr>
          <w:t xml:space="preserve">figura </w:t>
        </w:r>
        <w:r w:rsidRPr="00FA63BD">
          <w:rPr>
            <w:rStyle w:val="Hyperlink"/>
            <w:sz w:val="20"/>
          </w:rPr>
          <w:t>1</w:t>
        </w:r>
      </w:hyperlink>
      <w:r>
        <w:t>). Cronologia și descrierea ar trebui să includă toate evenimentele și procesele cheie care au dus la schimbare, nu doar cele care au rezultat din activitatea PDR. Această abordare este construită pe o metodologie a studiului de caz</w:t>
      </w:r>
      <w:r>
        <w:rPr>
          <w:rFonts w:cs="Arial"/>
          <w:vertAlign w:val="superscript"/>
        </w:rPr>
        <w:footnoteReference w:id="79"/>
      </w:r>
      <w:r>
        <w:t>. Metodele specifice care pot fi utilizate sunt urmărirea procesului (stabilirea unei modalități teoretice pornind de la rezultat către cauzele sale prin luarea în considerare a mai multor alternative)</w:t>
      </w:r>
      <w:r>
        <w:rPr>
          <w:rFonts w:cs="Arial"/>
          <w:vertAlign w:val="superscript"/>
        </w:rPr>
        <w:footnoteReference w:id="80"/>
      </w:r>
      <w:r>
        <w:t xml:space="preserve"> și crearea unui istoric al inovării (metodă de înregistrare și de reflecție asupra unui proces de inovare)</w:t>
      </w:r>
      <w:r>
        <w:rPr>
          <w:rFonts w:cs="Arial"/>
          <w:vertAlign w:val="superscript"/>
        </w:rPr>
        <w:footnoteReference w:id="81"/>
      </w:r>
      <w:r>
        <w:t>. Datele vor proveni din etapele anterioare, de la revizuirea documentației PDR și/sau din interviurile informatorilor-cheie cu personalul și părțile interesate din cadrul programului</w:t>
      </w:r>
      <w:r>
        <w:rPr>
          <w:rStyle w:val="FootnoteReference"/>
          <w:color w:val="FFFFFF" w:themeColor="background1"/>
        </w:rPr>
        <w:footnoteReference w:id="82"/>
      </w:r>
      <w:r>
        <w:rPr>
          <w:rStyle w:val="FootnoteReference"/>
          <w:color w:val="FFFFFF" w:themeColor="background1"/>
        </w:rPr>
        <w:footnoteReference w:id="83"/>
      </w:r>
      <w:r>
        <w:rPr>
          <w:rStyle w:val="FootnoteReference"/>
          <w:color w:val="FFFFFF" w:themeColor="background1"/>
        </w:rPr>
        <w:footnoteReference w:id="84"/>
      </w:r>
      <w:r>
        <w:t>.</w:t>
      </w:r>
      <w:r>
        <w:rPr>
          <w:rStyle w:val="FootnoteReference"/>
          <w:color w:val="FFFFFF" w:themeColor="background1"/>
        </w:rPr>
        <w:footnoteReference w:id="85"/>
      </w:r>
    </w:p>
    <w:p w:rsidR="00E05D08" w:rsidRPr="00E30E27" w:rsidRDefault="00E05D08" w:rsidP="00F31494">
      <w:pPr>
        <w:pStyle w:val="Hlistbullet"/>
        <w:spacing w:before="240"/>
      </w:pPr>
      <w:r>
        <w:rPr>
          <w:b/>
        </w:rPr>
        <w:t xml:space="preserve">ETAPA </w:t>
      </w:r>
      <w:r w:rsidRPr="00FA63BD">
        <w:rPr>
          <w:b/>
        </w:rPr>
        <w:t>4</w:t>
      </w:r>
      <w:r>
        <w:rPr>
          <w:b/>
        </w:rPr>
        <w:t xml:space="preserve"> - Comparați potențialul de inovare identificat înainte de evaluare cu contribuția realizată de PDR.</w:t>
      </w:r>
      <w:r>
        <w:t xml:space="preserve"> Ipoteza noastră de lucru este că vor exista diferențe care vor sprijini </w:t>
      </w:r>
      <w:r>
        <w:lastRenderedPageBreak/>
        <w:t>persoanele implicate să înțeleagă mai bine inovarea ca un proces emergent și imprevizibil care, cu toate acestea, poate fi stimulat dacă mecanismele de învățare și gestionare adaptabilă sunt puse în aplicare în cadrul PDR.</w:t>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Riscuri și soluții</w:t>
      </w:r>
      <w:r>
        <w:t xml:space="preserve"> </w:t>
      </w:r>
    </w:p>
    <w:p w:rsidR="00E05D08" w:rsidRPr="00AB6603" w:rsidRDefault="00AB6603" w:rsidP="00A847F8">
      <w:pPr>
        <w:spacing w:before="120" w:after="120" w:line="280" w:lineRule="atLeast"/>
        <w:mirrorIndents/>
        <w:rPr>
          <w:rFonts w:eastAsia="Times New Roman" w:cs="Times New Roman"/>
          <w:b/>
          <w:szCs w:val="20"/>
        </w:rPr>
      </w:pPr>
      <w:r>
        <w:t>Principalul risc este ca evaluarea studiului de caz descrisă mai sus să nu fie efectuată la un standard suficient de ridicat pentru a fi convingătoare în concluziile sale.</w:t>
      </w:r>
    </w:p>
    <w:p w:rsidR="00E05D08" w:rsidRDefault="00E05D08" w:rsidP="00E05D08">
      <w:pPr>
        <w:spacing w:after="120" w:line="280" w:lineRule="atLeast"/>
        <w:mirrorIndents/>
        <w:rPr>
          <w:rFonts w:eastAsia="Times New Roman" w:cs="Arial"/>
          <w:szCs w:val="20"/>
        </w:rPr>
      </w:pPr>
      <w:r>
        <w:t xml:space="preserve">În același timp, dacă nu se utilizează o abordare bazată pe studiul de caz, riscul este de a se evalua IEC nr. </w:t>
      </w:r>
      <w:r w:rsidRPr="00FA63BD">
        <w:t>30</w:t>
      </w:r>
      <w:r>
        <w:t xml:space="preserve"> numai în raport cu criteriile și indicatorii de apreciere care nu vor permite o evaluare a amplorii contribuțiilor PDR și nici nu-i vor ajuta pe cei implicați să învețe cum se produce schimbarea în sistemele complexe.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Concluzii și recomandări</w:t>
      </w:r>
    </w:p>
    <w:p w:rsidR="00E05D08" w:rsidRPr="00E05D08" w:rsidRDefault="00E05D08" w:rsidP="00E05D08">
      <w:pPr>
        <w:spacing w:after="120" w:line="280" w:lineRule="atLeast"/>
        <w:mirrorIndents/>
        <w:rPr>
          <w:rFonts w:eastAsia="Times New Roman" w:cs="Arial"/>
          <w:szCs w:val="20"/>
        </w:rPr>
      </w:pPr>
      <w:r>
        <w:t xml:space="preserve">Concluziile și recomandările legate de IEC nr. </w:t>
      </w:r>
      <w:r w:rsidRPr="00FA63BD">
        <w:t>30</w:t>
      </w:r>
      <w:r>
        <w:t xml:space="preserve"> ar trebui să ia în considerare următoarele:</w:t>
      </w:r>
    </w:p>
    <w:p w:rsidR="00E05D08" w:rsidRPr="00812586" w:rsidRDefault="00E05D08" w:rsidP="00320AA0">
      <w:pPr>
        <w:pStyle w:val="Hlistbullet"/>
      </w:pPr>
      <w:r>
        <w:t xml:space="preserve">măsurile specifice (și combinarea acestora) care au fost cele mai eficiente și eficace pentru încurajarea inovării în zonele rurale prin PDR. </w:t>
      </w:r>
    </w:p>
    <w:p w:rsidR="00E05D08" w:rsidRPr="00812586" w:rsidRDefault="00E05D08" w:rsidP="00320AA0">
      <w:pPr>
        <w:pStyle w:val="Hlistbullet"/>
      </w:pPr>
      <w:r>
        <w:t xml:space="preserve">modalitățile prin care PDR a promovat inovațiile ca fiind legate de cele trei modalități. </w:t>
      </w:r>
    </w:p>
    <w:p w:rsidR="00E05D08" w:rsidRPr="00812586" w:rsidRDefault="00E05D08" w:rsidP="00320AA0">
      <w:pPr>
        <w:pStyle w:val="Hlistbullet"/>
      </w:pPr>
      <w:r>
        <w:t xml:space="preserve">obiectivele de politică la care a contribuit cel mai mult inovarea sprijinită. </w:t>
      </w:r>
    </w:p>
    <w:p w:rsidR="000E0FE4" w:rsidRDefault="00E05D08" w:rsidP="00320AA0">
      <w:pPr>
        <w:pStyle w:val="Hlistbullet"/>
      </w:pPr>
      <w:r>
        <w:t xml:space="preserve">părțile interesate și beneficiarii din cadrul PDR care au fost cei mai eficace factori pentru inovare. </w:t>
      </w:r>
      <w:r>
        <w:br w:type="page"/>
      </w:r>
    </w:p>
    <w:p w:rsidR="000E0FE4" w:rsidRDefault="000E0FE4" w:rsidP="000E0FE4">
      <w:pPr>
        <w:ind w:left="720"/>
        <w:mirrorIndents/>
        <w:rPr>
          <w:szCs w:val="20"/>
        </w:rPr>
        <w:sectPr w:rsidR="000E0FE4" w:rsidSect="001F6F07">
          <w:headerReference w:type="first" r:id="rId103"/>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95104" behindDoc="0" locked="0" layoutInCell="1" allowOverlap="1" wp14:anchorId="655748CB" wp14:editId="6090717B">
                <wp:simplePos x="0" y="0"/>
                <wp:positionH relativeFrom="column">
                  <wp:posOffset>-51758</wp:posOffset>
                </wp:positionH>
                <wp:positionV relativeFrom="paragraph">
                  <wp:posOffset>327803</wp:posOffset>
                </wp:positionV>
                <wp:extent cx="5811864" cy="5348377"/>
                <wp:effectExtent l="0" t="0" r="17780" b="24130"/>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5348377"/>
                        </a:xfrm>
                        <a:prstGeom prst="round2DiagRect">
                          <a:avLst>
                            <a:gd name="adj1" fmla="val 6996"/>
                            <a:gd name="adj2" fmla="val 0"/>
                          </a:avLst>
                        </a:prstGeom>
                        <a:noFill/>
                        <a:ln w="25400" cap="flat" cmpd="sng" algn="ctr">
                          <a:solidFill>
                            <a:srgbClr val="59638E"/>
                          </a:solidFill>
                          <a:prstDash val="solid"/>
                        </a:ln>
                        <a:effectLst/>
                      </wps:spPr>
                      <wps:txbx>
                        <w:txbxContent>
                          <w:p w:rsidR="008A60B4" w:rsidRDefault="008A60B4" w:rsidP="00BA450C">
                            <w:pPr>
                              <w:pStyle w:val="HStandard"/>
                              <w:rPr>
                                <w:sz w:val="18"/>
                                <w:szCs w:val="18"/>
                              </w:rPr>
                            </w:pPr>
                            <w:r>
                              <w:rPr>
                                <w:noProof/>
                                <w:lang w:val="en-GB" w:eastAsia="en-GB"/>
                              </w:rPr>
                              <w:drawing>
                                <wp:inline distT="0" distB="0" distL="0" distR="0" wp14:anchorId="3D00F97F" wp14:editId="69705FF7">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A60B4" w:rsidRPr="00BA450C" w:rsidRDefault="008A60B4" w:rsidP="00BA450C">
                            <w:pPr>
                              <w:pStyle w:val="HStandard"/>
                              <w:rPr>
                                <w:sz w:val="18"/>
                                <w:szCs w:val="18"/>
                              </w:rPr>
                            </w:pPr>
                            <w:r>
                              <w:rPr>
                                <w:sz w:val="18"/>
                                <w:szCs w:val="18"/>
                              </w:rPr>
                              <w:t xml:space="preserve">Allen, I.E. și Seaman, C.A. (2007). </w:t>
                            </w:r>
                            <w:hyperlink r:id="rId104" w:history="1">
                              <w:r>
                                <w:rPr>
                                  <w:rStyle w:val="Hyperlink"/>
                                  <w:sz w:val="18"/>
                                  <w:szCs w:val="18"/>
                                </w:rPr>
                                <w:t>Scala Likert și analizele datelor</w:t>
                              </w:r>
                            </w:hyperlink>
                            <w:r>
                              <w:rPr>
                                <w:sz w:val="18"/>
                                <w:szCs w:val="18"/>
                              </w:rPr>
                              <w:t>. (</w:t>
                            </w:r>
                            <w:hyperlink r:id="rId105" w:history="1">
                              <w:r>
                                <w:rPr>
                                  <w:rStyle w:val="Hyperlink"/>
                                  <w:sz w:val="18"/>
                                </w:rPr>
                                <w:t>Likert scales and data analyses</w:t>
                              </w:r>
                            </w:hyperlink>
                            <w:r>
                              <w:rPr>
                                <w:sz w:val="18"/>
                                <w:szCs w:val="18"/>
                              </w:rPr>
                              <w:t>) </w:t>
                            </w:r>
                            <w:r>
                              <w:rPr>
                                <w:i/>
                                <w:iCs/>
                                <w:sz w:val="18"/>
                                <w:szCs w:val="18"/>
                              </w:rPr>
                              <w:t>Quality progress</w:t>
                            </w:r>
                            <w:r>
                              <w:rPr>
                                <w:sz w:val="18"/>
                                <w:szCs w:val="18"/>
                              </w:rPr>
                              <w:t>, 40(7), p. 64.</w:t>
                            </w:r>
                          </w:p>
                          <w:p w:rsidR="008A60B4" w:rsidRPr="00BA450C" w:rsidRDefault="008A60B4" w:rsidP="00BA450C">
                            <w:pPr>
                              <w:pStyle w:val="HStandard"/>
                              <w:jc w:val="left"/>
                              <w:rPr>
                                <w:sz w:val="18"/>
                                <w:szCs w:val="18"/>
                              </w:rPr>
                            </w:pPr>
                            <w:r>
                              <w:rPr>
                                <w:sz w:val="18"/>
                                <w:szCs w:val="18"/>
                              </w:rPr>
                              <w:t xml:space="preserve">Collier, D., 2011. </w:t>
                            </w:r>
                            <w:r>
                              <w:t>„</w:t>
                            </w:r>
                            <w:hyperlink r:id="rId106" w:history="1">
                              <w:r>
                                <w:rPr>
                                  <w:rStyle w:val="Hyperlink"/>
                                  <w:sz w:val="18"/>
                                  <w:szCs w:val="18"/>
                                </w:rPr>
                                <w:t>Înțelegerea urmăririi procesului</w:t>
                              </w:r>
                              <w:r>
                                <w:t>”</w:t>
                              </w:r>
                              <w:r>
                                <w:rPr>
                                  <w:rStyle w:val="Hyperlink"/>
                                  <w:sz w:val="18"/>
                                  <w:szCs w:val="18"/>
                                </w:rPr>
                                <w:t>.</w:t>
                              </w:r>
                            </w:hyperlink>
                            <w:r>
                              <w:rPr>
                                <w:rStyle w:val="Hyperlink"/>
                                <w:sz w:val="18"/>
                                <w:szCs w:val="18"/>
                              </w:rPr>
                              <w:t xml:space="preserve"> (</w:t>
                            </w:r>
                            <w:hyperlink r:id="rId107" w:history="1">
                              <w:r w:rsidRPr="00D36431">
                                <w:rPr>
                                  <w:rStyle w:val="Hyperlink"/>
                                  <w:sz w:val="18"/>
                                </w:rPr>
                                <w:t>Understanding process tracing.</w:t>
                              </w:r>
                            </w:hyperlink>
                            <w:r>
                              <w:rPr>
                                <w:rStyle w:val="Hyperlink"/>
                                <w:sz w:val="18"/>
                                <w:szCs w:val="18"/>
                              </w:rPr>
                              <w:t>)</w:t>
                            </w:r>
                            <w:r>
                              <w:rPr>
                                <w:sz w:val="18"/>
                                <w:szCs w:val="18"/>
                              </w:rPr>
                              <w:t xml:space="preserve"> PS: </w:t>
                            </w:r>
                            <w:r>
                              <w:rPr>
                                <w:i/>
                                <w:iCs/>
                                <w:sz w:val="18"/>
                                <w:szCs w:val="18"/>
                              </w:rPr>
                              <w:t>Political Science &amp; Politics</w:t>
                            </w:r>
                            <w:r>
                              <w:rPr>
                                <w:sz w:val="18"/>
                                <w:szCs w:val="18"/>
                              </w:rPr>
                              <w:t> 44.04: 823-830.</w:t>
                            </w:r>
                          </w:p>
                          <w:p w:rsidR="008A60B4" w:rsidRPr="00BA450C" w:rsidRDefault="008A60B4" w:rsidP="00BA450C">
                            <w:pPr>
                              <w:pStyle w:val="HStandard"/>
                              <w:jc w:val="left"/>
                              <w:rPr>
                                <w:sz w:val="18"/>
                                <w:szCs w:val="18"/>
                              </w:rPr>
                            </w:pPr>
                            <w:r>
                              <w:rPr>
                                <w:sz w:val="18"/>
                                <w:szCs w:val="18"/>
                              </w:rPr>
                              <w:t>Douthwaite, B. și Ashby, J., 2005. Istoricul inovării: o metodă de învățare din experiențe. (</w:t>
                            </w:r>
                            <w:r w:rsidRPr="00BA450C">
                              <w:rPr>
                                <w:sz w:val="18"/>
                                <w:szCs w:val="18"/>
                              </w:rPr>
                              <w:t>Innovation histories: a method from learning from experience.</w:t>
                            </w:r>
                            <w:r>
                              <w:rPr>
                                <w:sz w:val="18"/>
                                <w:szCs w:val="18"/>
                              </w:rPr>
                              <w:t xml:space="preserve">) </w:t>
                            </w:r>
                            <w:r>
                              <w:rPr>
                                <w:i/>
                                <w:iCs/>
                                <w:sz w:val="18"/>
                                <w:szCs w:val="18"/>
                              </w:rPr>
                              <w:t>Institutional Learning and Change Initiative</w:t>
                            </w:r>
                            <w:r>
                              <w:rPr>
                                <w:sz w:val="18"/>
                                <w:szCs w:val="18"/>
                              </w:rPr>
                              <w:t xml:space="preserve">. Accesat la 15 mai la adresa: </w:t>
                            </w:r>
                            <w:hyperlink r:id="rId108" w:history="1">
                              <w:r>
                                <w:rPr>
                                  <w:rStyle w:val="Hyperlink"/>
                                  <w:sz w:val="18"/>
                                  <w:szCs w:val="18"/>
                                </w:rPr>
                                <w:t>http://ageconsearch.umn.edu/bitstream/52515/2/ILAC_Brief05_Histories.pdf</w:t>
                              </w:r>
                            </w:hyperlink>
                          </w:p>
                          <w:p w:rsidR="008A60B4" w:rsidRPr="00BA450C" w:rsidRDefault="008A60B4" w:rsidP="00BA450C">
                            <w:pPr>
                              <w:pStyle w:val="HStandard"/>
                              <w:jc w:val="left"/>
                              <w:rPr>
                                <w:sz w:val="18"/>
                                <w:szCs w:val="18"/>
                              </w:rPr>
                            </w:pPr>
                            <w:r>
                              <w:rPr>
                                <w:sz w:val="18"/>
                                <w:szCs w:val="18"/>
                              </w:rPr>
                              <w:t>GAO (</w:t>
                            </w:r>
                            <w:r>
                              <w:rPr>
                                <w:i/>
                                <w:iCs/>
                                <w:sz w:val="18"/>
                                <w:szCs w:val="18"/>
                              </w:rPr>
                              <w:t>General Accounts Office</w:t>
                            </w:r>
                            <w:r>
                              <w:rPr>
                                <w:sz w:val="18"/>
                                <w:szCs w:val="18"/>
                              </w:rPr>
                              <w:t xml:space="preserve"> - Biroul general de contabilitate) (1987) </w:t>
                            </w:r>
                            <w:hyperlink r:id="rId109" w:history="1">
                              <w:r>
                                <w:rPr>
                                  <w:rStyle w:val="Hyperlink"/>
                                  <w:sz w:val="18"/>
                                  <w:szCs w:val="18"/>
                                </w:rPr>
                                <w:t>Evaluarea studiului de caz.</w:t>
                              </w:r>
                            </w:hyperlink>
                            <w:hyperlink r:id="rId110" w:history="1">
                              <w:r>
                                <w:rPr>
                                  <w:rStyle w:val="Hyperlink"/>
                                  <w:sz w:val="18"/>
                                  <w:szCs w:val="18"/>
                                </w:rPr>
                                <w:t xml:space="preserve"> Evaluarea și metodologia programului</w:t>
                              </w:r>
                            </w:hyperlink>
                            <w:r>
                              <w:rPr>
                                <w:sz w:val="18"/>
                                <w:szCs w:val="18"/>
                              </w:rPr>
                              <w:t>.(</w:t>
                            </w:r>
                            <w:r w:rsidRPr="00464F58">
                              <w:t xml:space="preserve"> </w:t>
                            </w:r>
                            <w:hyperlink r:id="rId111" w:history="1">
                              <w:r w:rsidRPr="00BA450C">
                                <w:rPr>
                                  <w:rStyle w:val="Hyperlink"/>
                                  <w:sz w:val="18"/>
                                  <w:szCs w:val="18"/>
                                </w:rPr>
                                <w:t>Case study evaluation. Program Evaluation and Methodology</w:t>
                              </w:r>
                            </w:hyperlink>
                            <w:r>
                              <w:rPr>
                                <w:sz w:val="18"/>
                                <w:szCs w:val="18"/>
                              </w:rPr>
                              <w:t xml:space="preserve">) </w:t>
                            </w:r>
                            <w:r w:rsidRPr="00BA450C">
                              <w:rPr>
                                <w:sz w:val="18"/>
                                <w:szCs w:val="18"/>
                              </w:rPr>
                              <w:t>Division, Transfer Paper 9</w:t>
                            </w:r>
                            <w:r>
                              <w:rPr>
                                <w:sz w:val="18"/>
                                <w:szCs w:val="18"/>
                              </w:rPr>
                              <w:t>. Washington DC: GAO.</w:t>
                            </w:r>
                          </w:p>
                          <w:p w:rsidR="008A60B4" w:rsidRPr="00BA450C" w:rsidRDefault="008A60B4" w:rsidP="00BA450C">
                            <w:pPr>
                              <w:pStyle w:val="HStandard"/>
                              <w:jc w:val="left"/>
                              <w:rPr>
                                <w:sz w:val="18"/>
                                <w:szCs w:val="18"/>
                              </w:rPr>
                            </w:pPr>
                            <w:r>
                              <w:rPr>
                                <w:sz w:val="18"/>
                                <w:szCs w:val="18"/>
                              </w:rPr>
                              <w:t xml:space="preserve">Hilton, D.J., 1996. </w:t>
                            </w:r>
                            <w:hyperlink r:id="rId112" w:history="1">
                              <w:r>
                                <w:rPr>
                                  <w:rStyle w:val="Hyperlink"/>
                                  <w:sz w:val="18"/>
                                  <w:szCs w:val="18"/>
                                </w:rPr>
                                <w:t>Modele mentale și explicația cauzală:</w:t>
                              </w:r>
                            </w:hyperlink>
                            <w:hyperlink r:id="rId113" w:history="1">
                              <w:r>
                                <w:rPr>
                                  <w:rStyle w:val="Hyperlink"/>
                                  <w:sz w:val="18"/>
                                  <w:szCs w:val="18"/>
                                </w:rPr>
                                <w:t xml:space="preserve"> Opinii privind cauza probabilă și relevanța explicativă</w:t>
                              </w:r>
                            </w:hyperlink>
                            <w:r>
                              <w:rPr>
                                <w:sz w:val="18"/>
                                <w:szCs w:val="18"/>
                              </w:rPr>
                              <w:t>. (</w:t>
                            </w:r>
                            <w:hyperlink r:id="rId114" w:history="1">
                              <w:r w:rsidRPr="00BA450C">
                                <w:rPr>
                                  <w:rStyle w:val="Hyperlink"/>
                                  <w:sz w:val="18"/>
                                  <w:szCs w:val="18"/>
                                </w:rPr>
                                <w:t>Mental mode</w:t>
                              </w:r>
                              <w:r>
                                <w:rPr>
                                  <w:rStyle w:val="Hyperlink"/>
                                  <w:sz w:val="18"/>
                                  <w:szCs w:val="18"/>
                                </w:rPr>
                                <w:t>ls and causal explanation: Judg</w:t>
                              </w:r>
                              <w:r w:rsidRPr="00BA450C">
                                <w:rPr>
                                  <w:rStyle w:val="Hyperlink"/>
                                  <w:sz w:val="18"/>
                                  <w:szCs w:val="18"/>
                                </w:rPr>
                                <w:t>ments of probable cause and explanatory relevance</w:t>
                              </w:r>
                            </w:hyperlink>
                            <w:r>
                              <w:rPr>
                                <w:sz w:val="18"/>
                                <w:szCs w:val="18"/>
                              </w:rPr>
                              <w:t>) </w:t>
                            </w:r>
                            <w:r>
                              <w:rPr>
                                <w:i/>
                                <w:iCs/>
                                <w:sz w:val="18"/>
                                <w:szCs w:val="18"/>
                              </w:rPr>
                              <w:t>Thinking &amp; Reasoning</w:t>
                            </w:r>
                            <w:r>
                              <w:rPr>
                                <w:sz w:val="18"/>
                                <w:szCs w:val="18"/>
                              </w:rPr>
                              <w:t>, 2(4), p. 273-308.</w:t>
                            </w:r>
                          </w:p>
                          <w:p w:rsidR="008A60B4" w:rsidRPr="00BA450C" w:rsidRDefault="008A60B4" w:rsidP="00BA450C">
                            <w:pPr>
                              <w:pStyle w:val="HStandard"/>
                              <w:jc w:val="left"/>
                              <w:rPr>
                                <w:sz w:val="18"/>
                                <w:szCs w:val="18"/>
                              </w:rPr>
                            </w:pPr>
                            <w:r>
                              <w:rPr>
                                <w:sz w:val="18"/>
                                <w:szCs w:val="18"/>
                              </w:rPr>
                              <w:t xml:space="preserve">Mayne, J., 2012. </w:t>
                            </w:r>
                            <w:hyperlink r:id="rId115" w:history="1">
                              <w:r>
                                <w:rPr>
                                  <w:rStyle w:val="Hyperlink"/>
                                  <w:sz w:val="18"/>
                                  <w:szCs w:val="18"/>
                                </w:rPr>
                                <w:t>Analiza contribuției:</w:t>
                              </w:r>
                            </w:hyperlink>
                            <w:hyperlink r:id="rId116" w:history="1">
                              <w:r>
                                <w:rPr>
                                  <w:rStyle w:val="Hyperlink"/>
                                  <w:sz w:val="18"/>
                                  <w:szCs w:val="18"/>
                                </w:rPr>
                                <w:t xml:space="preserve"> a ajuns la un stadiu de maturitate?</w:t>
                              </w:r>
                            </w:hyperlink>
                            <w:hyperlink r:id="rId117" w:history="1">
                              <w:r>
                                <w:rPr>
                                  <w:rStyle w:val="Hyperlink"/>
                                  <w:sz w:val="18"/>
                                  <w:szCs w:val="18"/>
                                </w:rPr>
                                <w:t> </w:t>
                              </w:r>
                            </w:hyperlink>
                            <w:r>
                              <w:rPr>
                                <w:rStyle w:val="Hyperlink"/>
                                <w:sz w:val="18"/>
                                <w:szCs w:val="18"/>
                              </w:rPr>
                              <w:t>(</w:t>
                            </w:r>
                            <w:r w:rsidRPr="00D36431">
                              <w:rPr>
                                <w:rStyle w:val="Hyperlink"/>
                                <w:sz w:val="18"/>
                                <w:szCs w:val="18"/>
                              </w:rPr>
                              <w:t>Contribution analysis: Coming of age?</w:t>
                            </w:r>
                            <w:r>
                              <w:rPr>
                                <w:rStyle w:val="Hyperlink"/>
                                <w:sz w:val="18"/>
                                <w:szCs w:val="18"/>
                              </w:rPr>
                              <w:t xml:space="preserve">) </w:t>
                            </w:r>
                            <w:r>
                              <w:rPr>
                                <w:i/>
                                <w:iCs/>
                                <w:sz w:val="18"/>
                                <w:szCs w:val="18"/>
                              </w:rPr>
                              <w:t>Evaluation</w:t>
                            </w:r>
                            <w:r>
                              <w:rPr>
                                <w:sz w:val="18"/>
                                <w:szCs w:val="18"/>
                              </w:rPr>
                              <w:t> 18.3 (2012): 270-280.</w:t>
                            </w:r>
                          </w:p>
                          <w:p w:rsidR="008A60B4" w:rsidRPr="00BA450C" w:rsidRDefault="008A60B4" w:rsidP="00BA450C">
                            <w:pPr>
                              <w:pStyle w:val="HStandard"/>
                              <w:jc w:val="left"/>
                              <w:rPr>
                                <w:sz w:val="18"/>
                                <w:szCs w:val="18"/>
                              </w:rPr>
                            </w:pPr>
                            <w:r>
                              <w:rPr>
                                <w:sz w:val="18"/>
                                <w:szCs w:val="18"/>
                              </w:rPr>
                              <w:t xml:space="preserve">Pawson, R., Greenhalgh, T., Harvey, G. și Walshe, K., 2005. </w:t>
                            </w:r>
                            <w:hyperlink r:id="rId118" w:history="1">
                              <w:r>
                                <w:rPr>
                                  <w:rStyle w:val="Hyperlink"/>
                                  <w:sz w:val="18"/>
                                  <w:szCs w:val="18"/>
                                </w:rPr>
                                <w:t>Revizuirea realistă – o nouă metodă de revizuire sistematică elaborată pentru intervențiile complexe la nivel de politică</w:t>
                              </w:r>
                            </w:hyperlink>
                            <w:r>
                              <w:rPr>
                                <w:rStyle w:val="Hyperlink"/>
                                <w:sz w:val="18"/>
                                <w:szCs w:val="18"/>
                              </w:rPr>
                              <w:t xml:space="preserve"> (</w:t>
                            </w:r>
                            <w:r w:rsidRPr="00D36431">
                              <w:rPr>
                                <w:rStyle w:val="Hyperlink"/>
                                <w:sz w:val="18"/>
                                <w:szCs w:val="18"/>
                              </w:rPr>
                              <w:t>Realist review–a new method of systematic review designed for complex policy interventions</w:t>
                            </w:r>
                            <w:r>
                              <w:rPr>
                                <w:rStyle w:val="Hyperlink"/>
                                <w:sz w:val="18"/>
                                <w:szCs w:val="18"/>
                              </w:rPr>
                              <w:t>)</w:t>
                            </w:r>
                            <w:r>
                              <w:rPr>
                                <w:sz w:val="18"/>
                                <w:szCs w:val="18"/>
                              </w:rPr>
                              <w:t> Journal of health services research &amp; policy, 10 (suppl 1), p. 21-34.</w:t>
                            </w:r>
                          </w:p>
                          <w:p w:rsidR="008A60B4" w:rsidRPr="00BA450C" w:rsidRDefault="008A60B4" w:rsidP="00BA450C">
                            <w:pPr>
                              <w:pStyle w:val="HStandard"/>
                              <w:jc w:val="left"/>
                              <w:rPr>
                                <w:sz w:val="18"/>
                                <w:szCs w:val="18"/>
                              </w:rPr>
                            </w:pPr>
                            <w:r>
                              <w:rPr>
                                <w:sz w:val="18"/>
                                <w:szCs w:val="18"/>
                              </w:rPr>
                              <w:t>Wilson-Grau, R. (2015) </w:t>
                            </w:r>
                            <w:r w:rsidRPr="00BA450C">
                              <w:rPr>
                                <w:i/>
                                <w:sz w:val="18"/>
                                <w:szCs w:val="18"/>
                              </w:rPr>
                              <w:t>Outcome Harvesting</w:t>
                            </w:r>
                            <w:r>
                              <w:rPr>
                                <w:sz w:val="18"/>
                                <w:szCs w:val="18"/>
                              </w:rPr>
                              <w:t>. Better Evaluation. Document disponibil la adresa </w:t>
                            </w:r>
                            <w:hyperlink r:id="rId119" w:history="1">
                              <w:r>
                                <w:rPr>
                                  <w:rStyle w:val="Hyperlink"/>
                                  <w:sz w:val="18"/>
                                  <w:szCs w:val="18"/>
                                </w:rPr>
                                <w:t>http://betterevaluation.org/plan/approach/outcome_harvesting</w:t>
                              </w:r>
                            </w:hyperlink>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748CB" id="Rectangle: Diagonal Corners Rounded 582" o:spid="_x0000_s1059" style="position:absolute;left:0;text-align:left;margin-left:-4.1pt;margin-top:25.8pt;width:457.65pt;height:42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53483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" adj="-11796480,,5400" path="m374172,l5811864,r,l5811864,4974205v,206649,-167523,374172,-374172,374172l,5348377r,l,374172c,167523,167523,,374172,xe" filled="f" strokecolor="#59638e" strokeweight="2pt">
                <v:stroke joinstyle="miter"/>
                <v:formulas/>
                <v:path arrowok="t" o:connecttype="custom" o:connectlocs="374172,0;5811864,0;5811864,0;5811864,4974205;5437692,5348377;0,5348377;0,5348377;0,374172;374172,0" o:connectangles="0,0,0,0,0,0,0,0,0" textboxrect="0,0,5811864,5348377"/>
                <v:textbox>
                  <w:txbxContent>
                    <w:p w:rsidR="008A60B4" w:rsidRDefault="008A60B4" w:rsidP="00BA450C">
                      <w:pPr>
                        <w:pStyle w:val="HStandard"/>
                        <w:rPr>
                          <w:sz w:val="18"/>
                          <w:szCs w:val="18"/>
                        </w:rPr>
                      </w:pPr>
                      <w:r>
                        <w:rPr>
                          <w:noProof/>
                          <w:lang w:val="en-GB" w:eastAsia="en-GB"/>
                        </w:rPr>
                        <w:drawing>
                          <wp:inline distT="0" distB="0" distL="0" distR="0" wp14:anchorId="3D00F97F" wp14:editId="69705FF7">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A60B4" w:rsidRPr="00BA450C" w:rsidRDefault="008A60B4" w:rsidP="00BA450C">
                      <w:pPr>
                        <w:pStyle w:val="HStandard"/>
                        <w:rPr>
                          <w:sz w:val="18"/>
                          <w:szCs w:val="18"/>
                        </w:rPr>
                      </w:pPr>
                      <w:r>
                        <w:rPr>
                          <w:sz w:val="18"/>
                          <w:szCs w:val="18"/>
                        </w:rPr>
                        <w:t xml:space="preserve">Allen, I.E. și Seaman, C.A. (2007). </w:t>
                      </w:r>
                      <w:hyperlink r:id="rId120" w:history="1">
                        <w:r>
                          <w:rPr>
                            <w:rStyle w:val="Hyperlink"/>
                            <w:sz w:val="18"/>
                            <w:szCs w:val="18"/>
                          </w:rPr>
                          <w:t>Scala Likert și analizele datelor</w:t>
                        </w:r>
                      </w:hyperlink>
                      <w:r>
                        <w:rPr>
                          <w:sz w:val="18"/>
                          <w:szCs w:val="18"/>
                        </w:rPr>
                        <w:t>. (</w:t>
                      </w:r>
                      <w:hyperlink r:id="rId121" w:history="1">
                        <w:r>
                          <w:rPr>
                            <w:rStyle w:val="Hyperlink"/>
                            <w:sz w:val="18"/>
                          </w:rPr>
                          <w:t>Likert scales and data analyses</w:t>
                        </w:r>
                      </w:hyperlink>
                      <w:r>
                        <w:rPr>
                          <w:sz w:val="18"/>
                          <w:szCs w:val="18"/>
                        </w:rPr>
                        <w:t>) </w:t>
                      </w:r>
                      <w:r>
                        <w:rPr>
                          <w:i/>
                          <w:iCs/>
                          <w:sz w:val="18"/>
                          <w:szCs w:val="18"/>
                        </w:rPr>
                        <w:t>Quality progress</w:t>
                      </w:r>
                      <w:r>
                        <w:rPr>
                          <w:sz w:val="18"/>
                          <w:szCs w:val="18"/>
                        </w:rPr>
                        <w:t>, 40(7), p. 64.</w:t>
                      </w:r>
                    </w:p>
                    <w:p w:rsidR="008A60B4" w:rsidRPr="00BA450C" w:rsidRDefault="008A60B4" w:rsidP="00BA450C">
                      <w:pPr>
                        <w:pStyle w:val="HStandard"/>
                        <w:jc w:val="left"/>
                        <w:rPr>
                          <w:sz w:val="18"/>
                          <w:szCs w:val="18"/>
                        </w:rPr>
                      </w:pPr>
                      <w:r>
                        <w:rPr>
                          <w:sz w:val="18"/>
                          <w:szCs w:val="18"/>
                        </w:rPr>
                        <w:t xml:space="preserve">Collier, D., 2011. </w:t>
                      </w:r>
                      <w:r>
                        <w:t>„</w:t>
                      </w:r>
                      <w:hyperlink r:id="rId122" w:history="1">
                        <w:r>
                          <w:rPr>
                            <w:rStyle w:val="Hyperlink"/>
                            <w:sz w:val="18"/>
                            <w:szCs w:val="18"/>
                          </w:rPr>
                          <w:t>Înțelegerea urmăririi procesului</w:t>
                        </w:r>
                        <w:r>
                          <w:t>”</w:t>
                        </w:r>
                        <w:r>
                          <w:rPr>
                            <w:rStyle w:val="Hyperlink"/>
                            <w:sz w:val="18"/>
                            <w:szCs w:val="18"/>
                          </w:rPr>
                          <w:t>.</w:t>
                        </w:r>
                      </w:hyperlink>
                      <w:r>
                        <w:rPr>
                          <w:rStyle w:val="Hyperlink"/>
                          <w:sz w:val="18"/>
                          <w:szCs w:val="18"/>
                        </w:rPr>
                        <w:t xml:space="preserve"> (</w:t>
                      </w:r>
                      <w:hyperlink r:id="rId123" w:history="1">
                        <w:r w:rsidRPr="00D36431">
                          <w:rPr>
                            <w:rStyle w:val="Hyperlink"/>
                            <w:sz w:val="18"/>
                          </w:rPr>
                          <w:t>Understanding process tracing.</w:t>
                        </w:r>
                      </w:hyperlink>
                      <w:r>
                        <w:rPr>
                          <w:rStyle w:val="Hyperlink"/>
                          <w:sz w:val="18"/>
                          <w:szCs w:val="18"/>
                        </w:rPr>
                        <w:t>)</w:t>
                      </w:r>
                      <w:r>
                        <w:rPr>
                          <w:sz w:val="18"/>
                          <w:szCs w:val="18"/>
                        </w:rPr>
                        <w:t xml:space="preserve"> PS: </w:t>
                      </w:r>
                      <w:r>
                        <w:rPr>
                          <w:i/>
                          <w:iCs/>
                          <w:sz w:val="18"/>
                          <w:szCs w:val="18"/>
                        </w:rPr>
                        <w:t>Political Science &amp; Politics</w:t>
                      </w:r>
                      <w:r>
                        <w:rPr>
                          <w:sz w:val="18"/>
                          <w:szCs w:val="18"/>
                        </w:rPr>
                        <w:t> 44.04: 823-830.</w:t>
                      </w:r>
                    </w:p>
                    <w:p w:rsidR="008A60B4" w:rsidRPr="00BA450C" w:rsidRDefault="008A60B4" w:rsidP="00BA450C">
                      <w:pPr>
                        <w:pStyle w:val="HStandard"/>
                        <w:jc w:val="left"/>
                        <w:rPr>
                          <w:sz w:val="18"/>
                          <w:szCs w:val="18"/>
                        </w:rPr>
                      </w:pPr>
                      <w:r>
                        <w:rPr>
                          <w:sz w:val="18"/>
                          <w:szCs w:val="18"/>
                        </w:rPr>
                        <w:t>Douthwaite, B. și Ashby, J., 2005. Istoricul inovării: o metodă de învățare din experiențe. (</w:t>
                      </w:r>
                      <w:r w:rsidRPr="00BA450C">
                        <w:rPr>
                          <w:sz w:val="18"/>
                          <w:szCs w:val="18"/>
                        </w:rPr>
                        <w:t>Innovation histories: a method from learning from experience.</w:t>
                      </w:r>
                      <w:r>
                        <w:rPr>
                          <w:sz w:val="18"/>
                          <w:szCs w:val="18"/>
                        </w:rPr>
                        <w:t xml:space="preserve">) </w:t>
                      </w:r>
                      <w:r>
                        <w:rPr>
                          <w:i/>
                          <w:iCs/>
                          <w:sz w:val="18"/>
                          <w:szCs w:val="18"/>
                        </w:rPr>
                        <w:t>Institutional Learning and Change Initiative</w:t>
                      </w:r>
                      <w:r>
                        <w:rPr>
                          <w:sz w:val="18"/>
                          <w:szCs w:val="18"/>
                        </w:rPr>
                        <w:t xml:space="preserve">. Accesat la 15 mai la adresa: </w:t>
                      </w:r>
                      <w:hyperlink r:id="rId124" w:history="1">
                        <w:r>
                          <w:rPr>
                            <w:rStyle w:val="Hyperlink"/>
                            <w:sz w:val="18"/>
                            <w:szCs w:val="18"/>
                          </w:rPr>
                          <w:t>http://ageconsearch.umn.edu/bitstream/52515/2/ILAC_Brief05_Histories.pdf</w:t>
                        </w:r>
                      </w:hyperlink>
                    </w:p>
                    <w:p w:rsidR="008A60B4" w:rsidRPr="00BA450C" w:rsidRDefault="008A60B4" w:rsidP="00BA450C">
                      <w:pPr>
                        <w:pStyle w:val="HStandard"/>
                        <w:jc w:val="left"/>
                        <w:rPr>
                          <w:sz w:val="18"/>
                          <w:szCs w:val="18"/>
                        </w:rPr>
                      </w:pPr>
                      <w:r>
                        <w:rPr>
                          <w:sz w:val="18"/>
                          <w:szCs w:val="18"/>
                        </w:rPr>
                        <w:t>GAO (</w:t>
                      </w:r>
                      <w:r>
                        <w:rPr>
                          <w:i/>
                          <w:iCs/>
                          <w:sz w:val="18"/>
                          <w:szCs w:val="18"/>
                        </w:rPr>
                        <w:t>General Accounts Office</w:t>
                      </w:r>
                      <w:r>
                        <w:rPr>
                          <w:sz w:val="18"/>
                          <w:szCs w:val="18"/>
                        </w:rPr>
                        <w:t xml:space="preserve"> - Biroul general de contabilitate) (1987) </w:t>
                      </w:r>
                      <w:hyperlink r:id="rId125" w:history="1">
                        <w:r>
                          <w:rPr>
                            <w:rStyle w:val="Hyperlink"/>
                            <w:sz w:val="18"/>
                            <w:szCs w:val="18"/>
                          </w:rPr>
                          <w:t>Evaluarea studiului de caz.</w:t>
                        </w:r>
                      </w:hyperlink>
                      <w:hyperlink r:id="rId126" w:history="1">
                        <w:r>
                          <w:rPr>
                            <w:rStyle w:val="Hyperlink"/>
                            <w:sz w:val="18"/>
                            <w:szCs w:val="18"/>
                          </w:rPr>
                          <w:t xml:space="preserve"> Evaluarea și metodologia programului</w:t>
                        </w:r>
                      </w:hyperlink>
                      <w:r>
                        <w:rPr>
                          <w:sz w:val="18"/>
                          <w:szCs w:val="18"/>
                        </w:rPr>
                        <w:t>.(</w:t>
                      </w:r>
                      <w:r w:rsidRPr="00464F58">
                        <w:t xml:space="preserve"> </w:t>
                      </w:r>
                      <w:hyperlink r:id="rId127" w:history="1">
                        <w:r w:rsidRPr="00BA450C">
                          <w:rPr>
                            <w:rStyle w:val="Hyperlink"/>
                            <w:sz w:val="18"/>
                            <w:szCs w:val="18"/>
                          </w:rPr>
                          <w:t>Case study evaluation. Program Evaluation and Methodology</w:t>
                        </w:r>
                      </w:hyperlink>
                      <w:r>
                        <w:rPr>
                          <w:sz w:val="18"/>
                          <w:szCs w:val="18"/>
                        </w:rPr>
                        <w:t xml:space="preserve">) </w:t>
                      </w:r>
                      <w:r w:rsidRPr="00BA450C">
                        <w:rPr>
                          <w:sz w:val="18"/>
                          <w:szCs w:val="18"/>
                        </w:rPr>
                        <w:t>Division, Transfer Paper 9</w:t>
                      </w:r>
                      <w:r>
                        <w:rPr>
                          <w:sz w:val="18"/>
                          <w:szCs w:val="18"/>
                        </w:rPr>
                        <w:t>. Washington DC: GAO.</w:t>
                      </w:r>
                    </w:p>
                    <w:p w:rsidR="008A60B4" w:rsidRPr="00BA450C" w:rsidRDefault="008A60B4" w:rsidP="00BA450C">
                      <w:pPr>
                        <w:pStyle w:val="HStandard"/>
                        <w:jc w:val="left"/>
                        <w:rPr>
                          <w:sz w:val="18"/>
                          <w:szCs w:val="18"/>
                        </w:rPr>
                      </w:pPr>
                      <w:r>
                        <w:rPr>
                          <w:sz w:val="18"/>
                          <w:szCs w:val="18"/>
                        </w:rPr>
                        <w:t xml:space="preserve">Hilton, D.J., 1996. </w:t>
                      </w:r>
                      <w:hyperlink r:id="rId128" w:history="1">
                        <w:r>
                          <w:rPr>
                            <w:rStyle w:val="Hyperlink"/>
                            <w:sz w:val="18"/>
                            <w:szCs w:val="18"/>
                          </w:rPr>
                          <w:t>Modele mentale și explicația cauzală:</w:t>
                        </w:r>
                      </w:hyperlink>
                      <w:hyperlink r:id="rId129" w:history="1">
                        <w:r>
                          <w:rPr>
                            <w:rStyle w:val="Hyperlink"/>
                            <w:sz w:val="18"/>
                            <w:szCs w:val="18"/>
                          </w:rPr>
                          <w:t xml:space="preserve"> Opinii privind cauza probabilă și relevanța explicativă</w:t>
                        </w:r>
                      </w:hyperlink>
                      <w:r>
                        <w:rPr>
                          <w:sz w:val="18"/>
                          <w:szCs w:val="18"/>
                        </w:rPr>
                        <w:t>. (</w:t>
                      </w:r>
                      <w:hyperlink r:id="rId130" w:history="1">
                        <w:r w:rsidRPr="00BA450C">
                          <w:rPr>
                            <w:rStyle w:val="Hyperlink"/>
                            <w:sz w:val="18"/>
                            <w:szCs w:val="18"/>
                          </w:rPr>
                          <w:t>Mental mode</w:t>
                        </w:r>
                        <w:r>
                          <w:rPr>
                            <w:rStyle w:val="Hyperlink"/>
                            <w:sz w:val="18"/>
                            <w:szCs w:val="18"/>
                          </w:rPr>
                          <w:t>ls and causal explanation: Judg</w:t>
                        </w:r>
                        <w:r w:rsidRPr="00BA450C">
                          <w:rPr>
                            <w:rStyle w:val="Hyperlink"/>
                            <w:sz w:val="18"/>
                            <w:szCs w:val="18"/>
                          </w:rPr>
                          <w:t>ments of probable cause and explanatory relevance</w:t>
                        </w:r>
                      </w:hyperlink>
                      <w:r>
                        <w:rPr>
                          <w:sz w:val="18"/>
                          <w:szCs w:val="18"/>
                        </w:rPr>
                        <w:t>) </w:t>
                      </w:r>
                      <w:r>
                        <w:rPr>
                          <w:i/>
                          <w:iCs/>
                          <w:sz w:val="18"/>
                          <w:szCs w:val="18"/>
                        </w:rPr>
                        <w:t>Thinking &amp; Reasoning</w:t>
                      </w:r>
                      <w:r>
                        <w:rPr>
                          <w:sz w:val="18"/>
                          <w:szCs w:val="18"/>
                        </w:rPr>
                        <w:t>, 2(4), p. 273-308.</w:t>
                      </w:r>
                    </w:p>
                    <w:p w:rsidR="008A60B4" w:rsidRPr="00BA450C" w:rsidRDefault="008A60B4" w:rsidP="00BA450C">
                      <w:pPr>
                        <w:pStyle w:val="HStandard"/>
                        <w:jc w:val="left"/>
                        <w:rPr>
                          <w:sz w:val="18"/>
                          <w:szCs w:val="18"/>
                        </w:rPr>
                      </w:pPr>
                      <w:r>
                        <w:rPr>
                          <w:sz w:val="18"/>
                          <w:szCs w:val="18"/>
                        </w:rPr>
                        <w:t xml:space="preserve">Mayne, J., 2012. </w:t>
                      </w:r>
                      <w:hyperlink r:id="rId131" w:history="1">
                        <w:r>
                          <w:rPr>
                            <w:rStyle w:val="Hyperlink"/>
                            <w:sz w:val="18"/>
                            <w:szCs w:val="18"/>
                          </w:rPr>
                          <w:t>Analiza contribuției:</w:t>
                        </w:r>
                      </w:hyperlink>
                      <w:hyperlink r:id="rId132" w:history="1">
                        <w:r>
                          <w:rPr>
                            <w:rStyle w:val="Hyperlink"/>
                            <w:sz w:val="18"/>
                            <w:szCs w:val="18"/>
                          </w:rPr>
                          <w:t xml:space="preserve"> a ajuns la un stadiu de maturitate?</w:t>
                        </w:r>
                      </w:hyperlink>
                      <w:hyperlink r:id="rId133" w:history="1">
                        <w:r>
                          <w:rPr>
                            <w:rStyle w:val="Hyperlink"/>
                            <w:sz w:val="18"/>
                            <w:szCs w:val="18"/>
                          </w:rPr>
                          <w:t> </w:t>
                        </w:r>
                      </w:hyperlink>
                      <w:r>
                        <w:rPr>
                          <w:rStyle w:val="Hyperlink"/>
                          <w:sz w:val="18"/>
                          <w:szCs w:val="18"/>
                        </w:rPr>
                        <w:t>(</w:t>
                      </w:r>
                      <w:r w:rsidRPr="00D36431">
                        <w:rPr>
                          <w:rStyle w:val="Hyperlink"/>
                          <w:sz w:val="18"/>
                          <w:szCs w:val="18"/>
                        </w:rPr>
                        <w:t>Contribution analysis: Coming of age?</w:t>
                      </w:r>
                      <w:r>
                        <w:rPr>
                          <w:rStyle w:val="Hyperlink"/>
                          <w:sz w:val="18"/>
                          <w:szCs w:val="18"/>
                        </w:rPr>
                        <w:t xml:space="preserve">) </w:t>
                      </w:r>
                      <w:r>
                        <w:rPr>
                          <w:i/>
                          <w:iCs/>
                          <w:sz w:val="18"/>
                          <w:szCs w:val="18"/>
                        </w:rPr>
                        <w:t>Evaluation</w:t>
                      </w:r>
                      <w:r>
                        <w:rPr>
                          <w:sz w:val="18"/>
                          <w:szCs w:val="18"/>
                        </w:rPr>
                        <w:t> 18.3 (2012): 270-280.</w:t>
                      </w:r>
                    </w:p>
                    <w:p w:rsidR="008A60B4" w:rsidRPr="00BA450C" w:rsidRDefault="008A60B4" w:rsidP="00BA450C">
                      <w:pPr>
                        <w:pStyle w:val="HStandard"/>
                        <w:jc w:val="left"/>
                        <w:rPr>
                          <w:sz w:val="18"/>
                          <w:szCs w:val="18"/>
                        </w:rPr>
                      </w:pPr>
                      <w:r>
                        <w:rPr>
                          <w:sz w:val="18"/>
                          <w:szCs w:val="18"/>
                        </w:rPr>
                        <w:t xml:space="preserve">Pawson, R., Greenhalgh, T., Harvey, G. și Walshe, K., 2005. </w:t>
                      </w:r>
                      <w:hyperlink r:id="rId134" w:history="1">
                        <w:r>
                          <w:rPr>
                            <w:rStyle w:val="Hyperlink"/>
                            <w:sz w:val="18"/>
                            <w:szCs w:val="18"/>
                          </w:rPr>
                          <w:t>Revizuirea realistă – o nouă metodă de revizuire sistematică elaborată pentru intervențiile complexe la nivel de politică</w:t>
                        </w:r>
                      </w:hyperlink>
                      <w:r>
                        <w:rPr>
                          <w:rStyle w:val="Hyperlink"/>
                          <w:sz w:val="18"/>
                          <w:szCs w:val="18"/>
                        </w:rPr>
                        <w:t xml:space="preserve"> (</w:t>
                      </w:r>
                      <w:r w:rsidRPr="00D36431">
                        <w:rPr>
                          <w:rStyle w:val="Hyperlink"/>
                          <w:sz w:val="18"/>
                          <w:szCs w:val="18"/>
                        </w:rPr>
                        <w:t>Realist review–a new method of systematic review designed for complex policy interventions</w:t>
                      </w:r>
                      <w:r>
                        <w:rPr>
                          <w:rStyle w:val="Hyperlink"/>
                          <w:sz w:val="18"/>
                          <w:szCs w:val="18"/>
                        </w:rPr>
                        <w:t>)</w:t>
                      </w:r>
                      <w:r>
                        <w:rPr>
                          <w:sz w:val="18"/>
                          <w:szCs w:val="18"/>
                        </w:rPr>
                        <w:t> Journal of health services research &amp; policy, 10 (suppl 1), p. 21-34.</w:t>
                      </w:r>
                    </w:p>
                    <w:p w:rsidR="008A60B4" w:rsidRPr="00BA450C" w:rsidRDefault="008A60B4" w:rsidP="00BA450C">
                      <w:pPr>
                        <w:pStyle w:val="HStandard"/>
                        <w:jc w:val="left"/>
                        <w:rPr>
                          <w:sz w:val="18"/>
                          <w:szCs w:val="18"/>
                        </w:rPr>
                      </w:pPr>
                      <w:r>
                        <w:rPr>
                          <w:sz w:val="18"/>
                          <w:szCs w:val="18"/>
                        </w:rPr>
                        <w:t>Wilson-Grau, R. (2015) </w:t>
                      </w:r>
                      <w:r w:rsidRPr="00BA450C">
                        <w:rPr>
                          <w:i/>
                          <w:sz w:val="18"/>
                          <w:szCs w:val="18"/>
                        </w:rPr>
                        <w:t>Outcome Harvesting</w:t>
                      </w:r>
                      <w:r>
                        <w:rPr>
                          <w:sz w:val="18"/>
                          <w:szCs w:val="18"/>
                        </w:rPr>
                        <w:t>. Better Evaluation. Document disponibil la adresa </w:t>
                      </w:r>
                      <w:hyperlink r:id="rId135" w:history="1">
                        <w:r>
                          <w:rPr>
                            <w:rStyle w:val="Hyperlink"/>
                            <w:sz w:val="18"/>
                            <w:szCs w:val="18"/>
                          </w:rPr>
                          <w:t>http://betterevaluation.org/plan/approach/outcome_harvesting</w:t>
                        </w:r>
                      </w:hyperlink>
                      <w:r>
                        <w:rPr>
                          <w:sz w:val="18"/>
                          <w:szCs w:val="18"/>
                        </w:rPr>
                        <w:t>.</w:t>
                      </w:r>
                    </w:p>
                  </w:txbxContent>
                </v:textbox>
              </v:shape>
            </w:pict>
          </mc:Fallback>
        </mc:AlternateContent>
      </w:r>
      <w:r>
        <w:rPr>
          <w:b/>
          <w:color w:val="57825E"/>
          <w:szCs w:val="20"/>
        </w:rPr>
        <w:t>Informații suplimentare</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rsidR="00E05D08" w:rsidRPr="00F5230D" w:rsidRDefault="00E05D08" w:rsidP="0025413B">
      <w:pPr>
        <w:pStyle w:val="HHeading1"/>
        <w:tabs>
          <w:tab w:val="clear" w:pos="567"/>
        </w:tabs>
      </w:pPr>
      <w:bookmarkStart w:id="137" w:name="_Toc508889186"/>
      <w:r>
        <w:lastRenderedPageBreak/>
        <w:t>ANEXE</w:t>
      </w:r>
      <w:bookmarkEnd w:id="135"/>
      <w:bookmarkEnd w:id="136"/>
      <w:bookmarkEnd w:id="137"/>
    </w:p>
    <w:p w:rsidR="00E05D08" w:rsidRPr="009414CC" w:rsidRDefault="00E05D08" w:rsidP="0025413B">
      <w:pPr>
        <w:pStyle w:val="HHeading2"/>
        <w:numPr>
          <w:ilvl w:val="1"/>
          <w:numId w:val="119"/>
        </w:numPr>
        <w:ind w:left="567" w:hanging="567"/>
      </w:pPr>
      <w:bookmarkStart w:id="138" w:name="_Toc476063939"/>
      <w:bookmarkStart w:id="139" w:name="_Toc476064206"/>
      <w:bookmarkStart w:id="140" w:name="_Toc476064501"/>
      <w:bookmarkStart w:id="141" w:name="_Toc476064561"/>
      <w:bookmarkStart w:id="142" w:name="_Toc493151906"/>
      <w:bookmarkStart w:id="143" w:name="_Toc501382137"/>
      <w:bookmarkStart w:id="144" w:name="_Toc508889187"/>
      <w:bookmarkEnd w:id="138"/>
      <w:bookmarkEnd w:id="139"/>
      <w:bookmarkEnd w:id="140"/>
      <w:bookmarkEnd w:id="141"/>
      <w:r>
        <w:t>Glosar</w:t>
      </w:r>
      <w:bookmarkEnd w:id="142"/>
      <w:bookmarkEnd w:id="143"/>
      <w:bookmarkEnd w:id="144"/>
    </w:p>
    <w:p w:rsidR="00820D3A" w:rsidRPr="009125CD" w:rsidRDefault="00820D3A" w:rsidP="00820D3A">
      <w:pPr>
        <w:rPr>
          <w:rFonts w:eastAsia="Arial" w:cs="Arial"/>
          <w:b/>
          <w:color w:val="57825E"/>
          <w:szCs w:val="20"/>
        </w:rPr>
      </w:pPr>
      <w:r>
        <w:rPr>
          <w:b/>
          <w:color w:val="57825E"/>
          <w:szCs w:val="20"/>
        </w:rPr>
        <w:t>Capacitate de inovare</w:t>
      </w:r>
    </w:p>
    <w:p w:rsidR="00820D3A" w:rsidRPr="005E61D0" w:rsidRDefault="00820D3A" w:rsidP="00820D3A">
      <w:pPr>
        <w:rPr>
          <w:rFonts w:cs="Arial"/>
          <w:szCs w:val="20"/>
        </w:rPr>
      </w:pPr>
      <w:r>
        <w:t>„Abilitatea continuă de a combina și a utiliza diferite tipuri de cunoștințe”.</w:t>
      </w:r>
    </w:p>
    <w:p w:rsidR="00820D3A" w:rsidRPr="005E61D0" w:rsidRDefault="00820D3A" w:rsidP="00820D3A">
      <w:pPr>
        <w:rPr>
          <w:rFonts w:cs="Arial"/>
          <w:i/>
          <w:color w:val="404040" w:themeColor="background1" w:themeShade="40"/>
          <w:sz w:val="16"/>
          <w:szCs w:val="16"/>
        </w:rPr>
      </w:pPr>
      <w:r>
        <w:rPr>
          <w:i/>
          <w:color w:val="404040" w:themeColor="background1" w:themeShade="40"/>
          <w:sz w:val="16"/>
          <w:szCs w:val="16"/>
          <w:u w:val="single"/>
        </w:rPr>
        <w:t>Referință:</w:t>
      </w:r>
      <w:r>
        <w:rPr>
          <w:i/>
          <w:color w:val="404040" w:themeColor="background1" w:themeShade="40"/>
          <w:sz w:val="16"/>
          <w:szCs w:val="16"/>
        </w:rPr>
        <w:t xml:space="preserve"> Chuluunbaatar, D. și LeGrand, S., </w:t>
      </w:r>
      <w:r w:rsidRPr="00FA63BD">
        <w:rPr>
          <w:i/>
          <w:color w:val="404040" w:themeColor="background1" w:themeShade="40"/>
          <w:sz w:val="16"/>
          <w:szCs w:val="16"/>
        </w:rPr>
        <w:t>2015</w:t>
      </w:r>
      <w:r>
        <w:rPr>
          <w:i/>
          <w:color w:val="404040" w:themeColor="background1" w:themeShade="40"/>
          <w:sz w:val="16"/>
          <w:szCs w:val="16"/>
        </w:rPr>
        <w:t xml:space="preserve">. Facilitarea utilizării capacității de inovare printr-un proces de evaluare la nivel de sistem. Occasional Papers in Innovation in Family Farming (Lucrări ocazionale privind inovarea în agricultura familială). FAO, Roma. </w:t>
      </w:r>
      <w:r>
        <w:rPr>
          <w:rStyle w:val="Hyperlink"/>
          <w:i/>
          <w:szCs w:val="16"/>
        </w:rPr>
        <w:t>http://www.fao.org/</w:t>
      </w:r>
      <w:r w:rsidRPr="00FA63BD">
        <w:rPr>
          <w:rStyle w:val="Hyperlink"/>
          <w:i/>
          <w:szCs w:val="16"/>
        </w:rPr>
        <w:t>3</w:t>
      </w:r>
      <w:r>
        <w:rPr>
          <w:rStyle w:val="Hyperlink"/>
          <w:i/>
          <w:szCs w:val="16"/>
        </w:rPr>
        <w:t>/a-i</w:t>
      </w:r>
      <w:r w:rsidRPr="00FA63BD">
        <w:rPr>
          <w:rStyle w:val="Hyperlink"/>
          <w:i/>
          <w:szCs w:val="16"/>
        </w:rPr>
        <w:t>5097</w:t>
      </w:r>
      <w:r>
        <w:rPr>
          <w:rStyle w:val="Hyperlink"/>
          <w:i/>
          <w:szCs w:val="16"/>
        </w:rPr>
        <w:t>e.pdf</w:t>
      </w:r>
    </w:p>
    <w:p w:rsidR="00820D3A" w:rsidRDefault="00820D3A" w:rsidP="00820D3A">
      <w:pPr>
        <w:rPr>
          <w:rFonts w:eastAsia="Arial" w:cs="Arial"/>
          <w:b/>
          <w:color w:val="57825E"/>
          <w:szCs w:val="20"/>
        </w:rPr>
      </w:pPr>
      <w:r>
        <w:rPr>
          <w:b/>
          <w:color w:val="57825E"/>
          <w:szCs w:val="20"/>
        </w:rPr>
        <w:t>Cluster</w:t>
      </w:r>
    </w:p>
    <w:p w:rsidR="00820D3A" w:rsidRDefault="00820D3A" w:rsidP="00820D3A">
      <w:pPr>
        <w:rPr>
          <w:rFonts w:cs="Arial"/>
          <w:color w:val="404040" w:themeColor="background1" w:themeShade="40"/>
          <w:szCs w:val="20"/>
        </w:rPr>
      </w:pPr>
      <w:r>
        <w:rPr>
          <w:color w:val="404040" w:themeColor="background1" w:themeShade="40"/>
          <w:szCs w:val="20"/>
        </w:rPr>
        <w:t>O grupare de întreprinderi independente, inclusiv întreprinderi nou-înființate, întreprinderi mici, mijlocii și mari, precum și organisme consultative și/sau organizații de cercetare - menită să stimuleze activitatea economică/inovatoare prin promovarea interacțiunilor intensive, a utilizării în comun a facilităților și a schimbului de cunoștințe și expertiză, precum și a contribuției în mod eficace la transferul de cunoștințe, la interconectare și la diseminarea informațiilor în rândul întreprinderilor din cluster;</w:t>
      </w:r>
    </w:p>
    <w:p w:rsidR="00820D3A" w:rsidRPr="00D5702B" w:rsidRDefault="00820D3A" w:rsidP="00820D3A">
      <w:pPr>
        <w:jc w:val="left"/>
        <w:rPr>
          <w:rFonts w:eastAsia="Times New Roman" w:cs="Arial"/>
          <w:i/>
          <w:color w:val="404040" w:themeColor="background1" w:themeShade="40"/>
          <w:sz w:val="16"/>
          <w:szCs w:val="16"/>
        </w:rPr>
      </w:pPr>
      <w:r>
        <w:rPr>
          <w:i/>
          <w:color w:val="404040" w:themeColor="background1" w:themeShade="40"/>
          <w:sz w:val="16"/>
          <w:szCs w:val="16"/>
          <w:u w:val="single"/>
        </w:rPr>
        <w:t>Referință:</w:t>
      </w:r>
      <w:r>
        <w:rPr>
          <w:i/>
          <w:color w:val="404040" w:themeColor="background1" w:themeShade="40"/>
          <w:sz w:val="16"/>
          <w:szCs w:val="16"/>
        </w:rPr>
        <w:t xml:space="preserve"> Documentul de orientare privind măsura „Cooperare”, noiembrie </w:t>
      </w:r>
      <w:r w:rsidRPr="00FA63BD">
        <w:rPr>
          <w:i/>
          <w:color w:val="404040" w:themeColor="background1" w:themeShade="40"/>
          <w:sz w:val="16"/>
          <w:szCs w:val="16"/>
        </w:rPr>
        <w:t>2014</w:t>
      </w:r>
      <w:r>
        <w:rPr>
          <w:i/>
          <w:color w:val="404040" w:themeColor="background1" w:themeShade="40"/>
          <w:sz w:val="16"/>
          <w:szCs w:val="16"/>
        </w:rPr>
        <w:t xml:space="preserve">: </w:t>
      </w:r>
      <w:hyperlink r:id="rId136" w:history="1">
        <w:r>
          <w:rPr>
            <w:rStyle w:val="Hyperlink"/>
            <w:i/>
            <w:szCs w:val="16"/>
          </w:rPr>
          <w:t>http://ec.europa.eu/eip/agriculture/sites/agri-eip/files/</w:t>
        </w:r>
        <w:r w:rsidRPr="00FA63BD">
          <w:rPr>
            <w:rStyle w:val="Hyperlink"/>
            <w:i/>
            <w:szCs w:val="16"/>
          </w:rPr>
          <w:t>16</w:t>
        </w:r>
        <w:r>
          <w:rPr>
            <w:rStyle w:val="Hyperlink"/>
            <w:i/>
            <w:szCs w:val="16"/>
          </w:rPr>
          <w:t>_measure_fiche_art_</w:t>
        </w:r>
        <w:r w:rsidRPr="00FA63BD">
          <w:rPr>
            <w:rStyle w:val="Hyperlink"/>
            <w:i/>
            <w:szCs w:val="16"/>
          </w:rPr>
          <w:t>35</w:t>
        </w:r>
        <w:r>
          <w:rPr>
            <w:rStyle w:val="Hyperlink"/>
            <w:i/>
            <w:szCs w:val="16"/>
          </w:rPr>
          <w:t>_co-operation.pdf</w:t>
        </w:r>
      </w:hyperlink>
    </w:p>
    <w:p w:rsidR="00820D3A" w:rsidRDefault="00820D3A" w:rsidP="00820D3A">
      <w:pPr>
        <w:rPr>
          <w:rFonts w:eastAsia="Arial" w:cs="Arial"/>
          <w:b/>
          <w:color w:val="57825E"/>
          <w:szCs w:val="20"/>
        </w:rPr>
      </w:pPr>
      <w:r>
        <w:rPr>
          <w:b/>
          <w:color w:val="57825E"/>
          <w:szCs w:val="20"/>
        </w:rPr>
        <w:t>Grupuri operaționale</w:t>
      </w:r>
    </w:p>
    <w:p w:rsidR="00820D3A" w:rsidRDefault="00820D3A" w:rsidP="00820D3A">
      <w:pPr>
        <w:rPr>
          <w:rFonts w:cs="Arial"/>
          <w:color w:val="404040" w:themeColor="background1" w:themeShade="40"/>
          <w:szCs w:val="20"/>
        </w:rPr>
      </w:pPr>
      <w:r>
        <w:rPr>
          <w:color w:val="404040" w:themeColor="background1" w:themeShade="40"/>
          <w:szCs w:val="20"/>
        </w:rPr>
        <w:t>Grupuri de persoane (cum ar fi fermieri, cercetători, consilieri etc.) care colaborează în cadrul unui proiect de inovare practic cu obiective concrete.</w:t>
      </w:r>
    </w:p>
    <w:p w:rsidR="00820D3A" w:rsidRPr="00A05F6E" w:rsidRDefault="00820D3A" w:rsidP="00820D3A">
      <w:pPr>
        <w:rPr>
          <w:rFonts w:eastAsia="Times New Roman" w:cs="Arial"/>
          <w:color w:val="404040" w:themeColor="background1" w:themeShade="40"/>
          <w:szCs w:val="20"/>
        </w:rPr>
      </w:pPr>
      <w:r>
        <w:rPr>
          <w:i/>
          <w:color w:val="404040" w:themeColor="background1" w:themeShade="40"/>
          <w:sz w:val="16"/>
          <w:szCs w:val="16"/>
          <w:u w:val="single"/>
        </w:rPr>
        <w:t>Referință:</w:t>
      </w:r>
      <w:r>
        <w:rPr>
          <w:i/>
          <w:color w:val="404040" w:themeColor="background1" w:themeShade="40"/>
          <w:sz w:val="16"/>
          <w:szCs w:val="16"/>
        </w:rPr>
        <w:t xml:space="preserve"> Broșura PEI-AGRI privind serviciile de sprijinire a inovării: </w:t>
      </w:r>
      <w:hyperlink r:id="rId137" w:history="1">
        <w:r>
          <w:rPr>
            <w:rStyle w:val="Hyperlink"/>
            <w:i/>
            <w:szCs w:val="16"/>
          </w:rPr>
          <w:t>https://ec.europa.eu/eip/agriculture/en/content/innovation-support-services</w:t>
        </w:r>
      </w:hyperlink>
    </w:p>
    <w:p w:rsidR="00820D3A" w:rsidRDefault="00820D3A" w:rsidP="00820D3A">
      <w:pPr>
        <w:rPr>
          <w:rFonts w:eastAsia="Arial" w:cs="Arial"/>
          <w:b/>
          <w:color w:val="57825E"/>
          <w:szCs w:val="20"/>
        </w:rPr>
      </w:pPr>
      <w:r>
        <w:rPr>
          <w:b/>
          <w:color w:val="57825E"/>
          <w:szCs w:val="20"/>
        </w:rPr>
        <w:t>Inovare interactivă</w:t>
      </w:r>
    </w:p>
    <w:p w:rsidR="00820D3A" w:rsidRDefault="00820D3A" w:rsidP="00820D3A">
      <w:pPr>
        <w:rPr>
          <w:rFonts w:cs="Arial"/>
          <w:color w:val="404040" w:themeColor="background1" w:themeShade="40"/>
          <w:szCs w:val="20"/>
        </w:rPr>
      </w:pPr>
      <w:r>
        <w:rPr>
          <w:color w:val="404040" w:themeColor="background1" w:themeShade="40"/>
          <w:szCs w:val="20"/>
        </w:rPr>
        <w:t>În ceea ce privește inovarea interactivă (a sistemului), se preconizează că elementele constitutive pentru inovații vor proveni din știință, dar și din practică și de la intermediari, inclusiv de la fermieri, servicii de consiliere, ONG-uri, cercetători etc., ca actori într-un proces ascendent. Inovarea interactivă include cunoștințe existente (uneori tacite) care nu sunt întotdeauna pur științifice.</w:t>
      </w:r>
    </w:p>
    <w:p w:rsidR="00820D3A" w:rsidRPr="00A05F6E" w:rsidRDefault="00820D3A" w:rsidP="00820D3A">
      <w:pPr>
        <w:jc w:val="left"/>
        <w:rPr>
          <w:rFonts w:eastAsia="Times New Roman" w:cs="Arial"/>
          <w:color w:val="404040" w:themeColor="background1" w:themeShade="40"/>
          <w:szCs w:val="20"/>
        </w:rPr>
      </w:pPr>
      <w:r>
        <w:rPr>
          <w:i/>
          <w:color w:val="404040" w:themeColor="background1" w:themeShade="40"/>
          <w:sz w:val="16"/>
          <w:szCs w:val="16"/>
          <w:u w:val="single"/>
        </w:rPr>
        <w:t>Referință:</w:t>
      </w:r>
      <w:r>
        <w:rPr>
          <w:i/>
          <w:color w:val="404040" w:themeColor="background1" w:themeShade="40"/>
          <w:sz w:val="16"/>
          <w:szCs w:val="16"/>
        </w:rPr>
        <w:t xml:space="preserve"> Ghid privind programarea pentru inovare și punerea în aplicare a PEI privind productivitatea și durabilitatea agriculturii </w:t>
      </w:r>
      <w:hyperlink r:id="rId138" w:history="1">
        <w:r>
          <w:rPr>
            <w:rStyle w:val="Hyperlink"/>
            <w:i/>
            <w:szCs w:val="16"/>
          </w:rPr>
          <w:t>http://ec.europa.eu/eip/agriculture/sites/agri-eip/files/eip-guidelines-july-</w:t>
        </w:r>
        <w:r w:rsidRPr="00FA63BD">
          <w:rPr>
            <w:rStyle w:val="Hyperlink"/>
            <w:i/>
            <w:szCs w:val="16"/>
          </w:rPr>
          <w:t>2014</w:t>
        </w:r>
        <w:r>
          <w:rPr>
            <w:rStyle w:val="Hyperlink"/>
            <w:i/>
            <w:szCs w:val="16"/>
          </w:rPr>
          <w:t>_en.pdf</w:t>
        </w:r>
      </w:hyperlink>
      <w:r>
        <w:rPr>
          <w:i/>
          <w:color w:val="404040" w:themeColor="background1" w:themeShade="40"/>
          <w:sz w:val="16"/>
          <w:szCs w:val="16"/>
        </w:rPr>
        <w:t>.</w:t>
      </w:r>
    </w:p>
    <w:p w:rsidR="00820D3A" w:rsidRPr="009125CD" w:rsidRDefault="00820D3A" w:rsidP="00820D3A">
      <w:pPr>
        <w:rPr>
          <w:rFonts w:eastAsia="Arial" w:cs="Arial"/>
          <w:b/>
          <w:color w:val="57825E"/>
          <w:szCs w:val="20"/>
        </w:rPr>
      </w:pPr>
      <w:r>
        <w:rPr>
          <w:b/>
          <w:color w:val="57825E"/>
          <w:szCs w:val="20"/>
        </w:rPr>
        <w:t>Inovare socială</w:t>
      </w:r>
    </w:p>
    <w:p w:rsidR="00820D3A" w:rsidRDefault="00820D3A" w:rsidP="00820D3A">
      <w:pPr>
        <w:rPr>
          <w:rFonts w:cs="Arial"/>
          <w:color w:val="404040" w:themeColor="background1" w:themeShade="40"/>
          <w:szCs w:val="20"/>
        </w:rPr>
      </w:pPr>
      <w:r>
        <w:rPr>
          <w:color w:val="404040" w:themeColor="background1" w:themeShade="40"/>
          <w:szCs w:val="20"/>
        </w:rPr>
        <w:t>Inovarea socială poate fi definită ca dezvoltarea și punerea în aplicare de noi idei (produse, servicii și modele) pentru a satisface nevoile sociale și pentru a crea noi relații sociale sau colaborări.</w:t>
      </w:r>
    </w:p>
    <w:p w:rsidR="00820D3A" w:rsidRPr="00A05F6E" w:rsidRDefault="00820D3A" w:rsidP="00820D3A">
      <w:pPr>
        <w:rPr>
          <w:rFonts w:eastAsia="Arial" w:cs="Arial"/>
          <w:color w:val="404040" w:themeColor="background1" w:themeShade="40"/>
          <w:szCs w:val="20"/>
        </w:rPr>
      </w:pPr>
      <w:r>
        <w:rPr>
          <w:i/>
          <w:color w:val="404040" w:themeColor="background1" w:themeShade="40"/>
          <w:sz w:val="16"/>
          <w:szCs w:val="16"/>
          <w:u w:val="single"/>
        </w:rPr>
        <w:t>Referință:</w:t>
      </w:r>
      <w:r>
        <w:rPr>
          <w:i/>
          <w:color w:val="404040" w:themeColor="background1" w:themeShade="40"/>
          <w:sz w:val="16"/>
          <w:szCs w:val="16"/>
        </w:rPr>
        <w:t xml:space="preserve"> DG REGIO, DG EMPL, DG AGRI, etc. (</w:t>
      </w:r>
      <w:r w:rsidRPr="00FA63BD">
        <w:rPr>
          <w:i/>
          <w:color w:val="404040" w:themeColor="background1" w:themeShade="40"/>
          <w:sz w:val="16"/>
          <w:szCs w:val="16"/>
        </w:rPr>
        <w:t>2013</w:t>
      </w:r>
      <w:r>
        <w:rPr>
          <w:i/>
          <w:color w:val="404040" w:themeColor="background1" w:themeShade="40"/>
          <w:sz w:val="16"/>
          <w:szCs w:val="16"/>
        </w:rPr>
        <w:t>) Ghid privind inovarea socială.</w:t>
      </w:r>
    </w:p>
    <w:p w:rsidR="00820D3A" w:rsidRPr="009125CD" w:rsidRDefault="00820D3A" w:rsidP="00820D3A">
      <w:pPr>
        <w:rPr>
          <w:rFonts w:eastAsia="Arial" w:cs="Arial"/>
          <w:b/>
          <w:color w:val="57825E"/>
          <w:szCs w:val="20"/>
        </w:rPr>
      </w:pPr>
      <w:r>
        <w:rPr>
          <w:b/>
          <w:color w:val="57825E"/>
          <w:szCs w:val="20"/>
        </w:rPr>
        <w:t>Modalitate de inovare</w:t>
      </w:r>
    </w:p>
    <w:p w:rsidR="00820D3A" w:rsidRDefault="00820D3A" w:rsidP="00820D3A">
      <w:pPr>
        <w:rPr>
          <w:rFonts w:cs="Arial"/>
          <w:color w:val="404040" w:themeColor="background1" w:themeShade="40"/>
          <w:szCs w:val="20"/>
        </w:rPr>
      </w:pPr>
      <w:r>
        <w:rPr>
          <w:color w:val="404040" w:themeColor="background1" w:themeShade="40"/>
          <w:szCs w:val="20"/>
        </w:rPr>
        <w:t>Un proces prin care activitățile PDR produc realizări, rezultate și impacturi care contribuie la îndeplinirea obiectivelor PDR, influențând și fiind influențate de sistemul de inovare în care are loc acest proces.</w:t>
      </w:r>
    </w:p>
    <w:p w:rsidR="00820D3A" w:rsidRPr="009125CD" w:rsidRDefault="00820D3A" w:rsidP="00820D3A">
      <w:pPr>
        <w:rPr>
          <w:rFonts w:eastAsia="Arial" w:cs="Arial"/>
          <w:color w:val="404040" w:themeColor="background1" w:themeShade="40"/>
          <w:szCs w:val="20"/>
        </w:rPr>
      </w:pPr>
      <w:r>
        <w:rPr>
          <w:i/>
          <w:color w:val="404040" w:themeColor="background1" w:themeShade="40"/>
          <w:sz w:val="16"/>
          <w:szCs w:val="16"/>
          <w:u w:val="single"/>
        </w:rPr>
        <w:t>Referință:</w:t>
      </w:r>
      <w:r>
        <w:rPr>
          <w:i/>
          <w:color w:val="404040" w:themeColor="background1" w:themeShade="40"/>
          <w:sz w:val="16"/>
          <w:szCs w:val="16"/>
        </w:rPr>
        <w:t xml:space="preserve"> Grupul de lucru tematic </w:t>
      </w:r>
      <w:r w:rsidRPr="00FA63BD">
        <w:rPr>
          <w:i/>
          <w:color w:val="404040" w:themeColor="background1" w:themeShade="40"/>
          <w:sz w:val="16"/>
          <w:szCs w:val="16"/>
        </w:rPr>
        <w:t>4</w:t>
      </w:r>
      <w:r>
        <w:rPr>
          <w:i/>
          <w:color w:val="404040" w:themeColor="background1" w:themeShade="40"/>
          <w:sz w:val="16"/>
          <w:szCs w:val="16"/>
        </w:rPr>
        <w:t xml:space="preserve"> (TWG-</w:t>
      </w:r>
      <w:r w:rsidRPr="00FA63BD">
        <w:rPr>
          <w:i/>
          <w:color w:val="404040" w:themeColor="background1" w:themeShade="40"/>
          <w:sz w:val="16"/>
          <w:szCs w:val="16"/>
        </w:rPr>
        <w:t>4</w:t>
      </w:r>
      <w:r>
        <w:rPr>
          <w:i/>
          <w:color w:val="404040" w:themeColor="background1" w:themeShade="40"/>
          <w:sz w:val="16"/>
          <w:szCs w:val="16"/>
        </w:rPr>
        <w:t xml:space="preserve">), pagina </w:t>
      </w:r>
      <w:r w:rsidRPr="00FA63BD">
        <w:rPr>
          <w:i/>
          <w:color w:val="404040" w:themeColor="background1" w:themeShade="40"/>
          <w:sz w:val="16"/>
          <w:szCs w:val="16"/>
        </w:rPr>
        <w:t>5</w:t>
      </w:r>
      <w:r>
        <w:rPr>
          <w:i/>
          <w:color w:val="404040" w:themeColor="background1" w:themeShade="40"/>
          <w:sz w:val="16"/>
          <w:szCs w:val="16"/>
        </w:rPr>
        <w:t>.</w:t>
      </w:r>
    </w:p>
    <w:p w:rsidR="0025413B" w:rsidRDefault="0025413B" w:rsidP="0025413B">
      <w:pPr>
        <w:rPr>
          <w:rFonts w:eastAsia="Arial" w:cs="Arial"/>
          <w:b/>
          <w:color w:val="57825E"/>
          <w:szCs w:val="20"/>
        </w:rPr>
      </w:pPr>
      <w:r>
        <w:rPr>
          <w:b/>
          <w:color w:val="57825E"/>
          <w:szCs w:val="20"/>
        </w:rPr>
        <w:t>Parteneriatul european pentru inovare</w:t>
      </w:r>
    </w:p>
    <w:p w:rsidR="0025413B" w:rsidRDefault="0025413B" w:rsidP="0025413B">
      <w:pPr>
        <w:rPr>
          <w:rFonts w:cs="Arial"/>
          <w:color w:val="404040" w:themeColor="background1" w:themeShade="40"/>
          <w:szCs w:val="20"/>
        </w:rPr>
      </w:pPr>
      <w:r>
        <w:rPr>
          <w:color w:val="404040" w:themeColor="background1" w:themeShade="40"/>
          <w:szCs w:val="20"/>
        </w:rPr>
        <w:t>Ca parte a inițiativei emblematice „O Uniune a inovării”, acesta este o abordare a cercetării și inovării în UE. Se bazează pe provocări, acționează de-a lungul întregului lanț de cercetare și inovare și structurează, simplifică și coordonează mai bine instrumentele și inițiativele existente.</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Referință:</w:t>
      </w:r>
      <w:r>
        <w:rPr>
          <w:i/>
          <w:color w:val="404040" w:themeColor="background1" w:themeShade="40"/>
          <w:sz w:val="16"/>
          <w:szCs w:val="16"/>
        </w:rPr>
        <w:t xml:space="preserve"> Comunicarea Comisiei către Parlamentul European, Consiliu, Comitetul Economic și Social European și Comitetul Regiunilor Europa </w:t>
      </w:r>
      <w:r w:rsidRPr="00FA63BD">
        <w:rPr>
          <w:i/>
          <w:color w:val="404040" w:themeColor="background1" w:themeShade="40"/>
          <w:sz w:val="16"/>
          <w:szCs w:val="16"/>
        </w:rPr>
        <w:t>2020</w:t>
      </w:r>
      <w:r>
        <w:rPr>
          <w:i/>
          <w:color w:val="404040" w:themeColor="background1" w:themeShade="40"/>
          <w:sz w:val="16"/>
          <w:szCs w:val="16"/>
        </w:rPr>
        <w:t xml:space="preserve">: </w:t>
      </w:r>
      <w:r>
        <w:t>Inițiativa emblematică „O Uniune a inovării” (</w:t>
      </w:r>
      <w:r w:rsidRPr="00FA63BD">
        <w:t>2010</w:t>
      </w:r>
      <w:r>
        <w:t xml:space="preserve">) </w:t>
      </w:r>
      <w:hyperlink r:id="rId139" w:history="1">
        <w:r>
          <w:rPr>
            <w:rStyle w:val="Hyperlink"/>
            <w:i/>
            <w:szCs w:val="16"/>
          </w:rPr>
          <w:t>https://ec.europa.eu/research/innovation-union/pdf/innovation-union-communication_en.pdf</w:t>
        </w:r>
      </w:hyperlink>
    </w:p>
    <w:p w:rsidR="0025413B" w:rsidRDefault="0025413B" w:rsidP="000E0FE4">
      <w:pPr>
        <w:jc w:val="left"/>
        <w:rPr>
          <w:rFonts w:eastAsia="Arial" w:cs="Arial"/>
          <w:b/>
          <w:color w:val="57825E"/>
          <w:szCs w:val="20"/>
        </w:rPr>
      </w:pPr>
      <w:r>
        <w:rPr>
          <w:b/>
          <w:color w:val="57825E"/>
          <w:szCs w:val="20"/>
        </w:rPr>
        <w:t>Parteneriatul european pentru inovare „Productivitatea și durabilitatea agriculturii” (PEI-AGRI)</w:t>
      </w:r>
    </w:p>
    <w:p w:rsidR="0025413B" w:rsidRDefault="0025413B" w:rsidP="0025413B">
      <w:pPr>
        <w:rPr>
          <w:rFonts w:cs="Arial"/>
          <w:szCs w:val="20"/>
        </w:rPr>
      </w:pPr>
      <w:r>
        <w:t xml:space="preserve">Lansat de Comisia Europeană în </w:t>
      </w:r>
      <w:r w:rsidRPr="00FA63BD">
        <w:t>2012</w:t>
      </w:r>
      <w:r>
        <w:t>, PEI-AGRI este Parteneriatul european pentru inovare concentrat asupra sectorului agricol și a celui forestier. PEI-AGRI reunește actorii din domeniul inovării și creează sinergii între politicile existente. Scopul său principal este de a promova competitivitatea și durabilitatea în aceste sectoare, contribuind astfel la: asigurarea unei aprovizionări constante cu alimente, hrană pentru animale și biomateriale și la gestionarea durabilă a resurselor naturale esențiale de care depind agricultura și silvicultura, lucrând în armonie cu mediul.</w:t>
      </w:r>
    </w:p>
    <w:p w:rsidR="0025413B" w:rsidRPr="00D5702B" w:rsidRDefault="0025413B" w:rsidP="0025413B">
      <w:pPr>
        <w:spacing w:after="120" w:line="280" w:lineRule="atLeast"/>
        <w:jc w:val="left"/>
        <w:rPr>
          <w:rFonts w:cs="Arial"/>
          <w:i/>
          <w:color w:val="404040" w:themeColor="background1" w:themeShade="40"/>
          <w:sz w:val="16"/>
          <w:szCs w:val="16"/>
          <w:lang w:eastAsia="fr-FR"/>
        </w:rPr>
      </w:pPr>
      <w:r>
        <w:rPr>
          <w:i/>
          <w:color w:val="404040" w:themeColor="background1" w:themeShade="40"/>
          <w:sz w:val="16"/>
          <w:szCs w:val="16"/>
          <w:u w:val="single"/>
        </w:rPr>
        <w:t>Referință:</w:t>
      </w:r>
      <w:r>
        <w:rPr>
          <w:i/>
          <w:color w:val="404040" w:themeColor="background1" w:themeShade="40"/>
          <w:sz w:val="16"/>
          <w:szCs w:val="16"/>
        </w:rPr>
        <w:t xml:space="preserve"> Studiu de evaluare a punerii în aplicare a Parteneriatului european pentru inovare privind productivitatea și durabilitatea agriculturii </w:t>
      </w:r>
      <w:r w:rsidR="00D36431">
        <w:rPr>
          <w:i/>
          <w:color w:val="404040" w:themeColor="background1" w:themeShade="40"/>
          <w:sz w:val="16"/>
          <w:szCs w:val="16"/>
        </w:rPr>
        <w:t>(</w:t>
      </w:r>
      <w:r w:rsidR="00D36431" w:rsidRPr="00D36431">
        <w:rPr>
          <w:rFonts w:cs="Arial"/>
          <w:i/>
          <w:color w:val="404040" w:themeColor="background1" w:themeShade="40"/>
          <w:sz w:val="16"/>
          <w:szCs w:val="16"/>
          <w:lang w:eastAsia="fr-FR"/>
        </w:rPr>
        <w:t xml:space="preserve">Evaluation </w:t>
      </w:r>
      <w:r w:rsidR="00D36431" w:rsidRPr="00D36431">
        <w:rPr>
          <w:rFonts w:cs="Arial"/>
          <w:i/>
          <w:color w:val="404040" w:themeColor="background1" w:themeShade="40"/>
          <w:sz w:val="16"/>
          <w:szCs w:val="16"/>
          <w:lang w:eastAsia="fr-FR"/>
        </w:rPr>
        <w:lastRenderedPageBreak/>
        <w:t>study of the implementation of the European Innovation Partnership for Agricultural Productivity and Sustainability</w:t>
      </w:r>
      <w:r w:rsidR="00D36431">
        <w:rPr>
          <w:i/>
          <w:color w:val="404040" w:themeColor="background1" w:themeShade="40"/>
          <w:sz w:val="16"/>
          <w:szCs w:val="16"/>
        </w:rPr>
        <w:t xml:space="preserve">) </w:t>
      </w:r>
      <w:r>
        <w:rPr>
          <w:i/>
          <w:color w:val="F07E31"/>
          <w:sz w:val="16"/>
          <w:szCs w:val="16"/>
          <w:u w:val="single"/>
        </w:rPr>
        <w:t>https://ec.europa.eu/agriculture/external-studies/</w:t>
      </w:r>
      <w:r w:rsidRPr="00FA63BD">
        <w:rPr>
          <w:i/>
          <w:color w:val="F07E31"/>
          <w:sz w:val="16"/>
          <w:szCs w:val="16"/>
          <w:u w:val="single"/>
        </w:rPr>
        <w:t>2016</w:t>
      </w:r>
      <w:r>
        <w:rPr>
          <w:i/>
          <w:color w:val="F07E31"/>
          <w:sz w:val="16"/>
          <w:szCs w:val="16"/>
          <w:u w:val="single"/>
        </w:rPr>
        <w:t>-eip_ro</w:t>
      </w:r>
    </w:p>
    <w:p w:rsidR="0025413B" w:rsidRPr="00D5702B" w:rsidRDefault="0025413B" w:rsidP="0025413B">
      <w:pPr>
        <w:jc w:val="left"/>
        <w:rPr>
          <w:rFonts w:eastAsia="Times New Roman" w:cs="Arial"/>
          <w:i/>
          <w:szCs w:val="20"/>
        </w:rPr>
      </w:pPr>
      <w:r>
        <w:rPr>
          <w:i/>
          <w:color w:val="404040" w:themeColor="background1" w:themeShade="40"/>
          <w:sz w:val="16"/>
          <w:szCs w:val="16"/>
        </w:rPr>
        <w:t>Comunicarea Comisiei către Parlamentul European și Consiliu privind parteneriatul european pentru inovare „Productivitatea și durabilitatea agriculturii” (</w:t>
      </w:r>
      <w:r w:rsidRPr="00FA63BD">
        <w:rPr>
          <w:i/>
          <w:color w:val="404040" w:themeColor="background1" w:themeShade="40"/>
          <w:sz w:val="16"/>
          <w:szCs w:val="16"/>
        </w:rPr>
        <w:t>2012</w:t>
      </w:r>
      <w:r>
        <w:rPr>
          <w:i/>
          <w:color w:val="404040" w:themeColor="background1" w:themeShade="40"/>
          <w:sz w:val="16"/>
          <w:szCs w:val="16"/>
        </w:rPr>
        <w:t xml:space="preserve">) </w:t>
      </w:r>
      <w:hyperlink r:id="rId140" w:history="1">
        <w:r>
          <w:rPr>
            <w:rStyle w:val="Hyperlink"/>
            <w:i/>
            <w:szCs w:val="16"/>
          </w:rPr>
          <w:t>https://ec.europa.eu/eip/agriculture/sites/agri-eip/files/communication_on_eip_-_en.pdf</w:t>
        </w:r>
      </w:hyperlink>
    </w:p>
    <w:p w:rsidR="00820D3A" w:rsidRPr="009125CD" w:rsidRDefault="00820D3A" w:rsidP="00820D3A">
      <w:pPr>
        <w:rPr>
          <w:rFonts w:eastAsia="Arial" w:cs="Arial"/>
          <w:b/>
          <w:color w:val="57825E"/>
          <w:szCs w:val="20"/>
        </w:rPr>
      </w:pPr>
      <w:r>
        <w:rPr>
          <w:b/>
          <w:color w:val="57825E"/>
          <w:szCs w:val="20"/>
        </w:rPr>
        <w:t xml:space="preserve">Potențialul de inovare al PDR </w:t>
      </w:r>
    </w:p>
    <w:p w:rsidR="00820D3A" w:rsidRDefault="00820D3A" w:rsidP="00820D3A">
      <w:pPr>
        <w:rPr>
          <w:rFonts w:cs="Arial"/>
          <w:color w:val="404040" w:themeColor="background1" w:themeShade="40"/>
          <w:szCs w:val="20"/>
        </w:rPr>
      </w:pPr>
      <w:r>
        <w:rPr>
          <w:color w:val="404040" w:themeColor="background1" w:themeShade="40"/>
          <w:szCs w:val="20"/>
        </w:rPr>
        <w:t xml:space="preserve">Potențialul de inovare al PDR este măsura în care abordarea specifică a PDR destinată inovării poate încuraja inovarea și poate îndeplini obiectivele de politică în zonele rurale într-un anumit sistem sau context de inovare. </w:t>
      </w:r>
    </w:p>
    <w:p w:rsidR="00820D3A" w:rsidRPr="00A05F6E" w:rsidRDefault="00820D3A" w:rsidP="00820D3A">
      <w:pPr>
        <w:rPr>
          <w:rFonts w:eastAsia="Arial" w:cs="Arial"/>
          <w:color w:val="404040" w:themeColor="background1" w:themeShade="40"/>
          <w:szCs w:val="20"/>
        </w:rPr>
      </w:pPr>
      <w:r>
        <w:rPr>
          <w:i/>
          <w:color w:val="404040" w:themeColor="background1" w:themeShade="40"/>
          <w:sz w:val="16"/>
          <w:szCs w:val="16"/>
          <w:u w:val="single"/>
        </w:rPr>
        <w:t>Referință:</w:t>
      </w:r>
      <w:r>
        <w:rPr>
          <w:i/>
          <w:color w:val="404040" w:themeColor="background1" w:themeShade="40"/>
          <w:sz w:val="16"/>
          <w:szCs w:val="16"/>
        </w:rPr>
        <w:t xml:space="preserve"> Grupul de lucru tematic </w:t>
      </w:r>
      <w:r w:rsidRPr="00FA63BD">
        <w:rPr>
          <w:i/>
          <w:color w:val="404040" w:themeColor="background1" w:themeShade="40"/>
          <w:sz w:val="16"/>
          <w:szCs w:val="16"/>
        </w:rPr>
        <w:t>4</w:t>
      </w:r>
      <w:r>
        <w:rPr>
          <w:i/>
          <w:color w:val="404040" w:themeColor="background1" w:themeShade="40"/>
          <w:sz w:val="16"/>
          <w:szCs w:val="16"/>
        </w:rPr>
        <w:t xml:space="preserve"> (TWG-</w:t>
      </w:r>
      <w:r w:rsidRPr="00FA63BD">
        <w:rPr>
          <w:i/>
          <w:color w:val="404040" w:themeColor="background1" w:themeShade="40"/>
          <w:sz w:val="16"/>
          <w:szCs w:val="16"/>
        </w:rPr>
        <w:t>4</w:t>
      </w:r>
      <w:r>
        <w:rPr>
          <w:i/>
          <w:color w:val="404040" w:themeColor="background1" w:themeShade="40"/>
          <w:sz w:val="16"/>
          <w:szCs w:val="16"/>
        </w:rPr>
        <w:t>)</w:t>
      </w:r>
    </w:p>
    <w:p w:rsidR="00820D3A" w:rsidRPr="009125CD" w:rsidRDefault="00820D3A" w:rsidP="00820D3A">
      <w:pPr>
        <w:rPr>
          <w:rFonts w:eastAsia="Arial" w:cs="Arial"/>
          <w:b/>
          <w:color w:val="57825E"/>
          <w:szCs w:val="20"/>
        </w:rPr>
      </w:pPr>
      <w:r>
        <w:rPr>
          <w:b/>
          <w:color w:val="57825E"/>
          <w:szCs w:val="20"/>
        </w:rPr>
        <w:t xml:space="preserve">Realizare a inovării </w:t>
      </w:r>
    </w:p>
    <w:p w:rsidR="00820D3A" w:rsidRDefault="00820D3A" w:rsidP="00820D3A">
      <w:pPr>
        <w:rPr>
          <w:rFonts w:cs="Arial"/>
          <w:color w:val="404040" w:themeColor="background1" w:themeShade="40"/>
          <w:szCs w:val="20"/>
        </w:rPr>
      </w:pPr>
      <w:r>
        <w:rPr>
          <w:color w:val="404040" w:themeColor="background1" w:themeShade="40"/>
          <w:szCs w:val="20"/>
        </w:rPr>
        <w:t>Realizările inovării sunt obținute în urma realizărilor favorizante (de exemplu, practici noi, venituri sporite, adoptarea unor practici agricole mai durabile).</w:t>
      </w:r>
    </w:p>
    <w:p w:rsidR="00820D3A" w:rsidRPr="009125CD" w:rsidRDefault="00820D3A" w:rsidP="00820D3A">
      <w:pPr>
        <w:rPr>
          <w:rFonts w:cs="Arial"/>
          <w:color w:val="404040" w:themeColor="background1" w:themeShade="40"/>
          <w:szCs w:val="20"/>
        </w:rPr>
      </w:pPr>
      <w:r>
        <w:rPr>
          <w:i/>
          <w:color w:val="404040" w:themeColor="background1" w:themeShade="40"/>
          <w:sz w:val="16"/>
          <w:szCs w:val="16"/>
          <w:u w:val="single"/>
        </w:rPr>
        <w:t>Referință:</w:t>
      </w:r>
      <w:r>
        <w:rPr>
          <w:i/>
          <w:color w:val="404040" w:themeColor="background1" w:themeShade="40"/>
          <w:sz w:val="16"/>
          <w:szCs w:val="16"/>
        </w:rPr>
        <w:t xml:space="preserve"> Grupul de lucru tematic </w:t>
      </w:r>
      <w:r w:rsidRPr="00FA63BD">
        <w:rPr>
          <w:i/>
          <w:color w:val="404040" w:themeColor="background1" w:themeShade="40"/>
          <w:sz w:val="16"/>
          <w:szCs w:val="16"/>
        </w:rPr>
        <w:t>4</w:t>
      </w:r>
      <w:r>
        <w:rPr>
          <w:i/>
          <w:color w:val="404040" w:themeColor="background1" w:themeShade="40"/>
          <w:sz w:val="16"/>
          <w:szCs w:val="16"/>
        </w:rPr>
        <w:t xml:space="preserve"> (TWG-</w:t>
      </w:r>
      <w:r w:rsidRPr="00FA63BD">
        <w:rPr>
          <w:i/>
          <w:color w:val="404040" w:themeColor="background1" w:themeShade="40"/>
          <w:sz w:val="16"/>
          <w:szCs w:val="16"/>
        </w:rPr>
        <w:t>4</w:t>
      </w:r>
      <w:r>
        <w:rPr>
          <w:i/>
          <w:color w:val="404040" w:themeColor="background1" w:themeShade="40"/>
          <w:sz w:val="16"/>
          <w:szCs w:val="16"/>
        </w:rPr>
        <w:t xml:space="preserve">), pagina </w:t>
      </w:r>
      <w:r w:rsidRPr="00FA63BD">
        <w:rPr>
          <w:i/>
          <w:color w:val="404040" w:themeColor="background1" w:themeShade="40"/>
          <w:sz w:val="16"/>
          <w:szCs w:val="16"/>
        </w:rPr>
        <w:t>11</w:t>
      </w:r>
      <w:r>
        <w:rPr>
          <w:i/>
          <w:color w:val="404040" w:themeColor="background1" w:themeShade="40"/>
          <w:sz w:val="16"/>
          <w:szCs w:val="16"/>
        </w:rPr>
        <w:t>.</w:t>
      </w:r>
    </w:p>
    <w:p w:rsidR="00820D3A" w:rsidRPr="009125CD" w:rsidRDefault="00820D3A" w:rsidP="00820D3A">
      <w:pPr>
        <w:rPr>
          <w:rFonts w:eastAsia="Arial" w:cs="Arial"/>
          <w:b/>
          <w:color w:val="57825E"/>
          <w:szCs w:val="20"/>
        </w:rPr>
      </w:pPr>
      <w:r>
        <w:rPr>
          <w:b/>
          <w:color w:val="57825E"/>
          <w:szCs w:val="20"/>
        </w:rPr>
        <w:t>Rezultat favorizant</w:t>
      </w:r>
    </w:p>
    <w:p w:rsidR="00820D3A" w:rsidRDefault="00820D3A" w:rsidP="00820D3A">
      <w:pPr>
        <w:rPr>
          <w:rFonts w:cs="Arial"/>
          <w:color w:val="404040" w:themeColor="background1" w:themeShade="40"/>
          <w:szCs w:val="20"/>
        </w:rPr>
      </w:pPr>
      <w:r>
        <w:rPr>
          <w:color w:val="404040" w:themeColor="background1" w:themeShade="40"/>
          <w:szCs w:val="20"/>
        </w:rPr>
        <w:t xml:space="preserve">Rezultat legat de cele trei modalități de inovare, cum ar fi: </w:t>
      </w:r>
      <w:r w:rsidRPr="00FA63BD">
        <w:rPr>
          <w:color w:val="404040" w:themeColor="background1" w:themeShade="40"/>
          <w:szCs w:val="20"/>
        </w:rPr>
        <w:t>1</w:t>
      </w:r>
      <w:r>
        <w:rPr>
          <w:color w:val="404040" w:themeColor="background1" w:themeShade="40"/>
          <w:szCs w:val="20"/>
        </w:rPr>
        <w:t xml:space="preserve">.) identificarea și stimularea potențialelor idei inovatoare; </w:t>
      </w:r>
      <w:r w:rsidRPr="00FA63BD">
        <w:rPr>
          <w:color w:val="404040" w:themeColor="background1" w:themeShade="40"/>
          <w:szCs w:val="20"/>
        </w:rPr>
        <w:t>2</w:t>
      </w:r>
      <w:r>
        <w:rPr>
          <w:color w:val="404040" w:themeColor="background1" w:themeShade="40"/>
          <w:szCs w:val="20"/>
        </w:rPr>
        <w:t xml:space="preserve">.) consolidarea capacității de inovare; și </w:t>
      </w:r>
      <w:r w:rsidRPr="00FA63BD">
        <w:rPr>
          <w:color w:val="404040" w:themeColor="background1" w:themeShade="40"/>
          <w:szCs w:val="20"/>
        </w:rPr>
        <w:t>3</w:t>
      </w:r>
      <w:r>
        <w:rPr>
          <w:color w:val="404040" w:themeColor="background1" w:themeShade="40"/>
          <w:szCs w:val="20"/>
        </w:rPr>
        <w:t>.) crearea unui mediu favorizant pentru inovare. Poate fi exprimat prin schimbări ale ratei și calității ideilor inovatoare emergente; schimbări ale capacității de inovare; și schimbări ale mediului favorizant.</w:t>
      </w:r>
    </w:p>
    <w:p w:rsidR="00820D3A" w:rsidRPr="005E61D0" w:rsidRDefault="00820D3A" w:rsidP="00820D3A">
      <w:pPr>
        <w:rPr>
          <w:rFonts w:cs="Arial"/>
          <w:i/>
          <w:color w:val="404040" w:themeColor="background1" w:themeShade="40"/>
          <w:sz w:val="16"/>
          <w:szCs w:val="16"/>
        </w:rPr>
      </w:pPr>
      <w:r>
        <w:rPr>
          <w:i/>
          <w:color w:val="404040" w:themeColor="background1" w:themeShade="40"/>
          <w:sz w:val="16"/>
          <w:szCs w:val="16"/>
          <w:u w:val="single"/>
        </w:rPr>
        <w:t>Referință:</w:t>
      </w:r>
      <w:r>
        <w:rPr>
          <w:i/>
          <w:color w:val="404040" w:themeColor="background1" w:themeShade="40"/>
          <w:sz w:val="16"/>
          <w:szCs w:val="16"/>
        </w:rPr>
        <w:t xml:space="preserve"> Grupul de lucru tematic </w:t>
      </w:r>
      <w:r w:rsidRPr="00FA63BD">
        <w:rPr>
          <w:i/>
          <w:color w:val="404040" w:themeColor="background1" w:themeShade="40"/>
          <w:sz w:val="16"/>
          <w:szCs w:val="16"/>
        </w:rPr>
        <w:t>4</w:t>
      </w:r>
      <w:r>
        <w:rPr>
          <w:i/>
          <w:color w:val="404040" w:themeColor="background1" w:themeShade="40"/>
          <w:sz w:val="16"/>
          <w:szCs w:val="16"/>
        </w:rPr>
        <w:t xml:space="preserve"> (TWG-</w:t>
      </w:r>
      <w:r w:rsidRPr="00FA63BD">
        <w:rPr>
          <w:i/>
          <w:color w:val="404040" w:themeColor="background1" w:themeShade="40"/>
          <w:sz w:val="16"/>
          <w:szCs w:val="16"/>
        </w:rPr>
        <w:t>4</w:t>
      </w:r>
      <w:r>
        <w:rPr>
          <w:i/>
          <w:color w:val="404040" w:themeColor="background1" w:themeShade="40"/>
          <w:sz w:val="16"/>
          <w:szCs w:val="16"/>
        </w:rPr>
        <w:t>)</w:t>
      </w:r>
    </w:p>
    <w:p w:rsidR="00820D3A" w:rsidRPr="009125CD" w:rsidRDefault="00820D3A" w:rsidP="00820D3A">
      <w:pPr>
        <w:rPr>
          <w:rFonts w:eastAsia="Arial" w:cs="Arial"/>
          <w:b/>
          <w:color w:val="57825E"/>
          <w:szCs w:val="20"/>
        </w:rPr>
      </w:pPr>
      <w:r>
        <w:rPr>
          <w:b/>
          <w:color w:val="57825E"/>
          <w:szCs w:val="20"/>
        </w:rPr>
        <w:t>Schimburi tematice și analitice</w:t>
      </w:r>
    </w:p>
    <w:p w:rsidR="00820D3A" w:rsidRDefault="00820D3A" w:rsidP="00820D3A">
      <w:pPr>
        <w:rPr>
          <w:rFonts w:cs="Arial"/>
          <w:color w:val="404040" w:themeColor="background1" w:themeShade="40"/>
          <w:szCs w:val="20"/>
        </w:rPr>
      </w:pPr>
      <w:r>
        <w:rPr>
          <w:color w:val="404040" w:themeColor="background1" w:themeShade="40"/>
          <w:szCs w:val="20"/>
        </w:rPr>
        <w:t>Schimburile pot fi promovate de RNDR-uri sub diferite forme. Cea mai comună formă de schimburi tematice dezvoltată de RNDR-uri au reprezentat-o grupurile de lucru tematice permanente sau ad-hoc. Grupurile de lucru tematice ale RNDR-urilor reunesc diverse părți interesate pentru a discuta, a analiza și a împărtăși informații pe teme comune, rezultând adesea recomandări legate de punerea în aplicare și programarea PDR.</w:t>
      </w:r>
    </w:p>
    <w:p w:rsidR="00820D3A" w:rsidRPr="00A05F6E" w:rsidRDefault="00820D3A" w:rsidP="00820D3A">
      <w:pPr>
        <w:jc w:val="left"/>
        <w:rPr>
          <w:rFonts w:eastAsia="Arial" w:cs="Arial"/>
          <w:color w:val="404040" w:themeColor="background1" w:themeShade="40"/>
          <w:szCs w:val="20"/>
        </w:rPr>
      </w:pPr>
      <w:r>
        <w:rPr>
          <w:i/>
          <w:color w:val="404040" w:themeColor="background1" w:themeShade="40"/>
          <w:sz w:val="16"/>
          <w:szCs w:val="16"/>
          <w:u w:val="single"/>
        </w:rPr>
        <w:t xml:space="preserve"> Referință:</w:t>
      </w:r>
      <w:r>
        <w:rPr>
          <w:i/>
          <w:color w:val="404040" w:themeColor="background1" w:themeShade="40"/>
          <w:sz w:val="16"/>
          <w:szCs w:val="16"/>
        </w:rPr>
        <w:t xml:space="preserve"> Ghidul privind RNDR: </w:t>
      </w:r>
      <w:hyperlink r:id="rId141" w:history="1">
        <w:r>
          <w:rPr>
            <w:rStyle w:val="Hyperlink"/>
            <w:i/>
            <w:szCs w:val="16"/>
          </w:rPr>
          <w:t>http://enrd.ec.europa.eu/enrd-static/app_templates/enrd_assets/pdf/guidebook/nrn_handbook_webversion.pdf</w:t>
        </w:r>
      </w:hyperlink>
    </w:p>
    <w:p w:rsidR="00820D3A" w:rsidRDefault="00820D3A" w:rsidP="00820D3A">
      <w:pPr>
        <w:rPr>
          <w:rFonts w:eastAsia="Arial" w:cs="Arial"/>
          <w:b/>
          <w:color w:val="57825E"/>
          <w:szCs w:val="20"/>
        </w:rPr>
      </w:pPr>
      <w:r>
        <w:rPr>
          <w:b/>
          <w:color w:val="57825E"/>
          <w:szCs w:val="20"/>
        </w:rPr>
        <w:t>Servicii de sprijinire a inovării</w:t>
      </w:r>
    </w:p>
    <w:p w:rsidR="00820D3A" w:rsidRDefault="00820D3A" w:rsidP="00820D3A">
      <w:pPr>
        <w:rPr>
          <w:rFonts w:cs="Arial"/>
          <w:color w:val="404040" w:themeColor="background1" w:themeShade="40"/>
          <w:szCs w:val="20"/>
        </w:rPr>
      </w:pPr>
      <w:r>
        <w:rPr>
          <w:color w:val="404040" w:themeColor="background1" w:themeShade="40"/>
          <w:szCs w:val="20"/>
        </w:rPr>
        <w:t>Serviciile de sprijinire a inovării funcționează utilizând modele adaptate condițiilor locale și ar putea avea un rol important în a aduce oamenii potriviți în cadrul proiectelor, creând legături între fermieri și consilieri, pe de o parte, și cercetători, pe de altă parte, și contribuind la găsirea finanțării.</w:t>
      </w:r>
    </w:p>
    <w:p w:rsidR="00820D3A" w:rsidRPr="009125CD" w:rsidRDefault="00820D3A" w:rsidP="00820D3A">
      <w:pPr>
        <w:rPr>
          <w:rFonts w:cs="Arial"/>
          <w:color w:val="404040" w:themeColor="background1" w:themeShade="40"/>
          <w:szCs w:val="20"/>
        </w:rPr>
      </w:pPr>
      <w:r>
        <w:rPr>
          <w:i/>
          <w:color w:val="404040" w:themeColor="background1" w:themeShade="40"/>
          <w:sz w:val="16"/>
          <w:szCs w:val="16"/>
          <w:u w:val="single"/>
        </w:rPr>
        <w:t>Referință:</w:t>
      </w:r>
      <w:r>
        <w:rPr>
          <w:i/>
          <w:color w:val="404040" w:themeColor="background1" w:themeShade="40"/>
          <w:sz w:val="16"/>
          <w:szCs w:val="16"/>
        </w:rPr>
        <w:t xml:space="preserve"> Broșura PEI-AGRI privind serviciile de sprijinire a inovării: </w:t>
      </w:r>
      <w:hyperlink r:id="rId142" w:history="1">
        <w:r>
          <w:rPr>
            <w:rStyle w:val="Hyperlink"/>
            <w:i/>
            <w:szCs w:val="16"/>
          </w:rPr>
          <w:t>https://ec.europa.eu/eip/agriculture/en/content/innovation-support-services</w:t>
        </w:r>
      </w:hyperlink>
      <w:r>
        <w:rPr>
          <w:i/>
          <w:color w:val="404040" w:themeColor="background1" w:themeShade="40"/>
          <w:sz w:val="16"/>
          <w:szCs w:val="16"/>
        </w:rPr>
        <w:t>.</w:t>
      </w:r>
    </w:p>
    <w:p w:rsidR="0025413B" w:rsidRPr="009125CD" w:rsidRDefault="0025413B" w:rsidP="0025413B">
      <w:pPr>
        <w:rPr>
          <w:rFonts w:eastAsia="Arial" w:cs="Arial"/>
          <w:b/>
          <w:color w:val="57825E"/>
          <w:szCs w:val="20"/>
        </w:rPr>
      </w:pPr>
      <w:r>
        <w:rPr>
          <w:b/>
          <w:color w:val="57825E"/>
          <w:szCs w:val="20"/>
        </w:rPr>
        <w:t>Sistem de inovare</w:t>
      </w:r>
    </w:p>
    <w:p w:rsidR="0025413B" w:rsidRDefault="0025413B" w:rsidP="0025413B">
      <w:pPr>
        <w:rPr>
          <w:rFonts w:cs="Arial"/>
          <w:color w:val="404040" w:themeColor="background1" w:themeShade="40"/>
          <w:szCs w:val="20"/>
        </w:rPr>
      </w:pPr>
      <w:r>
        <w:rPr>
          <w:color w:val="404040" w:themeColor="background1" w:themeShade="40"/>
          <w:szCs w:val="20"/>
        </w:rPr>
        <w:t>„Grupuri de organizații și persoane implicate în generarea, difuzarea și adaptarea, precum și utilizarea cunoștințelor de importanță socioeconomică, precum și contextul instituțional care reglementează modul în care au loc aceste interacțiuni și procese”.</w:t>
      </w:r>
    </w:p>
    <w:p w:rsidR="0025413B" w:rsidRDefault="0025413B" w:rsidP="0025413B">
      <w:pPr>
        <w:rPr>
          <w:rFonts w:cs="Arial"/>
          <w:color w:val="404040" w:themeColor="background1" w:themeShade="40"/>
          <w:szCs w:val="20"/>
        </w:rPr>
      </w:pPr>
      <w:r>
        <w:rPr>
          <w:i/>
          <w:color w:val="404040" w:themeColor="background1" w:themeShade="40"/>
          <w:sz w:val="16"/>
          <w:szCs w:val="16"/>
          <w:u w:val="single"/>
        </w:rPr>
        <w:t>Referință:</w:t>
      </w:r>
      <w:r>
        <w:rPr>
          <w:i/>
          <w:color w:val="404040" w:themeColor="background1" w:themeShade="40"/>
          <w:sz w:val="16"/>
          <w:szCs w:val="16"/>
        </w:rPr>
        <w:t xml:space="preserve"> Hall, A., S. Rasheed, N. Clark, și B. Yoganand. </w:t>
      </w:r>
      <w:r w:rsidRPr="00FA63BD">
        <w:rPr>
          <w:i/>
          <w:color w:val="404040" w:themeColor="background1" w:themeShade="40"/>
          <w:sz w:val="16"/>
          <w:szCs w:val="16"/>
        </w:rPr>
        <w:t>2003</w:t>
      </w:r>
      <w:r>
        <w:rPr>
          <w:i/>
          <w:color w:val="404040" w:themeColor="background1" w:themeShade="40"/>
          <w:sz w:val="16"/>
          <w:szCs w:val="16"/>
        </w:rPr>
        <w:t xml:space="preserve">. From measuring impact to learning institutional lessons: an innovation system’s perspective on improving the management of international agricultural research. Agricultural Systems </w:t>
      </w:r>
      <w:r w:rsidRPr="00FA63BD">
        <w:rPr>
          <w:i/>
          <w:color w:val="404040" w:themeColor="background1" w:themeShade="40"/>
          <w:sz w:val="16"/>
          <w:szCs w:val="16"/>
        </w:rPr>
        <w:t>78</w:t>
      </w:r>
      <w:r>
        <w:rPr>
          <w:i/>
          <w:color w:val="404040" w:themeColor="background1" w:themeShade="40"/>
          <w:sz w:val="16"/>
          <w:szCs w:val="16"/>
        </w:rPr>
        <w:t xml:space="preserve">: </w:t>
      </w:r>
      <w:r w:rsidRPr="00FA63BD">
        <w:rPr>
          <w:i/>
          <w:color w:val="404040" w:themeColor="background1" w:themeShade="40"/>
          <w:sz w:val="16"/>
          <w:szCs w:val="16"/>
        </w:rPr>
        <w:t>213</w:t>
      </w:r>
      <w:r>
        <w:rPr>
          <w:i/>
          <w:color w:val="404040" w:themeColor="background1" w:themeShade="40"/>
          <w:sz w:val="16"/>
          <w:szCs w:val="16"/>
        </w:rPr>
        <w:t>-</w:t>
      </w:r>
      <w:r w:rsidRPr="00FA63BD">
        <w:rPr>
          <w:i/>
          <w:color w:val="404040" w:themeColor="background1" w:themeShade="40"/>
          <w:sz w:val="16"/>
          <w:szCs w:val="16"/>
        </w:rPr>
        <w:t>241</w:t>
      </w:r>
      <w:r>
        <w:rPr>
          <w:i/>
          <w:color w:val="404040" w:themeColor="background1" w:themeShade="40"/>
          <w:sz w:val="16"/>
          <w:szCs w:val="16"/>
        </w:rPr>
        <w:t>.</w:t>
      </w:r>
    </w:p>
    <w:p w:rsidR="0025413B" w:rsidRPr="00C6274D" w:rsidRDefault="0025413B" w:rsidP="0025413B">
      <w:pPr>
        <w:rPr>
          <w:rFonts w:cs="Arial"/>
          <w:color w:val="404040" w:themeColor="background1" w:themeShade="40"/>
          <w:szCs w:val="20"/>
        </w:rPr>
        <w:sectPr w:rsidR="0025413B" w:rsidRPr="00C6274D" w:rsidSect="001F6F07">
          <w:type w:val="continuous"/>
          <w:pgSz w:w="11907" w:h="16840" w:code="9"/>
          <w:pgMar w:top="1440" w:right="1440" w:bottom="1134" w:left="1440" w:header="567" w:footer="1020" w:gutter="0"/>
          <w:cols w:num="2" w:space="708"/>
          <w:titlePg/>
          <w:docGrid w:linePitch="435"/>
        </w:sectPr>
      </w:pPr>
    </w:p>
    <w:p w:rsidR="0025413B" w:rsidRPr="00BC0813" w:rsidRDefault="0025413B" w:rsidP="001319A0">
      <w:pPr>
        <w:pStyle w:val="HStandard"/>
      </w:pPr>
    </w:p>
    <w:p w:rsidR="00E05D08" w:rsidRPr="00864E8E" w:rsidRDefault="00E05D08" w:rsidP="00E05D08">
      <w:pPr>
        <w:spacing w:before="60" w:after="140" w:line="220" w:lineRule="atLeast"/>
        <w:rPr>
          <w:rFonts w:eastAsia="Times New Roman" w:cs="Times New Roman"/>
          <w:sz w:val="18"/>
          <w:szCs w:val="24"/>
          <w:lang w:eastAsia="de-DE"/>
        </w:rPr>
        <w:sectPr w:rsidR="00E05D08" w:rsidRPr="00864E8E"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5" w:name="_Toc493151908"/>
      <w:bookmarkStart w:id="146" w:name="_Toc501382138"/>
      <w:bookmarkStart w:id="147" w:name="_Toc508889188"/>
      <w:r>
        <w:lastRenderedPageBreak/>
        <w:t>Identificarea potențialului de inovare al PDR: etapă cu etapă</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rsidTr="00E05D08">
        <w:trPr>
          <w:trHeight w:val="294"/>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Etape</w:t>
            </w:r>
          </w:p>
        </w:tc>
        <w:tc>
          <w:tcPr>
            <w:tcW w:w="326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Întrebări-cheie pentru care trebuie furnizat un răspuns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În ce secțiune a PDR se regăsește?</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Exemple</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Riscuri legate de etapă</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Soluții</w:t>
            </w:r>
          </w:p>
        </w:tc>
      </w:tr>
      <w:tr w:rsidR="00E05D08" w:rsidRPr="00E05D08" w:rsidTr="00E05D08">
        <w:tc>
          <w:tcPr>
            <w:tcW w:w="1980" w:type="dxa"/>
          </w:tcPr>
          <w:p w:rsidR="00E05D08" w:rsidRPr="00F31494" w:rsidRDefault="00E05D08" w:rsidP="00F31494">
            <w:pPr>
              <w:jc w:val="left"/>
              <w:rPr>
                <w:rFonts w:cs="Arial"/>
                <w:color w:val="F07E31"/>
                <w:sz w:val="18"/>
                <w:szCs w:val="18"/>
              </w:rPr>
            </w:pPr>
            <w:r>
              <w:rPr>
                <w:color w:val="F07E31"/>
                <w:sz w:val="18"/>
                <w:szCs w:val="18"/>
              </w:rPr>
              <w:t xml:space="preserve">Etapa </w:t>
            </w:r>
            <w:r w:rsidRPr="00FA63BD">
              <w:rPr>
                <w:color w:val="F07E31"/>
                <w:sz w:val="18"/>
                <w:szCs w:val="18"/>
              </w:rPr>
              <w:t>1</w:t>
            </w:r>
            <w:r>
              <w:rPr>
                <w:color w:val="F07E31"/>
                <w:sz w:val="18"/>
                <w:szCs w:val="18"/>
              </w:rPr>
              <w:t xml:space="preserve">: Identificați legăturile dintre nevoile legate de inovare și măsură/submăsură </w:t>
            </w:r>
          </w:p>
        </w:tc>
        <w:tc>
          <w:tcPr>
            <w:tcW w:w="3260" w:type="dxa"/>
          </w:tcPr>
          <w:p w:rsidR="00E05D08" w:rsidRPr="00E05D08" w:rsidRDefault="00AA5817" w:rsidP="00F31494">
            <w:pPr>
              <w:spacing w:after="120"/>
              <w:jc w:val="left"/>
              <w:rPr>
                <w:rFonts w:cs="Arial"/>
                <w:sz w:val="16"/>
                <w:szCs w:val="16"/>
              </w:rPr>
            </w:pPr>
            <w:r>
              <w:rPr>
                <w:sz w:val="16"/>
                <w:szCs w:val="16"/>
              </w:rPr>
              <w:t>Care sunt nevoile legate de inovare identificate în evaluarea nevoilor în legătură cu măsura/submăsura?</w:t>
            </w:r>
          </w:p>
          <w:p w:rsidR="00E05D08" w:rsidRPr="00E05D08" w:rsidRDefault="00E05D08" w:rsidP="00F31494">
            <w:pPr>
              <w:spacing w:after="120"/>
              <w:jc w:val="left"/>
              <w:rPr>
                <w:rFonts w:cs="Arial"/>
                <w:sz w:val="16"/>
                <w:szCs w:val="16"/>
              </w:rPr>
            </w:pPr>
            <w:r>
              <w:rPr>
                <w:sz w:val="16"/>
                <w:szCs w:val="16"/>
              </w:rPr>
              <w:t>Cum răspunde măsura/submăsura acestor nevoi, luând în considerare cele trei modalități?</w:t>
            </w:r>
          </w:p>
        </w:tc>
        <w:tc>
          <w:tcPr>
            <w:tcW w:w="2268" w:type="dxa"/>
          </w:tcPr>
          <w:p w:rsidR="00E05D08" w:rsidRPr="00E05D08" w:rsidRDefault="00E05D08" w:rsidP="00F31494">
            <w:pPr>
              <w:jc w:val="left"/>
              <w:rPr>
                <w:rFonts w:cs="Arial"/>
                <w:sz w:val="16"/>
                <w:szCs w:val="16"/>
              </w:rPr>
            </w:pPr>
            <w:r>
              <w:rPr>
                <w:sz w:val="16"/>
                <w:szCs w:val="16"/>
              </w:rPr>
              <w:t xml:space="preserve">Secțiunea </w:t>
            </w:r>
            <w:r w:rsidRPr="00FA63BD">
              <w:rPr>
                <w:sz w:val="16"/>
                <w:szCs w:val="16"/>
              </w:rPr>
              <w:t>4</w:t>
            </w:r>
            <w:r>
              <w:rPr>
                <w:sz w:val="16"/>
                <w:szCs w:val="16"/>
              </w:rPr>
              <w:t xml:space="preserve"> – Analiza SWOT și analiza nevoilor</w:t>
            </w:r>
          </w:p>
          <w:p w:rsidR="00E05D08" w:rsidRPr="00E05D08" w:rsidRDefault="00E05D08" w:rsidP="00F31494">
            <w:pPr>
              <w:jc w:val="left"/>
              <w:rPr>
                <w:rFonts w:cs="Arial"/>
                <w:sz w:val="16"/>
                <w:szCs w:val="16"/>
              </w:rPr>
            </w:pPr>
            <w:r>
              <w:rPr>
                <w:sz w:val="16"/>
                <w:szCs w:val="16"/>
              </w:rPr>
              <w:t xml:space="preserve">Secțiunea </w:t>
            </w:r>
            <w:r w:rsidRPr="00FA63BD">
              <w:rPr>
                <w:sz w:val="16"/>
                <w:szCs w:val="16"/>
              </w:rPr>
              <w:t>5</w:t>
            </w:r>
            <w:r>
              <w:rPr>
                <w:sz w:val="16"/>
                <w:szCs w:val="16"/>
              </w:rPr>
              <w:t xml:space="preserve"> – Descrierea strategiei</w:t>
            </w:r>
          </w:p>
          <w:p w:rsidR="00E05D08" w:rsidRPr="00E05D08" w:rsidRDefault="00E05D08" w:rsidP="00F31494">
            <w:pPr>
              <w:jc w:val="left"/>
              <w:rPr>
                <w:rFonts w:cs="Arial"/>
                <w:sz w:val="16"/>
                <w:szCs w:val="16"/>
              </w:rPr>
            </w:pPr>
            <w:r>
              <w:rPr>
                <w:sz w:val="16"/>
                <w:szCs w:val="16"/>
              </w:rPr>
              <w:t xml:space="preserve">Secțiunea </w:t>
            </w:r>
            <w:r w:rsidRPr="00FA63BD">
              <w:rPr>
                <w:sz w:val="16"/>
                <w:szCs w:val="16"/>
              </w:rPr>
              <w:t>8</w:t>
            </w:r>
            <w:r>
              <w:rPr>
                <w:sz w:val="16"/>
                <w:szCs w:val="16"/>
              </w:rPr>
              <w:t xml:space="preserve"> – Descrierea măsurilor și a submăsurilor</w:t>
            </w:r>
          </w:p>
        </w:tc>
        <w:tc>
          <w:tcPr>
            <w:tcW w:w="2693" w:type="dxa"/>
          </w:tcPr>
          <w:p w:rsidR="00E05D08" w:rsidRPr="00E05D08" w:rsidRDefault="00E05D08" w:rsidP="00F31494">
            <w:pPr>
              <w:jc w:val="left"/>
              <w:rPr>
                <w:rFonts w:cs="Arial"/>
                <w:sz w:val="16"/>
                <w:szCs w:val="16"/>
              </w:rPr>
            </w:pPr>
            <w:r>
              <w:rPr>
                <w:sz w:val="16"/>
                <w:szCs w:val="16"/>
              </w:rPr>
              <w:t>Nevoia de a îmbunătăți sistemul de cercetare, de dezvoltare și de inovare; Nevoia de a îmbunătăți transferul de mecanisme de cunoaștere; Nevoia de a promova o cultură a inovării în rândul actorilor din sectorul agroalimentar.</w:t>
            </w:r>
          </w:p>
        </w:tc>
        <w:tc>
          <w:tcPr>
            <w:tcW w:w="2268" w:type="dxa"/>
          </w:tcPr>
          <w:p w:rsidR="00E05D08" w:rsidRPr="00E05D08" w:rsidRDefault="00AA5817" w:rsidP="00963A81">
            <w:pPr>
              <w:jc w:val="left"/>
              <w:rPr>
                <w:rFonts w:cs="Arial"/>
                <w:sz w:val="16"/>
                <w:szCs w:val="16"/>
              </w:rPr>
            </w:pPr>
            <w:r>
              <w:rPr>
                <w:sz w:val="16"/>
                <w:szCs w:val="16"/>
              </w:rPr>
              <w:t xml:space="preserve">Nevoile legate de inovare nu au fost menționate în mod clar în analiza SWOT și în evaluarea nevoilor. </w:t>
            </w:r>
          </w:p>
        </w:tc>
        <w:tc>
          <w:tcPr>
            <w:tcW w:w="2410" w:type="dxa"/>
          </w:tcPr>
          <w:p w:rsidR="00E05D08" w:rsidRPr="00E05D08" w:rsidRDefault="00E05D08" w:rsidP="00F31494">
            <w:pPr>
              <w:jc w:val="left"/>
              <w:rPr>
                <w:rFonts w:cs="Arial"/>
                <w:sz w:val="16"/>
                <w:szCs w:val="16"/>
              </w:rPr>
            </w:pPr>
            <w:r>
              <w:rPr>
                <w:sz w:val="16"/>
                <w:szCs w:val="16"/>
              </w:rPr>
              <w:t>Revizuiți analiza SWOT și analiza nevoilor din punctul de vedere al nevoilor legate de inovare.</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 xml:space="preserve">Etapa </w:t>
            </w:r>
            <w:r w:rsidRPr="00FA63BD">
              <w:rPr>
                <w:color w:val="F07E31"/>
                <w:sz w:val="18"/>
                <w:szCs w:val="18"/>
              </w:rPr>
              <w:t>2</w:t>
            </w:r>
            <w:r>
              <w:rPr>
                <w:color w:val="F07E31"/>
                <w:sz w:val="18"/>
                <w:szCs w:val="18"/>
              </w:rPr>
              <w:t>: Identificați părțile legate de inovare ale obiectivelor măsurii/submăsurii</w:t>
            </w:r>
          </w:p>
        </w:tc>
        <w:tc>
          <w:tcPr>
            <w:tcW w:w="3260" w:type="dxa"/>
          </w:tcPr>
          <w:p w:rsidR="00E05D08" w:rsidRPr="00E05D08" w:rsidRDefault="00E05D08" w:rsidP="00F31494">
            <w:pPr>
              <w:spacing w:after="120"/>
              <w:jc w:val="left"/>
              <w:rPr>
                <w:rFonts w:cs="Arial"/>
                <w:sz w:val="16"/>
                <w:szCs w:val="16"/>
              </w:rPr>
            </w:pPr>
            <w:r>
              <w:rPr>
                <w:sz w:val="16"/>
                <w:szCs w:val="16"/>
              </w:rPr>
              <w:t>În ce măsură obiectivele măsurii/submăsurii vizează nevoile legate de inovare?</w:t>
            </w:r>
          </w:p>
          <w:p w:rsidR="00E05D08" w:rsidRPr="00E05D08" w:rsidRDefault="00E05D08" w:rsidP="00F31494">
            <w:pPr>
              <w:spacing w:after="120"/>
              <w:jc w:val="left"/>
              <w:rPr>
                <w:rFonts w:cs="Arial"/>
                <w:sz w:val="16"/>
                <w:szCs w:val="16"/>
              </w:rPr>
            </w:pPr>
            <w:r>
              <w:rPr>
                <w:sz w:val="16"/>
                <w:szCs w:val="16"/>
              </w:rPr>
              <w:t>Cum este formulat obiectivul/sunt formulate obiectivele în raport cu inovarea?</w:t>
            </w:r>
          </w:p>
        </w:tc>
        <w:tc>
          <w:tcPr>
            <w:tcW w:w="2268" w:type="dxa"/>
          </w:tcPr>
          <w:p w:rsidR="00E05D08" w:rsidRPr="00E05D08" w:rsidRDefault="00E05D08" w:rsidP="00F31494">
            <w:pPr>
              <w:jc w:val="left"/>
              <w:rPr>
                <w:rFonts w:cs="Arial"/>
                <w:sz w:val="16"/>
                <w:szCs w:val="16"/>
              </w:rPr>
            </w:pPr>
            <w:r>
              <w:rPr>
                <w:sz w:val="16"/>
                <w:szCs w:val="16"/>
              </w:rPr>
              <w:t xml:space="preserve">Secțiunea </w:t>
            </w:r>
            <w:r w:rsidRPr="00FA63BD">
              <w:rPr>
                <w:sz w:val="16"/>
                <w:szCs w:val="16"/>
              </w:rPr>
              <w:t>5</w:t>
            </w:r>
            <w:r>
              <w:rPr>
                <w:sz w:val="16"/>
                <w:szCs w:val="16"/>
              </w:rPr>
              <w:t xml:space="preserve"> – Descrierea strategiei</w:t>
            </w:r>
          </w:p>
          <w:p w:rsidR="00E05D08" w:rsidRPr="00E05D08" w:rsidRDefault="00E05D08" w:rsidP="00F31494">
            <w:pPr>
              <w:jc w:val="left"/>
              <w:rPr>
                <w:rFonts w:cs="Arial"/>
                <w:sz w:val="16"/>
                <w:szCs w:val="16"/>
              </w:rPr>
            </w:pPr>
            <w:r>
              <w:rPr>
                <w:sz w:val="16"/>
                <w:szCs w:val="16"/>
              </w:rPr>
              <w:t xml:space="preserve">Secțiunea </w:t>
            </w:r>
            <w:r w:rsidRPr="00FA63BD">
              <w:rPr>
                <w:sz w:val="16"/>
                <w:szCs w:val="16"/>
              </w:rPr>
              <w:t>8</w:t>
            </w:r>
            <w:r>
              <w:rPr>
                <w:sz w:val="16"/>
                <w:szCs w:val="16"/>
              </w:rPr>
              <w:t xml:space="preserve"> – Descrierea măsurilor și a submăsurilor</w:t>
            </w:r>
          </w:p>
        </w:tc>
        <w:tc>
          <w:tcPr>
            <w:tcW w:w="2693" w:type="dxa"/>
          </w:tcPr>
          <w:p w:rsidR="00E05D08" w:rsidRPr="00E05D08" w:rsidRDefault="00E05D08" w:rsidP="00F31494">
            <w:pPr>
              <w:jc w:val="left"/>
              <w:rPr>
                <w:rFonts w:cs="Arial"/>
                <w:sz w:val="16"/>
                <w:szCs w:val="16"/>
              </w:rPr>
            </w:pPr>
            <w:r>
              <w:rPr>
                <w:sz w:val="16"/>
                <w:szCs w:val="16"/>
              </w:rPr>
              <w:t>Promovarea de noi tehnologii privind sistemele de irigare; Introducerea de noi cunoștințe în domeniul protecției și prelucrării culturilor; Îmbunătățirea prin inovare a rezultatelor economice ale întreprinderilor din mediul rural.</w:t>
            </w:r>
          </w:p>
        </w:tc>
        <w:tc>
          <w:tcPr>
            <w:tcW w:w="2268" w:type="dxa"/>
          </w:tcPr>
          <w:p w:rsidR="00E05D08" w:rsidRPr="00E05D08" w:rsidRDefault="00AA5817" w:rsidP="00F31494">
            <w:pPr>
              <w:jc w:val="left"/>
              <w:rPr>
                <w:rFonts w:cs="Arial"/>
                <w:sz w:val="16"/>
                <w:szCs w:val="16"/>
              </w:rPr>
            </w:pPr>
            <w:r>
              <w:rPr>
                <w:sz w:val="16"/>
                <w:szCs w:val="16"/>
              </w:rPr>
              <w:t>Obiectivele legate de inovare nu sunt evidente în descrierea generală a măsurii și a submăsurilor.</w:t>
            </w:r>
          </w:p>
        </w:tc>
        <w:tc>
          <w:tcPr>
            <w:tcW w:w="2410" w:type="dxa"/>
          </w:tcPr>
          <w:p w:rsidR="00E05D08" w:rsidRPr="00E05D08" w:rsidRDefault="00E05D08" w:rsidP="00F31494">
            <w:pPr>
              <w:jc w:val="left"/>
              <w:rPr>
                <w:rFonts w:cs="Arial"/>
                <w:sz w:val="16"/>
                <w:szCs w:val="16"/>
              </w:rPr>
            </w:pPr>
            <w:r>
              <w:rPr>
                <w:sz w:val="16"/>
                <w:szCs w:val="16"/>
              </w:rPr>
              <w:t>Treceți în revistă toate submăsurile și obiectivele lor pentru a identifica eventualele obiective legate de inovare.</w:t>
            </w:r>
          </w:p>
        </w:tc>
      </w:tr>
      <w:tr w:rsidR="00E05D08" w:rsidRPr="00E05D08" w:rsidTr="00E05D08">
        <w:tc>
          <w:tcPr>
            <w:tcW w:w="1980" w:type="dxa"/>
          </w:tcPr>
          <w:p w:rsidR="00E05D08" w:rsidRPr="00F31494" w:rsidRDefault="00AA5817" w:rsidP="00F31494">
            <w:pPr>
              <w:jc w:val="left"/>
              <w:rPr>
                <w:rFonts w:cs="Arial"/>
                <w:color w:val="F07E31"/>
                <w:sz w:val="18"/>
                <w:szCs w:val="18"/>
              </w:rPr>
            </w:pPr>
            <w:r>
              <w:rPr>
                <w:color w:val="F07E31"/>
                <w:sz w:val="18"/>
                <w:szCs w:val="18"/>
              </w:rPr>
              <w:t xml:space="preserve">Etapa </w:t>
            </w:r>
            <w:r w:rsidRPr="00FA63BD">
              <w:rPr>
                <w:color w:val="F07E31"/>
                <w:sz w:val="18"/>
                <w:szCs w:val="18"/>
              </w:rPr>
              <w:t>3</w:t>
            </w:r>
            <w:r>
              <w:rPr>
                <w:color w:val="F07E31"/>
                <w:sz w:val="18"/>
                <w:szCs w:val="18"/>
              </w:rPr>
              <w:t>: Identificați criteriile de selecție legate de inovare ale măsurii/submăsurii</w:t>
            </w:r>
          </w:p>
        </w:tc>
        <w:tc>
          <w:tcPr>
            <w:tcW w:w="3260" w:type="dxa"/>
          </w:tcPr>
          <w:p w:rsidR="00E05D08" w:rsidRPr="00E05D08" w:rsidRDefault="00E05D08" w:rsidP="00F31494">
            <w:pPr>
              <w:spacing w:after="120"/>
              <w:jc w:val="left"/>
              <w:rPr>
                <w:rFonts w:cs="Arial"/>
                <w:sz w:val="16"/>
                <w:szCs w:val="16"/>
              </w:rPr>
            </w:pPr>
            <w:r>
              <w:rPr>
                <w:sz w:val="16"/>
                <w:szCs w:val="16"/>
              </w:rPr>
              <w:t xml:space="preserve">În ce măsură criteriile de selecție a proiectelor pentru măsură/submăsură promovează încurajarea inovării, luând în considerare cele trei modalități? </w:t>
            </w:r>
          </w:p>
          <w:p w:rsidR="00E05D08" w:rsidRPr="00E05D08" w:rsidRDefault="00E05D08" w:rsidP="00F31494">
            <w:pPr>
              <w:spacing w:after="120"/>
              <w:jc w:val="left"/>
              <w:rPr>
                <w:rFonts w:cs="Arial"/>
                <w:sz w:val="16"/>
                <w:szCs w:val="16"/>
              </w:rPr>
            </w:pPr>
            <w:r>
              <w:rPr>
                <w:sz w:val="16"/>
                <w:szCs w:val="16"/>
              </w:rPr>
              <w:t>Ce criterii de selecție concrete promovează proiecte care încurajează inovarea?</w:t>
            </w:r>
          </w:p>
        </w:tc>
        <w:tc>
          <w:tcPr>
            <w:tcW w:w="2268" w:type="dxa"/>
          </w:tcPr>
          <w:p w:rsidR="00E05D08" w:rsidRPr="00E05D08" w:rsidRDefault="00E05D08" w:rsidP="00F31494">
            <w:pPr>
              <w:jc w:val="left"/>
              <w:rPr>
                <w:rFonts w:cs="Arial"/>
                <w:sz w:val="16"/>
                <w:szCs w:val="16"/>
              </w:rPr>
            </w:pPr>
            <w:r>
              <w:rPr>
                <w:sz w:val="16"/>
                <w:szCs w:val="16"/>
              </w:rPr>
              <w:t xml:space="preserve">Secțiunea </w:t>
            </w:r>
            <w:r w:rsidRPr="00FA63BD">
              <w:rPr>
                <w:sz w:val="16"/>
                <w:szCs w:val="16"/>
              </w:rPr>
              <w:t>8</w:t>
            </w:r>
            <w:r>
              <w:rPr>
                <w:sz w:val="16"/>
                <w:szCs w:val="16"/>
              </w:rPr>
              <w:t xml:space="preserve"> – Descrierea măsurilor și a submăsurilor</w:t>
            </w:r>
          </w:p>
          <w:p w:rsidR="00E05D08" w:rsidRPr="00E05D08" w:rsidRDefault="00E05D08" w:rsidP="00F31494">
            <w:pPr>
              <w:jc w:val="left"/>
              <w:rPr>
                <w:rFonts w:cs="Arial"/>
                <w:sz w:val="16"/>
                <w:szCs w:val="16"/>
              </w:rPr>
            </w:pPr>
            <w:r>
              <w:rPr>
                <w:sz w:val="16"/>
                <w:szCs w:val="16"/>
              </w:rPr>
              <w:t>Criteriile de selecție elaborate pe parcursul punerii în aplicare (sursa: site-ul programului, autoritatea de management)</w:t>
            </w:r>
          </w:p>
        </w:tc>
        <w:tc>
          <w:tcPr>
            <w:tcW w:w="2693" w:type="dxa"/>
          </w:tcPr>
          <w:p w:rsidR="00E05D08" w:rsidRPr="00E05D08" w:rsidRDefault="00E05D08" w:rsidP="00F31494">
            <w:pPr>
              <w:jc w:val="left"/>
              <w:rPr>
                <w:rFonts w:cs="Arial"/>
                <w:sz w:val="16"/>
                <w:szCs w:val="16"/>
              </w:rPr>
            </w:pPr>
            <w:r>
              <w:rPr>
                <w:sz w:val="16"/>
                <w:szCs w:val="16"/>
              </w:rPr>
              <w:t>Acordarea de prioritate actorilor cu experiență în inovare; Acordarea de prioritate operațiunilor care creează legături între cercetare și practică; Evidențierea componenței parteneriatelor (în cadrul operațiunilor de cooperare).</w:t>
            </w:r>
          </w:p>
        </w:tc>
        <w:tc>
          <w:tcPr>
            <w:tcW w:w="2268" w:type="dxa"/>
          </w:tcPr>
          <w:p w:rsidR="00E05D08" w:rsidRPr="00E05D08" w:rsidRDefault="00E05D08" w:rsidP="00F31494">
            <w:pPr>
              <w:jc w:val="left"/>
              <w:rPr>
                <w:rFonts w:cs="Arial"/>
                <w:sz w:val="16"/>
                <w:szCs w:val="16"/>
              </w:rPr>
            </w:pPr>
            <w:r>
              <w:rPr>
                <w:sz w:val="16"/>
                <w:szCs w:val="16"/>
              </w:rPr>
              <w:t xml:space="preserve">Descrierea măsurilor nu specifică criteriile de selecție a proiectelor legate de inovare sau aplică doar o formulă generală, de exemplu „Proiectele selectate sunt inovatoare”. </w:t>
            </w:r>
          </w:p>
        </w:tc>
        <w:tc>
          <w:tcPr>
            <w:tcW w:w="2410" w:type="dxa"/>
          </w:tcPr>
          <w:p w:rsidR="00E05D08" w:rsidRPr="00E05D08" w:rsidRDefault="00E05D08" w:rsidP="00F31494">
            <w:pPr>
              <w:jc w:val="left"/>
              <w:rPr>
                <w:rFonts w:cs="Arial"/>
                <w:sz w:val="16"/>
                <w:szCs w:val="16"/>
              </w:rPr>
            </w:pPr>
            <w:r>
              <w:rPr>
                <w:sz w:val="16"/>
                <w:szCs w:val="16"/>
              </w:rPr>
              <w:t>Propuneți criterii operaționale care ar preciza condițiile în care proiectul este selectat ca fiind inovator.</w:t>
            </w:r>
          </w:p>
        </w:tc>
      </w:tr>
      <w:tr w:rsidR="00E05D08" w:rsidRPr="00E05D08" w:rsidTr="00E05D08">
        <w:tc>
          <w:tcPr>
            <w:tcW w:w="1980" w:type="dxa"/>
          </w:tcPr>
          <w:p w:rsidR="00E05D08" w:rsidRPr="00F31494" w:rsidRDefault="00E05D08" w:rsidP="00F31494">
            <w:pPr>
              <w:spacing w:after="120"/>
              <w:jc w:val="left"/>
              <w:rPr>
                <w:rFonts w:cs="Arial"/>
                <w:color w:val="F07E31"/>
                <w:sz w:val="18"/>
                <w:szCs w:val="18"/>
              </w:rPr>
            </w:pPr>
            <w:r>
              <w:rPr>
                <w:color w:val="F07E31"/>
                <w:sz w:val="18"/>
                <w:szCs w:val="18"/>
              </w:rPr>
              <w:t xml:space="preserve">Etapa </w:t>
            </w:r>
            <w:r w:rsidRPr="00FA63BD">
              <w:rPr>
                <w:color w:val="F07E31"/>
                <w:sz w:val="18"/>
                <w:szCs w:val="18"/>
              </w:rPr>
              <w:t>4</w:t>
            </w:r>
            <w:r>
              <w:rPr>
                <w:color w:val="F07E31"/>
                <w:sz w:val="18"/>
                <w:szCs w:val="18"/>
              </w:rPr>
              <w:t>: Identificați părțile interesate din domeniul inovării în descrierea măsurii/submăsurii</w:t>
            </w:r>
          </w:p>
        </w:tc>
        <w:tc>
          <w:tcPr>
            <w:tcW w:w="3260" w:type="dxa"/>
          </w:tcPr>
          <w:p w:rsidR="00E05D08" w:rsidRPr="00E05D08" w:rsidRDefault="00E05D08" w:rsidP="00F31494">
            <w:pPr>
              <w:spacing w:after="120"/>
              <w:jc w:val="left"/>
              <w:rPr>
                <w:rFonts w:cs="Arial"/>
                <w:sz w:val="16"/>
                <w:szCs w:val="16"/>
              </w:rPr>
            </w:pPr>
            <w:r>
              <w:rPr>
                <w:sz w:val="16"/>
                <w:szCs w:val="16"/>
              </w:rPr>
              <w:t>Ce beneficiari sunt avuți în vedere pentru a încuraja inovarea prin intermediul celor trei modalități?</w:t>
            </w:r>
          </w:p>
          <w:p w:rsidR="00E05D08" w:rsidRPr="00E05D08" w:rsidRDefault="00E05D08" w:rsidP="00F31494">
            <w:pPr>
              <w:spacing w:after="120"/>
              <w:jc w:val="left"/>
              <w:rPr>
                <w:rFonts w:cs="Arial"/>
                <w:sz w:val="16"/>
                <w:szCs w:val="16"/>
              </w:rPr>
            </w:pPr>
            <w:r>
              <w:rPr>
                <w:sz w:val="16"/>
                <w:szCs w:val="16"/>
              </w:rPr>
              <w:t>Ce alte părți interesate din domeniul inovării sunt implicate în punerea în aplicare a măsurii?</w:t>
            </w:r>
          </w:p>
        </w:tc>
        <w:tc>
          <w:tcPr>
            <w:tcW w:w="2268" w:type="dxa"/>
          </w:tcPr>
          <w:p w:rsidR="00E05D08" w:rsidRPr="00E05D08" w:rsidRDefault="00E05D08" w:rsidP="00F31494">
            <w:pPr>
              <w:jc w:val="left"/>
              <w:rPr>
                <w:rFonts w:cs="Arial"/>
                <w:sz w:val="16"/>
                <w:szCs w:val="16"/>
              </w:rPr>
            </w:pPr>
            <w:r>
              <w:rPr>
                <w:sz w:val="16"/>
                <w:szCs w:val="16"/>
              </w:rPr>
              <w:t xml:space="preserve">Secțiunea </w:t>
            </w:r>
            <w:r w:rsidRPr="00FA63BD">
              <w:rPr>
                <w:sz w:val="16"/>
                <w:szCs w:val="16"/>
              </w:rPr>
              <w:t>8</w:t>
            </w:r>
            <w:r>
              <w:rPr>
                <w:sz w:val="16"/>
                <w:szCs w:val="16"/>
              </w:rPr>
              <w:t xml:space="preserve"> – Descrierea măsurilor și a submăsurilor</w:t>
            </w:r>
          </w:p>
        </w:tc>
        <w:tc>
          <w:tcPr>
            <w:tcW w:w="2693" w:type="dxa"/>
          </w:tcPr>
          <w:p w:rsidR="00E05D08" w:rsidRPr="00E05D08" w:rsidRDefault="00E05D08" w:rsidP="00F31494">
            <w:pPr>
              <w:jc w:val="left"/>
              <w:rPr>
                <w:rFonts w:cs="Arial"/>
                <w:sz w:val="16"/>
                <w:szCs w:val="16"/>
              </w:rPr>
            </w:pPr>
            <w:r>
              <w:rPr>
                <w:sz w:val="16"/>
                <w:szCs w:val="16"/>
              </w:rPr>
              <w:t>Centrele de cercetare și dezvoltare</w:t>
            </w:r>
          </w:p>
          <w:p w:rsidR="00E05D08" w:rsidRPr="00E05D08" w:rsidRDefault="00E05D08" w:rsidP="00F31494">
            <w:pPr>
              <w:jc w:val="left"/>
              <w:rPr>
                <w:rFonts w:cs="Arial"/>
                <w:sz w:val="16"/>
                <w:szCs w:val="16"/>
              </w:rPr>
            </w:pPr>
            <w:r>
              <w:rPr>
                <w:sz w:val="16"/>
                <w:szCs w:val="16"/>
              </w:rPr>
              <w:t>Institutele tehnologice</w:t>
            </w:r>
          </w:p>
          <w:p w:rsidR="00E05D08" w:rsidRPr="00E05D08" w:rsidRDefault="00E05D08" w:rsidP="00F31494">
            <w:pPr>
              <w:jc w:val="left"/>
              <w:rPr>
                <w:rFonts w:cs="Arial"/>
                <w:sz w:val="16"/>
                <w:szCs w:val="16"/>
              </w:rPr>
            </w:pPr>
            <w:r>
              <w:rPr>
                <w:sz w:val="16"/>
                <w:szCs w:val="16"/>
              </w:rPr>
              <w:t>Departamentele de inovare ale instituțiilor publice</w:t>
            </w:r>
          </w:p>
          <w:p w:rsidR="00E05D08" w:rsidRPr="00E05D08" w:rsidRDefault="00E05D08" w:rsidP="00F31494">
            <w:pPr>
              <w:jc w:val="left"/>
              <w:rPr>
                <w:rFonts w:cs="Arial"/>
                <w:sz w:val="16"/>
                <w:szCs w:val="16"/>
                <w:lang w:val="en-GB"/>
              </w:rPr>
            </w:pPr>
          </w:p>
          <w:p w:rsidR="00E05D08" w:rsidRPr="00E05D08" w:rsidRDefault="00E05D08" w:rsidP="00F31494">
            <w:pPr>
              <w:jc w:val="left"/>
              <w:rPr>
                <w:rFonts w:cs="Arial"/>
                <w:sz w:val="16"/>
                <w:szCs w:val="16"/>
                <w:lang w:val="en-GB"/>
              </w:rPr>
            </w:pPr>
          </w:p>
        </w:tc>
        <w:tc>
          <w:tcPr>
            <w:tcW w:w="2268" w:type="dxa"/>
          </w:tcPr>
          <w:p w:rsidR="00E05D08" w:rsidRPr="00E05D08" w:rsidRDefault="00AA5817" w:rsidP="00F31494">
            <w:pPr>
              <w:jc w:val="left"/>
              <w:rPr>
                <w:rFonts w:cs="Arial"/>
                <w:sz w:val="16"/>
                <w:szCs w:val="16"/>
              </w:rPr>
            </w:pPr>
            <w:r>
              <w:rPr>
                <w:sz w:val="16"/>
                <w:szCs w:val="16"/>
              </w:rPr>
              <w:t>Părțile interesate în domeniul inovării pot să nu fie definite în elaborarea măsurii.</w:t>
            </w:r>
          </w:p>
        </w:tc>
        <w:tc>
          <w:tcPr>
            <w:tcW w:w="2410" w:type="dxa"/>
          </w:tcPr>
          <w:p w:rsidR="00E05D08" w:rsidRPr="00E05D08" w:rsidRDefault="00E05D08" w:rsidP="00F31494">
            <w:pPr>
              <w:jc w:val="left"/>
              <w:rPr>
                <w:rFonts w:cs="Arial"/>
                <w:sz w:val="16"/>
                <w:szCs w:val="16"/>
              </w:rPr>
            </w:pPr>
            <w:r>
              <w:rPr>
                <w:sz w:val="16"/>
                <w:szCs w:val="16"/>
              </w:rPr>
              <w:t xml:space="preserve">Evaluatorul ar trebui să analizeze dacă părțile interesate din domeniul inovării au fost implicate în punerea în aplicare a măsurii și a submăsurilor. </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 xml:space="preserve">Etapa </w:t>
            </w:r>
            <w:r w:rsidRPr="00FA63BD">
              <w:rPr>
                <w:color w:val="F07E31"/>
                <w:sz w:val="18"/>
                <w:szCs w:val="18"/>
              </w:rPr>
              <w:t>5</w:t>
            </w:r>
            <w:r>
              <w:rPr>
                <w:color w:val="F07E31"/>
                <w:sz w:val="18"/>
                <w:szCs w:val="18"/>
              </w:rPr>
              <w:t>: Identificați acțiunile, costurile și bugetele legate de inovare în descrierea măsurii/submăsurii</w:t>
            </w:r>
          </w:p>
        </w:tc>
        <w:tc>
          <w:tcPr>
            <w:tcW w:w="3260" w:type="dxa"/>
          </w:tcPr>
          <w:p w:rsidR="00E05D08" w:rsidRPr="00E05D08" w:rsidRDefault="00E05D08" w:rsidP="00F31494">
            <w:pPr>
              <w:spacing w:after="120"/>
              <w:jc w:val="left"/>
              <w:rPr>
                <w:rFonts w:cs="Arial"/>
                <w:sz w:val="16"/>
                <w:szCs w:val="16"/>
              </w:rPr>
            </w:pPr>
            <w:r>
              <w:rPr>
                <w:sz w:val="16"/>
                <w:szCs w:val="16"/>
              </w:rPr>
              <w:t xml:space="preserve">Ce acțiuni și costuri eligibile vor sprijini inovarea? </w:t>
            </w:r>
          </w:p>
          <w:p w:rsidR="00E05D08" w:rsidRPr="00E05D08" w:rsidRDefault="00E05D08" w:rsidP="00963A81">
            <w:pPr>
              <w:spacing w:after="120"/>
              <w:jc w:val="left"/>
              <w:rPr>
                <w:rFonts w:cs="Arial"/>
                <w:sz w:val="16"/>
                <w:szCs w:val="16"/>
              </w:rPr>
            </w:pPr>
            <w:r>
              <w:rPr>
                <w:sz w:val="16"/>
                <w:szCs w:val="16"/>
              </w:rPr>
              <w:t>Care sunt costurile pentru sprijinirea inovării și bugetul pentru acțiuni?</w:t>
            </w:r>
          </w:p>
        </w:tc>
        <w:tc>
          <w:tcPr>
            <w:tcW w:w="2268" w:type="dxa"/>
          </w:tcPr>
          <w:p w:rsidR="00E05D08" w:rsidRPr="00E05D08" w:rsidRDefault="00E05D08" w:rsidP="00F31494">
            <w:pPr>
              <w:jc w:val="left"/>
              <w:rPr>
                <w:rFonts w:cs="Arial"/>
                <w:sz w:val="16"/>
                <w:szCs w:val="16"/>
              </w:rPr>
            </w:pPr>
            <w:r>
              <w:rPr>
                <w:sz w:val="16"/>
                <w:szCs w:val="16"/>
              </w:rPr>
              <w:t xml:space="preserve">Secțiunea </w:t>
            </w:r>
            <w:r w:rsidRPr="00FA63BD">
              <w:rPr>
                <w:sz w:val="16"/>
                <w:szCs w:val="16"/>
              </w:rPr>
              <w:t>8</w:t>
            </w:r>
            <w:r>
              <w:rPr>
                <w:sz w:val="16"/>
                <w:szCs w:val="16"/>
              </w:rPr>
              <w:t xml:space="preserve"> – Descrierea măsurilor și a submăsurilor</w:t>
            </w:r>
          </w:p>
          <w:p w:rsidR="00E05D08" w:rsidRPr="00E05D08" w:rsidRDefault="00E05D08" w:rsidP="00F31494">
            <w:pPr>
              <w:jc w:val="left"/>
              <w:rPr>
                <w:rFonts w:cs="Arial"/>
                <w:sz w:val="16"/>
                <w:szCs w:val="16"/>
              </w:rPr>
            </w:pPr>
            <w:r>
              <w:rPr>
                <w:sz w:val="16"/>
                <w:szCs w:val="16"/>
              </w:rPr>
              <w:t>Sistemele de realizare dezvoltate în timpul punerii în aplicare (surse: site-ul programului, autoritatea de management)</w:t>
            </w:r>
          </w:p>
          <w:p w:rsidR="00E05D08" w:rsidRPr="00864E8E" w:rsidRDefault="00E05D08" w:rsidP="00F31494">
            <w:pPr>
              <w:jc w:val="left"/>
              <w:rPr>
                <w:rFonts w:cs="Arial"/>
                <w:sz w:val="16"/>
                <w:szCs w:val="16"/>
              </w:rPr>
            </w:pPr>
          </w:p>
          <w:p w:rsidR="00E05D08" w:rsidRPr="00E05D08" w:rsidRDefault="00E05D08" w:rsidP="00F31494">
            <w:pPr>
              <w:jc w:val="left"/>
              <w:rPr>
                <w:rFonts w:cs="Arial"/>
                <w:sz w:val="16"/>
                <w:szCs w:val="16"/>
              </w:rPr>
            </w:pPr>
            <w:r>
              <w:rPr>
                <w:sz w:val="16"/>
                <w:szCs w:val="16"/>
              </w:rPr>
              <w:lastRenderedPageBreak/>
              <w:t xml:space="preserve">Secțiunea </w:t>
            </w:r>
            <w:r w:rsidRPr="00FA63BD">
              <w:rPr>
                <w:sz w:val="16"/>
                <w:szCs w:val="16"/>
              </w:rPr>
              <w:t>10</w:t>
            </w:r>
            <w:r>
              <w:rPr>
                <w:sz w:val="16"/>
                <w:szCs w:val="16"/>
              </w:rPr>
              <w:t xml:space="preserve"> – Planul financiar - bugetul în funcție de măsură </w:t>
            </w:r>
          </w:p>
        </w:tc>
        <w:tc>
          <w:tcPr>
            <w:tcW w:w="2693" w:type="dxa"/>
          </w:tcPr>
          <w:p w:rsidR="00E05D08" w:rsidRPr="00E05D08" w:rsidRDefault="00E05D08" w:rsidP="00F31494">
            <w:pPr>
              <w:jc w:val="left"/>
              <w:rPr>
                <w:rFonts w:cs="Arial"/>
                <w:sz w:val="16"/>
                <w:szCs w:val="16"/>
              </w:rPr>
            </w:pPr>
            <w:r>
              <w:rPr>
                <w:sz w:val="16"/>
                <w:szCs w:val="16"/>
              </w:rPr>
              <w:lastRenderedPageBreak/>
              <w:t xml:space="preserve">Utilizarea brokerilor inovaționali pentru crearea grupurilor operaționale. Stabilirea grupurilor de coordonare pentru monitorizarea inovării. Aspecte administrative în intervențiile care promovează inovarea. Evenimente de creștere a gradului de conștientizare cu privire la inovare. </w:t>
            </w:r>
          </w:p>
        </w:tc>
        <w:tc>
          <w:tcPr>
            <w:tcW w:w="2268" w:type="dxa"/>
          </w:tcPr>
          <w:p w:rsidR="00E05D08" w:rsidRPr="00E05D08" w:rsidRDefault="00E05D08" w:rsidP="00F31494">
            <w:pPr>
              <w:jc w:val="left"/>
              <w:rPr>
                <w:rFonts w:cs="Arial"/>
                <w:sz w:val="16"/>
                <w:szCs w:val="16"/>
              </w:rPr>
            </w:pPr>
            <w:r>
              <w:rPr>
                <w:sz w:val="16"/>
                <w:szCs w:val="16"/>
              </w:rPr>
              <w:t>Absența oricăror dovezi privind instrumentele legate de inovare și sprijinul în materie de inovare.</w:t>
            </w:r>
          </w:p>
        </w:tc>
        <w:tc>
          <w:tcPr>
            <w:tcW w:w="2410" w:type="dxa"/>
          </w:tcPr>
          <w:p w:rsidR="00E05D08" w:rsidRPr="00E05D08" w:rsidRDefault="00E05D08" w:rsidP="00F31494">
            <w:pPr>
              <w:jc w:val="left"/>
              <w:rPr>
                <w:rFonts w:cs="Arial"/>
                <w:sz w:val="16"/>
                <w:szCs w:val="16"/>
              </w:rPr>
            </w:pPr>
            <w:r>
              <w:rPr>
                <w:sz w:val="16"/>
                <w:szCs w:val="16"/>
              </w:rPr>
              <w:t>Analizați informațiile suplimentare privind punerea în aplicare a măsurii și a submăsurilor furnizate de rapoartele anuale de punere în aplicare sau de autoritățile de management.</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E05D08" w:rsidRPr="00E05D08" w:rsidRDefault="00E05D08" w:rsidP="00E05D08">
      <w:pPr>
        <w:spacing w:before="120" w:after="120" w:line="280" w:lineRule="atLeast"/>
        <w:mirrorIndents/>
        <w:rPr>
          <w:rFonts w:eastAsia="Times New Roman" w:cs="Times New Roman"/>
          <w:szCs w:val="20"/>
          <w:lang w:eastAsia="de-DE"/>
        </w:rPr>
        <w:sectPr w:rsidR="00E05D08" w:rsidRPr="00E05D08" w:rsidSect="00863DB0">
          <w:endnotePr>
            <w:numFmt w:val="decimal"/>
          </w:endnotePr>
          <w:pgSz w:w="11907" w:h="16840" w:code="9"/>
          <w:pgMar w:top="1440" w:right="1440" w:bottom="1134" w:left="1440" w:header="567" w:footer="1020" w:gutter="0"/>
          <w:cols w:space="708"/>
          <w:noEndnote/>
          <w:titlePg/>
          <w:docGrid w:linePitch="435"/>
        </w:sectPr>
      </w:pPr>
    </w:p>
    <w:p w:rsidR="003F6AF1" w:rsidRDefault="003F6AF1">
      <w:pPr>
        <w:jc w:val="left"/>
        <w:rPr>
          <w:rFonts w:eastAsia="Times New Roman" w:cs="Times New Roman"/>
          <w:szCs w:val="20"/>
          <w:lang w:eastAsia="de-DE"/>
        </w:rPr>
      </w:pPr>
    </w:p>
    <w:p w:rsidR="00E05D08" w:rsidRPr="0081483E" w:rsidRDefault="00E05D08" w:rsidP="00690E70">
      <w:pPr>
        <w:spacing w:after="0" w:line="240" w:lineRule="auto"/>
        <w:jc w:val="left"/>
        <w:rPr>
          <w:rFonts w:eastAsia="Times New Roman" w:cs="Times New Roman"/>
          <w:szCs w:val="20"/>
        </w:rPr>
      </w:pPr>
    </w:p>
    <w:bookmarkEnd w:id="0"/>
    <w:p w:rsidR="00E16522" w:rsidRDefault="00E16522"/>
    <w:sectPr w:rsidR="00E16522" w:rsidSect="00055039">
      <w:headerReference w:type="default" r:id="rId143"/>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4A8F" w:rsidRDefault="00B74A8F" w:rsidP="00E05D08">
      <w:pPr>
        <w:spacing w:after="0" w:line="240" w:lineRule="auto"/>
      </w:pPr>
      <w:r>
        <w:separator/>
      </w:r>
    </w:p>
  </w:endnote>
  <w:endnote w:type="continuationSeparator" w:id="0">
    <w:p w:rsidR="00B74A8F" w:rsidRDefault="00B74A8F"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LT Pro">
    <w:altName w:val="Segoe Script"/>
    <w:panose1 w:val="020B0704020202030204"/>
    <w:charset w:val="00"/>
    <w:family w:val="swiss"/>
    <w:pitch w:val="variable"/>
    <w:sig w:usb0="A00002AF"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Default="008A60B4">
    <w:pPr>
      <w:pStyle w:val="Footer"/>
    </w:pPr>
    <w:r>
      <w:t xml:space="preserve">pagina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1CCE69C5" wp14:editId="35BC62C3">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Pr="00611706" w:rsidRDefault="008A60B4"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rsidR="008A60B4" w:rsidRPr="00611706" w:rsidRDefault="008A60B4">
        <w:pPr>
          <w:pStyle w:val="Footer"/>
          <w:rPr>
            <w:sz w:val="18"/>
            <w:szCs w:val="18"/>
          </w:rPr>
        </w:pPr>
      </w:p>
    </w:sdtContent>
  </w:sdt>
  <w:p w:rsidR="008A60B4" w:rsidRPr="006D33F1" w:rsidRDefault="008A60B4"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Pr="00431FF5" w:rsidRDefault="008A60B4"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Pr="00150D5B" w:rsidRDefault="008A60B4"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rsidR="008A60B4" w:rsidRDefault="008A60B4">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0E1142">
          <w:rPr>
            <w:rStyle w:val="PageNumber"/>
            <w:rFonts w:eastAsiaTheme="majorEastAsia"/>
            <w:noProof/>
            <w:color w:val="373737"/>
            <w:szCs w:val="18"/>
          </w:rPr>
          <w:t>12</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Default="008A60B4">
    <w:pPr>
      <w:pStyle w:val="Footer"/>
    </w:pPr>
    <w:r>
      <w:t xml:space="preserve">pagina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54A10048" wp14:editId="3F94B84D">
          <wp:extent cx="971550" cy="247650"/>
          <wp:effectExtent l="19050" t="0" r="0" b="0"/>
          <wp:docPr id="70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Pr="00611706" w:rsidRDefault="008A60B4"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0E1142">
      <w:rPr>
        <w:rStyle w:val="PageNumber"/>
        <w:rFonts w:eastAsiaTheme="majorEastAsia"/>
        <w:noProof/>
        <w:color w:val="373737"/>
        <w:szCs w:val="18"/>
      </w:rPr>
      <w:t>21</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rsidR="008A60B4" w:rsidRDefault="008A60B4">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0E1142">
          <w:rPr>
            <w:noProof/>
            <w:sz w:val="18"/>
            <w:szCs w:val="18"/>
          </w:rPr>
          <w:t>76</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4A8F" w:rsidRPr="00CE2990" w:rsidRDefault="00B74A8F" w:rsidP="00E05D08">
      <w:pPr>
        <w:spacing w:after="0" w:line="240" w:lineRule="auto"/>
        <w:rPr>
          <w:color w:val="F07E31"/>
        </w:rPr>
      </w:pPr>
      <w:r>
        <w:rPr>
          <w:color w:val="F07E31"/>
        </w:rPr>
        <w:separator/>
      </w:r>
    </w:p>
  </w:footnote>
  <w:footnote w:type="continuationSeparator" w:id="0">
    <w:p w:rsidR="00B74A8F" w:rsidRDefault="00B74A8F" w:rsidP="00E05D08">
      <w:pPr>
        <w:spacing w:after="0" w:line="240" w:lineRule="auto"/>
      </w:pPr>
      <w:r>
        <w:continuationSeparator/>
      </w:r>
    </w:p>
  </w:footnote>
  <w:footnote w:id="1">
    <w:p w:rsidR="008A60B4" w:rsidRPr="00194986" w:rsidRDefault="008A60B4" w:rsidP="00E05D08">
      <w:pPr>
        <w:pStyle w:val="FootnoteText"/>
      </w:pPr>
      <w:r>
        <w:rPr>
          <w:rStyle w:val="FootnoteReference"/>
          <w:rFonts w:cs="Arial"/>
        </w:rPr>
        <w:footnoteRef/>
      </w:r>
      <w:r>
        <w:t xml:space="preserve">Celelalte două obiective transversale sunt: mediul și atenuarea schimbărilor climatice și adaptarea la acestea. </w:t>
      </w:r>
    </w:p>
  </w:footnote>
  <w:footnote w:id="2">
    <w:p w:rsidR="008A60B4" w:rsidRPr="00194986" w:rsidRDefault="008A60B4" w:rsidP="00E05D08">
      <w:pPr>
        <w:pStyle w:val="FootnoteText"/>
      </w:pPr>
      <w:r>
        <w:rPr>
          <w:rStyle w:val="FootnoteReference"/>
          <w:rFonts w:cs="Arial"/>
        </w:rPr>
        <w:footnoteRef/>
      </w:r>
      <w:r>
        <w:t xml:space="preserve"> </w:t>
      </w:r>
      <w:r>
        <w:t xml:space="preserve">Articolul </w:t>
      </w:r>
      <w:r w:rsidRPr="00FA63BD">
        <w:t>8</w:t>
      </w:r>
      <w:r>
        <w:t xml:space="preserve"> alineatul (</w:t>
      </w:r>
      <w:r w:rsidRPr="00FA63BD">
        <w:t>1</w:t>
      </w:r>
      <w:r>
        <w:t xml:space="preserve">) litera (c) punctul (v) din Regulamentul (UE) nr. </w:t>
      </w:r>
      <w:r w:rsidRPr="00FA63BD">
        <w:t>1305</w:t>
      </w:r>
      <w:r>
        <w:t>/</w:t>
      </w:r>
      <w:r w:rsidRPr="00FA63BD">
        <w:t>2013</w:t>
      </w:r>
      <w:r>
        <w:t xml:space="preserve"> și partea I punctul </w:t>
      </w:r>
      <w:r w:rsidRPr="00FA63BD">
        <w:t>5</w:t>
      </w:r>
      <w:r>
        <w:t xml:space="preserve"> litera (c) din anexa I la Regulamentul (UE) nr. </w:t>
      </w:r>
      <w:r w:rsidRPr="00FA63BD">
        <w:t>808</w:t>
      </w:r>
      <w:r>
        <w:t>/</w:t>
      </w:r>
      <w:r w:rsidRPr="00FA63BD">
        <w:t>2014</w:t>
      </w:r>
      <w:r>
        <w:t>.</w:t>
      </w:r>
    </w:p>
  </w:footnote>
  <w:footnote w:id="3">
    <w:p w:rsidR="008A60B4" w:rsidRPr="00B97B27" w:rsidRDefault="008A60B4" w:rsidP="00E05D08">
      <w:pPr>
        <w:pStyle w:val="FootnoteText"/>
      </w:pPr>
      <w:r>
        <w:rPr>
          <w:rStyle w:val="FootnoteReference"/>
          <w:rFonts w:cs="Arial"/>
        </w:rPr>
        <w:footnoteRef/>
      </w:r>
      <w:r>
        <w:t xml:space="preserve"> </w:t>
      </w:r>
      <w:r>
        <w:t xml:space="preserve">Articolul </w:t>
      </w:r>
      <w:r w:rsidRPr="00FA63BD">
        <w:t>68</w:t>
      </w:r>
      <w:r>
        <w:t xml:space="preserve"> din Regulamentul (UE) nr. </w:t>
      </w:r>
      <w:r w:rsidRPr="00FA63BD">
        <w:t>1305</w:t>
      </w:r>
      <w:r>
        <w:t>/</w:t>
      </w:r>
      <w:r w:rsidRPr="00FA63BD">
        <w:t>2013</w:t>
      </w:r>
      <w:r>
        <w:t>.</w:t>
      </w:r>
    </w:p>
  </w:footnote>
  <w:footnote w:id="4">
    <w:p w:rsidR="008A60B4" w:rsidRDefault="008A60B4" w:rsidP="000E1D4B">
      <w:pPr>
        <w:pStyle w:val="FootnoteText"/>
      </w:pPr>
      <w:r>
        <w:rPr>
          <w:rStyle w:val="FootnoteReference"/>
          <w:sz w:val="12"/>
          <w:szCs w:val="12"/>
        </w:rPr>
        <w:footnoteRef/>
      </w:r>
      <w:r>
        <w:t xml:space="preserve"> </w:t>
      </w:r>
      <w:r>
        <w:t>Ghid privind programarea pentru inovare și punerea în aplicare a PEI privind productivitatea și durabilitatea agriculturii</w:t>
      </w:r>
      <w:r>
        <w:br/>
      </w:r>
      <w:r>
        <w:rPr>
          <w:rStyle w:val="Hyperlink"/>
        </w:rPr>
        <w:t>https://ec.europa.eu/eip/agriculture/sites/agri-eip/files/pb_guidelines_eip_implementation_</w:t>
      </w:r>
      <w:r w:rsidRPr="00FA63BD">
        <w:rPr>
          <w:rStyle w:val="Hyperlink"/>
        </w:rPr>
        <w:t>2014</w:t>
      </w:r>
      <w:r>
        <w:rPr>
          <w:rStyle w:val="Hyperlink"/>
        </w:rPr>
        <w:t>_en.pdf</w:t>
      </w:r>
    </w:p>
  </w:footnote>
  <w:footnote w:id="5">
    <w:p w:rsidR="008A60B4" w:rsidRPr="00DC008D" w:rsidRDefault="008A60B4" w:rsidP="00F74459">
      <w:pPr>
        <w:pStyle w:val="FootnoteText"/>
        <w:rPr>
          <w:rFonts w:eastAsia="Calibri"/>
        </w:rPr>
      </w:pPr>
      <w:r>
        <w:rPr>
          <w:rStyle w:val="FootnoteReference"/>
        </w:rPr>
        <w:footnoteRef/>
      </w:r>
      <w:r>
        <w:t xml:space="preserve"> </w:t>
      </w:r>
      <w:r>
        <w:t>Ghid privind programarea pentru inovare și punerea în aplicare a PEI privind productivitatea și durabilitatea agriculturii</w:t>
      </w:r>
      <w:r>
        <w:br/>
      </w:r>
      <w:hyperlink r:id="rId1" w:history="1">
        <w:r>
          <w:rPr>
            <w:rStyle w:val="Hyperlink"/>
          </w:rPr>
          <w:t>https://ec.europa.eu/eip/agriculture/sites/agri-eip/files/pb_guidelines_eip_implementation_</w:t>
        </w:r>
        <w:r w:rsidRPr="00FA63BD">
          <w:rPr>
            <w:rStyle w:val="Hyperlink"/>
          </w:rPr>
          <w:t>2014</w:t>
        </w:r>
        <w:r>
          <w:rPr>
            <w:rStyle w:val="Hyperlink"/>
          </w:rPr>
          <w:t>_en.pdf</w:t>
        </w:r>
      </w:hyperlink>
    </w:p>
  </w:footnote>
  <w:footnote w:id="6">
    <w:p w:rsidR="008A60B4" w:rsidRPr="008F676D" w:rsidRDefault="008A60B4" w:rsidP="00F74459">
      <w:pPr>
        <w:pStyle w:val="FootnoteText"/>
      </w:pPr>
      <w:r>
        <w:rPr>
          <w:rStyle w:val="FootnoteReference"/>
        </w:rPr>
        <w:footnoteRef/>
      </w:r>
      <w:r>
        <w:t xml:space="preserve"> </w:t>
      </w:r>
      <w:r>
        <w:t xml:space="preserve">Orizont </w:t>
      </w:r>
      <w:r w:rsidRPr="00FA63BD">
        <w:t>2020</w:t>
      </w:r>
      <w:r>
        <w:t xml:space="preserve"> sprijină cu fermitate conceptul de abordare a cercetării cu implicarea mai multor actori, care face ca fermieri, consilieri și alți practicieni, în parteneriat cu cercetătorii, să colaboreze în vederea creării în comun de soluții sau să dezvolte oportunități inovatoare în vederea concentrării cercetării și a inovațiilor asupra nevoilor practicii agriculturii, a se vedea, la paginile </w:t>
      </w:r>
      <w:r w:rsidRPr="00FA63BD">
        <w:t>8</w:t>
      </w:r>
      <w:r>
        <w:t>-</w:t>
      </w:r>
      <w:r w:rsidRPr="00FA63BD">
        <w:t>9</w:t>
      </w:r>
      <w:r>
        <w:t xml:space="preserve"> din programul de lucru pentru </w:t>
      </w:r>
      <w:r w:rsidRPr="00FA63BD">
        <w:t>2018</w:t>
      </w:r>
      <w:r>
        <w:t>-</w:t>
      </w:r>
      <w:r w:rsidRPr="00FA63BD">
        <w:t>2020</w:t>
      </w:r>
      <w:r>
        <w:t xml:space="preserve"> al Orizont </w:t>
      </w:r>
      <w:r w:rsidRPr="00FA63BD">
        <w:t>2020</w:t>
      </w:r>
      <w:r>
        <w:t>, cerințele pentru proiectele care implică mai mulți actori (</w:t>
      </w:r>
      <w:hyperlink r:id="rId2" w:history="1">
        <w:r>
          <w:rPr>
            <w:rStyle w:val="Hyperlink"/>
          </w:rPr>
          <w:t>http://ec.europa.eu/research/participants/data/ref/h</w:t>
        </w:r>
        <w:r w:rsidRPr="00FA63BD">
          <w:rPr>
            <w:rStyle w:val="Hyperlink"/>
          </w:rPr>
          <w:t>2020</w:t>
        </w:r>
        <w:r>
          <w:rPr>
            <w:rStyle w:val="Hyperlink"/>
          </w:rPr>
          <w:t>/wp/</w:t>
        </w:r>
        <w:r w:rsidRPr="00FA63BD">
          <w:rPr>
            <w:rStyle w:val="Hyperlink"/>
          </w:rPr>
          <w:t>2018</w:t>
        </w:r>
        <w:r>
          <w:rPr>
            <w:rStyle w:val="Hyperlink"/>
          </w:rPr>
          <w:t>-</w:t>
        </w:r>
        <w:r w:rsidRPr="00FA63BD">
          <w:rPr>
            <w:rStyle w:val="Hyperlink"/>
          </w:rPr>
          <w:t>2020</w:t>
        </w:r>
        <w:r>
          <w:rPr>
            <w:rStyle w:val="Hyperlink"/>
          </w:rPr>
          <w:t>/main/h</w:t>
        </w:r>
        <w:r w:rsidRPr="00FA63BD">
          <w:rPr>
            <w:rStyle w:val="Hyperlink"/>
          </w:rPr>
          <w:t>2020</w:t>
        </w:r>
        <w:r>
          <w:rPr>
            <w:rStyle w:val="Hyperlink"/>
          </w:rPr>
          <w:t>-wp</w:t>
        </w:r>
        <w:r w:rsidRPr="00FA63BD">
          <w:rPr>
            <w:rStyle w:val="Hyperlink"/>
          </w:rPr>
          <w:t>1820</w:t>
        </w:r>
        <w:r>
          <w:rPr>
            <w:rStyle w:val="Hyperlink"/>
          </w:rPr>
          <w:t>-food_en.pdf</w:t>
        </w:r>
      </w:hyperlink>
      <w:r>
        <w:t>) și broșura PEI privind abordarea cu mai mulți actori (</w:t>
      </w:r>
      <w:hyperlink r:id="rId3" w:history="1">
        <w:r>
          <w:rPr>
            <w:rStyle w:val="Hyperlink"/>
          </w:rPr>
          <w:t>https://ec.europa.eu/eip/agriculture/sites/agri-eip/files/eip-agri_brochure_multi-actor_projects_</w:t>
        </w:r>
        <w:r w:rsidRPr="00FA63BD">
          <w:rPr>
            <w:rStyle w:val="Hyperlink"/>
          </w:rPr>
          <w:t>2017</w:t>
        </w:r>
        <w:r>
          <w:rPr>
            <w:rStyle w:val="Hyperlink"/>
          </w:rPr>
          <w:t>_en_web.pdf</w:t>
        </w:r>
      </w:hyperlink>
      <w:r>
        <w:t>)</w:t>
      </w:r>
    </w:p>
  </w:footnote>
  <w:footnote w:id="7">
    <w:p w:rsidR="008A60B4" w:rsidRDefault="008A60B4" w:rsidP="00F74459">
      <w:pPr>
        <w:pStyle w:val="FootnoteText"/>
      </w:pPr>
      <w:r>
        <w:rPr>
          <w:rStyle w:val="FootnoteReference"/>
        </w:rPr>
        <w:footnoteRef/>
      </w:r>
      <w:r>
        <w:t xml:space="preserve"> </w:t>
      </w:r>
      <w:r>
        <w:t>Rapoarte ale grupului de lucru strategic din cadrul Comitetului permanent privind cercetarea agricolă (SCAR) privind sistemele agricole de cunoaștere și inovare (AKIS)</w:t>
      </w:r>
    </w:p>
    <w:p w:rsidR="008A60B4" w:rsidRDefault="008A60B4" w:rsidP="00F74459">
      <w:pPr>
        <w:pStyle w:val="FootnoteText"/>
      </w:pPr>
      <w:r>
        <w:t xml:space="preserve">- Sistemele agricole de cunoaștere și inovare spre </w:t>
      </w:r>
      <w:r w:rsidRPr="00FA63BD">
        <w:t>2020</w:t>
      </w:r>
      <w:r>
        <w:t xml:space="preserve"> - un document de orientare privind legătura dintre inovare și cercetare</w:t>
      </w:r>
    </w:p>
    <w:p w:rsidR="008A60B4" w:rsidRDefault="008A60B4" w:rsidP="00F74459">
      <w:pPr>
        <w:pStyle w:val="FootnoteText"/>
      </w:pPr>
      <w:hyperlink r:id="rId4" w:history="1">
        <w:r>
          <w:rPr>
            <w:rStyle w:val="Hyperlink"/>
          </w:rPr>
          <w:t>http://www.gppq.fct.pt/h</w:t>
        </w:r>
        <w:r w:rsidRPr="00FA63BD">
          <w:rPr>
            <w:rStyle w:val="Hyperlink"/>
          </w:rPr>
          <w:t>2020</w:t>
        </w:r>
        <w:r>
          <w:rPr>
            <w:rStyle w:val="Hyperlink"/>
          </w:rPr>
          <w:t>/_docs/brochuras/bioeco/agricultural-knowledge-innovation-systems-towards-</w:t>
        </w:r>
        <w:r w:rsidRPr="00FA63BD">
          <w:rPr>
            <w:rStyle w:val="Hyperlink"/>
          </w:rPr>
          <w:t>2020</w:t>
        </w:r>
        <w:r>
          <w:rPr>
            <w:rStyle w:val="Hyperlink"/>
          </w:rPr>
          <w:t xml:space="preserve">_en.pdf </w:t>
        </w:r>
      </w:hyperlink>
      <w:r>
        <w:t>(privind consolidarea abordării cu mai mulți actori)</w:t>
      </w:r>
    </w:p>
    <w:p w:rsidR="008A60B4" w:rsidRPr="009C39EE" w:rsidRDefault="008A60B4" w:rsidP="00F74459">
      <w:pPr>
        <w:pStyle w:val="FootnoteText"/>
      </w:pPr>
      <w:r>
        <w:t xml:space="preserve">- Sisteme agricole de cunoaștere și inovare orientate spre viitor - Un document de previziune, </w:t>
      </w:r>
      <w:hyperlink r:id="rId5" w:anchor="view=fit&amp;pagemode=none" w:history="1">
        <w:r>
          <w:rPr>
            <w:rStyle w:val="Hyperlink"/>
          </w:rPr>
          <w:t>https://ec.europa.eu/research/scar/pdf/akis-</w:t>
        </w:r>
        <w:r w:rsidRPr="00FA63BD">
          <w:rPr>
            <w:rStyle w:val="Hyperlink"/>
          </w:rPr>
          <w:t>3</w:t>
        </w:r>
        <w:r>
          <w:rPr>
            <w:rStyle w:val="Hyperlink"/>
          </w:rPr>
          <w:t>_end_report.pdf#view=fit&amp;pagemode=none</w:t>
        </w:r>
      </w:hyperlink>
      <w:r>
        <w:rPr>
          <w:rStyle w:val="Hyperlink"/>
        </w:rPr>
        <w:t xml:space="preserve"> </w:t>
      </w:r>
    </w:p>
  </w:footnote>
  <w:footnote w:id="8">
    <w:p w:rsidR="008A60B4" w:rsidRPr="00B13D00" w:rsidRDefault="008A60B4" w:rsidP="00F74459">
      <w:pPr>
        <w:pStyle w:val="FootnoteText"/>
      </w:pPr>
      <w:r>
        <w:rPr>
          <w:rStyle w:val="FootnoteReference"/>
          <w:color w:val="373737"/>
        </w:rPr>
        <w:footnoteRef/>
      </w:r>
      <w:r>
        <w:t xml:space="preserve"> </w:t>
      </w:r>
      <w:r>
        <w:t>Schot și Geels (</w:t>
      </w:r>
      <w:r w:rsidRPr="00FA63BD">
        <w:t>2008</w:t>
      </w:r>
      <w:r>
        <w:t xml:space="preserve">) pentru mai multe informații despre nișele socio-tehnice. </w:t>
      </w:r>
    </w:p>
  </w:footnote>
  <w:footnote w:id="9">
    <w:p w:rsidR="008A60B4" w:rsidRPr="00F74459" w:rsidRDefault="008A60B4" w:rsidP="00F74459">
      <w:pPr>
        <w:pStyle w:val="FootnoteText"/>
      </w:pPr>
      <w:r>
        <w:rPr>
          <w:szCs w:val="16"/>
          <w:vertAlign w:val="superscript"/>
          <w:lang w:val="en-IE"/>
        </w:rPr>
        <w:footnoteRef/>
      </w:r>
      <w:r>
        <w:t xml:space="preserve"> </w:t>
      </w:r>
      <w:r>
        <w:t>REDR (</w:t>
      </w:r>
      <w:r w:rsidRPr="00FA63BD">
        <w:t>2013</w:t>
      </w:r>
      <w:r>
        <w:t xml:space="preserve">). Spre un brokeraj inovațional de succes: Perspective asupra programelor de dezvoltare rurală pentru perioada </w:t>
      </w:r>
      <w:r w:rsidRPr="00FA63BD">
        <w:t>2007</w:t>
      </w:r>
      <w:r>
        <w:t>-</w:t>
      </w:r>
      <w:r w:rsidRPr="00FA63BD">
        <w:t>2013</w:t>
      </w:r>
      <w:r>
        <w:t xml:space="preserve"> și Leeuwis C, Schut M, Waters-Bayer A, Mur R, Ata-Krah K și Douthwaite B. </w:t>
      </w:r>
      <w:r w:rsidRPr="00FA63BD">
        <w:t>2014</w:t>
      </w:r>
      <w:r>
        <w:t>. Capacitatea de inovare din perspectiva programului de cercetare CGIAR privind sistemul. Penang, Malaysia: Programul de cercetare CGIAR privind sistemele agricole acvatice. Rezumatul programului: AAS-</w:t>
      </w:r>
      <w:r w:rsidRPr="00FA63BD">
        <w:t>2014</w:t>
      </w:r>
      <w:r>
        <w:t>-</w:t>
      </w:r>
      <w:r w:rsidRPr="00FA63BD">
        <w:t>29</w:t>
      </w:r>
      <w:r>
        <w:t>.</w:t>
      </w:r>
    </w:p>
  </w:footnote>
  <w:footnote w:id="10">
    <w:p w:rsidR="008A60B4" w:rsidRPr="00F74459" w:rsidRDefault="008A60B4" w:rsidP="00F74459">
      <w:pPr>
        <w:pStyle w:val="FootnoteText"/>
      </w:pPr>
      <w:r>
        <w:rPr>
          <w:szCs w:val="16"/>
          <w:vertAlign w:val="superscript"/>
          <w:lang w:val="en-IE"/>
        </w:rPr>
        <w:footnoteRef/>
      </w:r>
      <w:r>
        <w:t xml:space="preserve"> </w:t>
      </w:r>
      <w:r>
        <w:t>REDR (</w:t>
      </w:r>
      <w:r w:rsidRPr="00FA63BD">
        <w:t>2013</w:t>
      </w:r>
      <w:r>
        <w:t>) identifică brokerajul inovațional ca fiind o capacitate esențială a sistemului, și anume prezența (și activitatea) actorilor care sunt hotărâți să introducă o schimbare, creativi, proactivi, motivați, imparțiali, transparenți și sensibili la contextul inovării.</w:t>
      </w:r>
    </w:p>
  </w:footnote>
  <w:footnote w:id="11">
    <w:p w:rsidR="008A60B4" w:rsidRDefault="008A60B4" w:rsidP="00F74459">
      <w:pPr>
        <w:pStyle w:val="FootnoteText"/>
      </w:pPr>
      <w:r>
        <w:rPr>
          <w:szCs w:val="16"/>
          <w:vertAlign w:val="superscript"/>
          <w:lang w:val="en-IE"/>
        </w:rPr>
        <w:footnoteRef/>
      </w:r>
      <w:r>
        <w:t xml:space="preserve"> </w:t>
      </w:r>
      <w:r>
        <w:t>Douthwaite și Hoffecker (viitor) și Nemes și Augustyn (</w:t>
      </w:r>
      <w:r w:rsidRPr="00FA63BD">
        <w:t>2017</w:t>
      </w:r>
      <w:r>
        <w:t>).</w:t>
      </w:r>
    </w:p>
  </w:footnote>
  <w:footnote w:id="12">
    <w:p w:rsidR="008A60B4" w:rsidRPr="00B13D00" w:rsidRDefault="008A60B4" w:rsidP="00E05D08">
      <w:pPr>
        <w:pStyle w:val="FootnoteText"/>
      </w:pPr>
      <w:r>
        <w:rPr>
          <w:vertAlign w:val="superscript"/>
        </w:rPr>
        <w:footnoteRef/>
      </w:r>
      <w:r>
        <w:t xml:space="preserve"> </w:t>
      </w:r>
      <w:r>
        <w:t>REDR (</w:t>
      </w:r>
      <w:r w:rsidRPr="00FA63BD">
        <w:t>2013</w:t>
      </w:r>
      <w:r>
        <w:t xml:space="preserve">). Spre un brokeraj inovațional de succes: Perspective asupra programelor de dezvoltare rurală pentru perioada </w:t>
      </w:r>
      <w:r w:rsidRPr="00FA63BD">
        <w:t>2007</w:t>
      </w:r>
      <w:r>
        <w:t>-</w:t>
      </w:r>
      <w:r w:rsidRPr="00FA63BD">
        <w:t>2013</w:t>
      </w:r>
    </w:p>
  </w:footnote>
  <w:footnote w:id="13">
    <w:p w:rsidR="008A60B4" w:rsidRPr="00690E70" w:rsidRDefault="008A60B4" w:rsidP="004508D0">
      <w:pPr>
        <w:pStyle w:val="FootnoteText"/>
        <w:rPr>
          <w:rStyle w:val="Hyperlink"/>
        </w:rPr>
      </w:pPr>
      <w:r>
        <w:rPr>
          <w:rStyle w:val="FootnoteReference"/>
        </w:rPr>
        <w:footnoteRef/>
      </w:r>
      <w:r>
        <w:t xml:space="preserve"> </w:t>
      </w:r>
      <w:r>
        <w:t>PEI-AGRI (</w:t>
      </w:r>
      <w:r w:rsidRPr="00FA63BD">
        <w:t>2016</w:t>
      </w:r>
      <w:r>
        <w:t xml:space="preserve">) Atelier privind orașele și alimentația: conectarea consumatorilor și a producătorilor. Disponibil la adresa: </w:t>
      </w:r>
      <w:hyperlink r:id="rId6" w:history="1">
        <w:r>
          <w:rPr>
            <w:rStyle w:val="Hyperlink"/>
          </w:rPr>
          <w:t>https://ec.europa.eu/eip/agriculture/sites/agri-eip/files/eip-agri_factsheet_cities_and_food_en_web.pdf</w:t>
        </w:r>
      </w:hyperlink>
    </w:p>
  </w:footnote>
  <w:footnote w:id="14">
    <w:p w:rsidR="008A60B4" w:rsidRPr="00B13D00" w:rsidRDefault="008A60B4" w:rsidP="00E05D08">
      <w:pPr>
        <w:pStyle w:val="FootnoteText"/>
      </w:pPr>
      <w:r>
        <w:rPr>
          <w:rStyle w:val="FootnoteReference"/>
        </w:rPr>
        <w:footnoteRef/>
      </w:r>
      <w:r>
        <w:t xml:space="preserve"> </w:t>
      </w:r>
      <w:r>
        <w:t>Senge, P. M. și Sterman, J. D. (</w:t>
      </w:r>
      <w:r w:rsidRPr="00FA63BD">
        <w:t>1992</w:t>
      </w:r>
      <w:r>
        <w:t xml:space="preserve">). Gândirea sistemică și învățarea organizațională: Acțiunea la nivel local și gândirea la nivel global în organizarea viitorului. European journal of operational research, </w:t>
      </w:r>
      <w:r w:rsidRPr="00FA63BD">
        <w:t>59</w:t>
      </w:r>
      <w:r>
        <w:t xml:space="preserve"> (</w:t>
      </w:r>
      <w:r w:rsidRPr="00FA63BD">
        <w:t>1</w:t>
      </w:r>
      <w:r>
        <w:t xml:space="preserve">), </w:t>
      </w:r>
      <w:r w:rsidRPr="00FA63BD">
        <w:t>137</w:t>
      </w:r>
      <w:r>
        <w:t>-</w:t>
      </w:r>
      <w:r w:rsidRPr="00FA63BD">
        <w:t>150</w:t>
      </w:r>
      <w:r>
        <w:t>.</w:t>
      </w:r>
    </w:p>
  </w:footnote>
  <w:footnote w:id="15">
    <w:p w:rsidR="008A60B4" w:rsidRPr="00554BBB" w:rsidRDefault="008A60B4" w:rsidP="00E05D08">
      <w:pPr>
        <w:pStyle w:val="FootnoteText"/>
      </w:pPr>
      <w:r>
        <w:rPr>
          <w:rStyle w:val="FootnoteReference"/>
        </w:rPr>
        <w:footnoteRef/>
      </w:r>
      <w:r>
        <w:rPr>
          <w:rFonts w:asciiTheme="minorHAnsi" w:hAnsiTheme="minorHAnsi"/>
          <w:color w:val="auto"/>
          <w:sz w:val="22"/>
          <w:szCs w:val="22"/>
        </w:rPr>
        <w:t xml:space="preserve"> </w:t>
      </w:r>
      <w:r>
        <w:t>Pawson, R. (</w:t>
      </w:r>
      <w:r w:rsidRPr="00FA63BD">
        <w:t>2013</w:t>
      </w:r>
      <w:r>
        <w:t xml:space="preserve">). </w:t>
      </w:r>
      <w:r>
        <w:rPr>
          <w:i/>
          <w:iCs/>
        </w:rPr>
        <w:t>The science of evaluation: A realist manifesto</w:t>
      </w:r>
      <w:r>
        <w:t>. (Știința evaluării: un manifest realist) Londra, Regatul Unit: Sage Publications</w:t>
      </w:r>
    </w:p>
  </w:footnote>
  <w:footnote w:id="16">
    <w:p w:rsidR="008A60B4" w:rsidRPr="00B13D00" w:rsidRDefault="008A60B4" w:rsidP="00E05D08">
      <w:pPr>
        <w:pStyle w:val="FootnoteText"/>
      </w:pPr>
      <w:r>
        <w:rPr>
          <w:rStyle w:val="FootnoteReference"/>
        </w:rPr>
        <w:footnoteRef/>
      </w:r>
      <w:r>
        <w:t xml:space="preserve"> </w:t>
      </w:r>
      <w:r>
        <w:t xml:space="preserve">Orizont </w:t>
      </w:r>
      <w:r w:rsidRPr="00FA63BD">
        <w:t>2020</w:t>
      </w:r>
      <w:r>
        <w:t xml:space="preserve"> este cel mai mare program de cercetare și inovare al UE care urmărește cuplarea cercetării și inovării în toate sectoarele, inclusiv în agricultură și silvicultură, ca mijloc de realizare a unei creșteri inteligente, durabile și favorabile incluziunii și de creare de locuri de muncă. Multe alte politici ale UE care abordează inovarea și dezvoltarea competențelor pot contribui, de asemenea, la cercetarea și inovarea în domeniul agricol (politica de coeziune, COSME, ERASMUS, LIFE+).</w:t>
      </w:r>
    </w:p>
  </w:footnote>
  <w:footnote w:id="17">
    <w:p w:rsidR="008A60B4" w:rsidRPr="00B13D00" w:rsidRDefault="008A60B4" w:rsidP="00E05D08">
      <w:pPr>
        <w:pStyle w:val="FootnoteText"/>
      </w:pPr>
      <w:r>
        <w:rPr>
          <w:rStyle w:val="FootnoteReference"/>
          <w:rFonts w:cs="Helvetica"/>
          <w:szCs w:val="16"/>
        </w:rPr>
        <w:footnoteRef/>
      </w:r>
      <w:r>
        <w:t xml:space="preserve"> </w:t>
      </w:r>
      <w:r>
        <w:t>Scopul său este de a aborda provocările societale majore, cum ar fi schimbările climatice și utilizarea eficientă a resurselor, și de a consolida legăturile din cadrul lanțului de inovare (</w:t>
      </w:r>
      <w:hyperlink r:id="rId7" w:history="1">
        <w:r>
          <w:rPr>
            <w:rStyle w:val="Hyperlink"/>
          </w:rPr>
          <w:t>http://ec.europa.eu/europe</w:t>
        </w:r>
        <w:r w:rsidRPr="00FA63BD">
          <w:rPr>
            <w:rStyle w:val="Hyperlink"/>
          </w:rPr>
          <w:t>2020</w:t>
        </w:r>
        <w:r>
          <w:rPr>
            <w:rStyle w:val="Hyperlink"/>
          </w:rPr>
          <w:t>/europe-</w:t>
        </w:r>
        <w:r w:rsidRPr="00FA63BD">
          <w:rPr>
            <w:rStyle w:val="Hyperlink"/>
          </w:rPr>
          <w:t>2020</w:t>
        </w:r>
        <w:r>
          <w:rPr>
            <w:rStyle w:val="Hyperlink"/>
          </w:rPr>
          <w:t>-in-a-nutshell/flagship-initiatives/index_en.htm</w:t>
        </w:r>
      </w:hyperlink>
      <w:r>
        <w:t xml:space="preserve">) </w:t>
      </w:r>
    </w:p>
  </w:footnote>
  <w:footnote w:id="18">
    <w:p w:rsidR="008A60B4" w:rsidRPr="00275EE5" w:rsidRDefault="008A60B4" w:rsidP="00E05D08">
      <w:pPr>
        <w:pStyle w:val="FootnoteText"/>
      </w:pPr>
      <w:r>
        <w:rPr>
          <w:rStyle w:val="FootnoteReference"/>
        </w:rPr>
        <w:footnoteRef/>
      </w:r>
      <w:r>
        <w:t xml:space="preserve"> </w:t>
      </w:r>
      <w:hyperlink r:id="rId8" w:history="1">
        <w:r>
          <w:rPr>
            <w:rStyle w:val="Hyperlink"/>
          </w:rPr>
          <w:t>http://ec.europa.eu/europe</w:t>
        </w:r>
        <w:r w:rsidRPr="00FA63BD">
          <w:rPr>
            <w:rStyle w:val="Hyperlink"/>
          </w:rPr>
          <w:t>2020</w:t>
        </w:r>
        <w:r>
          <w:rPr>
            <w:rStyle w:val="Hyperlink"/>
          </w:rPr>
          <w:t>/europe-</w:t>
        </w:r>
        <w:r w:rsidRPr="00FA63BD">
          <w:rPr>
            <w:rStyle w:val="Hyperlink"/>
          </w:rPr>
          <w:t>2020</w:t>
        </w:r>
        <w:r>
          <w:rPr>
            <w:rStyle w:val="Hyperlink"/>
          </w:rPr>
          <w:t>-in-a-nutshell/targets/index_en.htm</w:t>
        </w:r>
      </w:hyperlink>
      <w:r>
        <w:t xml:space="preserve"> </w:t>
      </w:r>
    </w:p>
  </w:footnote>
  <w:footnote w:id="19">
    <w:p w:rsidR="008A60B4" w:rsidRPr="00B13D00" w:rsidRDefault="008A60B4" w:rsidP="00E05D08">
      <w:pPr>
        <w:pStyle w:val="FootnoteText"/>
      </w:pPr>
      <w:r>
        <w:rPr>
          <w:rStyle w:val="FootnoteReference"/>
        </w:rPr>
        <w:footnoteRef/>
      </w:r>
      <w:r>
        <w:t xml:space="preserve"> </w:t>
      </w:r>
      <w:r>
        <w:t xml:space="preserve">Articolul </w:t>
      </w:r>
      <w:r w:rsidRPr="00FA63BD">
        <w:t>5</w:t>
      </w:r>
      <w:r>
        <w:t xml:space="preserve"> din Regulamentul (UE) nr. </w:t>
      </w:r>
      <w:r w:rsidRPr="00FA63BD">
        <w:t>1305</w:t>
      </w:r>
      <w:r>
        <w:t>/</w:t>
      </w:r>
      <w:r w:rsidRPr="00FA63BD">
        <w:t>2013</w:t>
      </w:r>
      <w:r>
        <w:t>.</w:t>
      </w:r>
    </w:p>
  </w:footnote>
  <w:footnote w:id="20">
    <w:p w:rsidR="008A60B4" w:rsidRPr="00171202" w:rsidRDefault="008A60B4" w:rsidP="00E05D08">
      <w:pPr>
        <w:pStyle w:val="FootnoteText"/>
      </w:pPr>
      <w:r>
        <w:rPr>
          <w:rStyle w:val="FootnoteReference"/>
        </w:rPr>
        <w:footnoteRef/>
      </w:r>
      <w:r>
        <w:t xml:space="preserve"> </w:t>
      </w:r>
      <w:r>
        <w:t xml:space="preserve">Articolul </w:t>
      </w:r>
      <w:r w:rsidRPr="00FA63BD">
        <w:t>8</w:t>
      </w:r>
      <w:r>
        <w:t xml:space="preserve"> alineatul (</w:t>
      </w:r>
      <w:r w:rsidRPr="00FA63BD">
        <w:t>1</w:t>
      </w:r>
      <w:r>
        <w:t xml:space="preserve">) litera (c) punctul (v) din Regulamentul (UE) nr. </w:t>
      </w:r>
      <w:r w:rsidRPr="00FA63BD">
        <w:t>1305</w:t>
      </w:r>
      <w:r>
        <w:t>/</w:t>
      </w:r>
      <w:r w:rsidRPr="00FA63BD">
        <w:t>2013</w:t>
      </w:r>
      <w:r>
        <w:t>.</w:t>
      </w:r>
    </w:p>
  </w:footnote>
  <w:footnote w:id="21">
    <w:p w:rsidR="008A60B4" w:rsidRPr="00171202" w:rsidRDefault="008A60B4" w:rsidP="00E05D08">
      <w:pPr>
        <w:pStyle w:val="FootnoteText"/>
      </w:pPr>
      <w:r>
        <w:rPr>
          <w:rStyle w:val="FootnoteReference"/>
          <w:i/>
        </w:rPr>
        <w:footnoteRef/>
      </w:r>
      <w:r>
        <w:t xml:space="preserve"> </w:t>
      </w:r>
      <w:r>
        <w:t xml:space="preserve">Articolul </w:t>
      </w:r>
      <w:r w:rsidRPr="00FA63BD">
        <w:t>8</w:t>
      </w:r>
      <w:r>
        <w:t xml:space="preserve"> alineatul (</w:t>
      </w:r>
      <w:r w:rsidRPr="00FA63BD">
        <w:t>1</w:t>
      </w:r>
      <w:r>
        <w:t xml:space="preserve">) litera (b) din Regulamentul (UE) nr. </w:t>
      </w:r>
      <w:r w:rsidRPr="00FA63BD">
        <w:t>1305</w:t>
      </w:r>
      <w:r>
        <w:t>/</w:t>
      </w:r>
      <w:r w:rsidRPr="00FA63BD">
        <w:t>2013</w:t>
      </w:r>
      <w:r>
        <w:t>.</w:t>
      </w:r>
    </w:p>
  </w:footnote>
  <w:footnote w:id="22">
    <w:p w:rsidR="008A60B4" w:rsidRPr="00171202" w:rsidRDefault="008A60B4" w:rsidP="00E05D08">
      <w:pPr>
        <w:pStyle w:val="FootnoteText"/>
      </w:pPr>
      <w:r>
        <w:rPr>
          <w:rStyle w:val="FootnoteReference"/>
          <w:i/>
        </w:rPr>
        <w:footnoteRef/>
      </w:r>
      <w:r>
        <w:t xml:space="preserve"> </w:t>
      </w:r>
      <w:r>
        <w:t xml:space="preserve">Articolul </w:t>
      </w:r>
      <w:r w:rsidRPr="00FA63BD">
        <w:t>5</w:t>
      </w:r>
      <w:r>
        <w:t xml:space="preserve"> din Regulamentul (UE) nr. </w:t>
      </w:r>
      <w:r w:rsidRPr="00FA63BD">
        <w:t>1305</w:t>
      </w:r>
      <w:r>
        <w:t>/</w:t>
      </w:r>
      <w:r w:rsidRPr="00FA63BD">
        <w:t>2013</w:t>
      </w:r>
      <w:r>
        <w:t>.</w:t>
      </w:r>
    </w:p>
  </w:footnote>
  <w:footnote w:id="23">
    <w:p w:rsidR="008A60B4" w:rsidRPr="00D461AB" w:rsidRDefault="008A60B4" w:rsidP="00D461AB">
      <w:pPr>
        <w:pStyle w:val="FootnoteText"/>
      </w:pPr>
      <w:r>
        <w:rPr>
          <w:rStyle w:val="FootnoteReference"/>
        </w:rPr>
        <w:footnoteRef/>
      </w:r>
      <w:r>
        <w:t xml:space="preserve"> </w:t>
      </w:r>
      <w:r>
        <w:t xml:space="preserve">Ghid privind programarea pentru inovare și punerea în aplicare a PEI privind productivitatea și durabilitatea agriculturii, secțiunea </w:t>
      </w:r>
      <w:r w:rsidRPr="00FA63BD">
        <w:t>8</w:t>
      </w:r>
      <w:r>
        <w:t>.</w:t>
      </w:r>
      <w:r w:rsidRPr="00FA63BD">
        <w:t>2</w:t>
      </w:r>
      <w:r>
        <w:t xml:space="preserve"> pagina </w:t>
      </w:r>
      <w:r w:rsidRPr="00FA63BD">
        <w:t>13</w:t>
      </w:r>
    </w:p>
  </w:footnote>
  <w:footnote w:id="24">
    <w:p w:rsidR="008A60B4" w:rsidRPr="00171202" w:rsidRDefault="008A60B4" w:rsidP="00E05D08">
      <w:pPr>
        <w:pStyle w:val="FootnoteText"/>
      </w:pPr>
      <w:r>
        <w:rPr>
          <w:rStyle w:val="FootnoteReference"/>
        </w:rPr>
        <w:footnoteRef/>
      </w:r>
      <w:r>
        <w:t xml:space="preserve"> </w:t>
      </w:r>
      <w:r>
        <w:t xml:space="preserve">Regulamentul (UE) nr. </w:t>
      </w:r>
      <w:r w:rsidRPr="00FA63BD">
        <w:t>1303</w:t>
      </w:r>
      <w:r>
        <w:t>/</w:t>
      </w:r>
      <w:r w:rsidRPr="00FA63BD">
        <w:t>2013</w:t>
      </w:r>
      <w:r>
        <w:t xml:space="preserve">, partea </w:t>
      </w:r>
      <w:r w:rsidRPr="00FA63BD">
        <w:t>5</w:t>
      </w:r>
      <w:r>
        <w:t xml:space="preserve"> din anexa I la Regulamentul (UE) nr. </w:t>
      </w:r>
      <w:r w:rsidRPr="00FA63BD">
        <w:t>808</w:t>
      </w:r>
      <w:r>
        <w:t>/</w:t>
      </w:r>
      <w:r w:rsidRPr="00FA63BD">
        <w:t>2014</w:t>
      </w:r>
      <w:r>
        <w:t xml:space="preserve"> și Ghidul privind programarea pentru inovare și punerea în aplicare a PEI privind productivitatea și durabilitatea agriculturii (</w:t>
      </w:r>
      <w:r w:rsidRPr="00FA63BD">
        <w:t>2014</w:t>
      </w:r>
      <w:r>
        <w:t xml:space="preserve">, p. </w:t>
      </w:r>
      <w:r w:rsidRPr="00FA63BD">
        <w:t>10</w:t>
      </w:r>
      <w:r>
        <w:t>)</w:t>
      </w:r>
    </w:p>
  </w:footnote>
  <w:footnote w:id="25">
    <w:p w:rsidR="008A60B4" w:rsidRPr="00171202" w:rsidRDefault="008A60B4" w:rsidP="00E05D08">
      <w:pPr>
        <w:pStyle w:val="FootnoteText"/>
      </w:pPr>
      <w:r>
        <w:rPr>
          <w:rStyle w:val="FootnoteReference"/>
        </w:rPr>
        <w:footnoteRef/>
      </w:r>
      <w:r>
        <w:t xml:space="preserve"> </w:t>
      </w:r>
      <w:r>
        <w:t xml:space="preserve">Articolul </w:t>
      </w:r>
      <w:r w:rsidRPr="00FA63BD">
        <w:t>27</w:t>
      </w:r>
      <w:r>
        <w:t xml:space="preserve"> din Regulamentul (UE) nr. </w:t>
      </w:r>
      <w:r w:rsidRPr="00FA63BD">
        <w:t>1303</w:t>
      </w:r>
      <w:r>
        <w:t>/</w:t>
      </w:r>
      <w:r w:rsidRPr="00FA63BD">
        <w:t>2013</w:t>
      </w:r>
      <w:r>
        <w:t xml:space="preserve"> și partea </w:t>
      </w:r>
      <w:r w:rsidRPr="00FA63BD">
        <w:t>5</w:t>
      </w:r>
      <w:r>
        <w:t xml:space="preserve"> din anexa I la Regulamentul (UE) nr. </w:t>
      </w:r>
      <w:r w:rsidRPr="00FA63BD">
        <w:t>808</w:t>
      </w:r>
      <w:r>
        <w:t>/</w:t>
      </w:r>
      <w:r w:rsidRPr="00FA63BD">
        <w:t>2014</w:t>
      </w:r>
      <w:r>
        <w:t>.</w:t>
      </w:r>
    </w:p>
  </w:footnote>
  <w:footnote w:id="26">
    <w:p w:rsidR="008A60B4" w:rsidRPr="00171202" w:rsidRDefault="008A60B4" w:rsidP="00E05D08">
      <w:pPr>
        <w:pStyle w:val="FootnoteText"/>
      </w:pPr>
      <w:r>
        <w:rPr>
          <w:rStyle w:val="FootnoteReference"/>
        </w:rPr>
        <w:footnoteRef/>
      </w:r>
      <w:r>
        <w:t xml:space="preserve"> </w:t>
      </w:r>
      <w:r>
        <w:t xml:space="preserve">Articolele </w:t>
      </w:r>
      <w:r w:rsidRPr="00FA63BD">
        <w:t>32</w:t>
      </w:r>
      <w:r>
        <w:t>-</w:t>
      </w:r>
      <w:r w:rsidRPr="00FA63BD">
        <w:t>34</w:t>
      </w:r>
      <w:r>
        <w:t xml:space="preserve"> din Regulamentul (UE) nr. </w:t>
      </w:r>
      <w:r w:rsidRPr="00FA63BD">
        <w:t>1303</w:t>
      </w:r>
      <w:r>
        <w:t>/</w:t>
      </w:r>
      <w:r w:rsidRPr="00FA63BD">
        <w:t>2013</w:t>
      </w:r>
      <w:r>
        <w:t xml:space="preserve"> și partea </w:t>
      </w:r>
      <w:r w:rsidRPr="00FA63BD">
        <w:t>5</w:t>
      </w:r>
      <w:r>
        <w:t xml:space="preserve"> din anexa I la Regulamentul (UE) nr. </w:t>
      </w:r>
      <w:r w:rsidRPr="00FA63BD">
        <w:t>808</w:t>
      </w:r>
      <w:r>
        <w:t>/</w:t>
      </w:r>
      <w:r w:rsidRPr="00FA63BD">
        <w:t>2014</w:t>
      </w:r>
      <w:r>
        <w:t>.</w:t>
      </w:r>
    </w:p>
  </w:footnote>
  <w:footnote w:id="27">
    <w:p w:rsidR="008A60B4" w:rsidRPr="00171202" w:rsidRDefault="008A60B4" w:rsidP="00E05D08">
      <w:pPr>
        <w:pStyle w:val="FootnoteText"/>
      </w:pPr>
      <w:r>
        <w:rPr>
          <w:rStyle w:val="FootnoteReference"/>
        </w:rPr>
        <w:footnoteRef/>
      </w:r>
      <w:r>
        <w:t xml:space="preserve"> </w:t>
      </w:r>
      <w:r>
        <w:t xml:space="preserve">Articolul </w:t>
      </w:r>
      <w:r w:rsidRPr="00FA63BD">
        <w:t>53</w:t>
      </w:r>
      <w:r>
        <w:t xml:space="preserve"> din Regulamentul (UE) nr. </w:t>
      </w:r>
      <w:r w:rsidRPr="00FA63BD">
        <w:t>1305</w:t>
      </w:r>
      <w:r>
        <w:t>/</w:t>
      </w:r>
      <w:r w:rsidRPr="00FA63BD">
        <w:t>2013</w:t>
      </w:r>
      <w:r>
        <w:t>.</w:t>
      </w:r>
    </w:p>
  </w:footnote>
  <w:footnote w:id="28">
    <w:p w:rsidR="008A60B4" w:rsidRPr="00171202" w:rsidRDefault="008A60B4" w:rsidP="00E05D08">
      <w:pPr>
        <w:pStyle w:val="FootnoteText"/>
      </w:pPr>
      <w:r>
        <w:rPr>
          <w:rStyle w:val="FootnoteReference"/>
        </w:rPr>
        <w:footnoteRef/>
      </w:r>
      <w:r>
        <w:t xml:space="preserve"> </w:t>
      </w:r>
      <w:r>
        <w:t xml:space="preserve">Articolul </w:t>
      </w:r>
      <w:r w:rsidRPr="00FA63BD">
        <w:t>54</w:t>
      </w:r>
      <w:r>
        <w:t xml:space="preserve"> litera (d) din Regulamentul (UE) nr. </w:t>
      </w:r>
      <w:r w:rsidRPr="00FA63BD">
        <w:t>1305</w:t>
      </w:r>
      <w:r>
        <w:t>/</w:t>
      </w:r>
      <w:r w:rsidRPr="00FA63BD">
        <w:t>2013</w:t>
      </w:r>
      <w:r>
        <w:t>.</w:t>
      </w:r>
    </w:p>
  </w:footnote>
  <w:footnote w:id="29">
    <w:p w:rsidR="008A60B4" w:rsidRPr="00171202" w:rsidRDefault="008A60B4" w:rsidP="00E05D08">
      <w:pPr>
        <w:pStyle w:val="FootnoteText"/>
      </w:pPr>
      <w:r>
        <w:rPr>
          <w:rStyle w:val="FootnoteReference"/>
        </w:rPr>
        <w:footnoteRef/>
      </w:r>
      <w:r>
        <w:t xml:space="preserve"> </w:t>
      </w:r>
      <w:r>
        <w:t>Ghid privind programarea pentru inovare și punerea în aplicare a PEI privind productivitatea și durabilitatea agriculturii (</w:t>
      </w:r>
      <w:r w:rsidRPr="00FA63BD">
        <w:t>2014</w:t>
      </w:r>
      <w:r>
        <w:t xml:space="preserve">, p. </w:t>
      </w:r>
      <w:r w:rsidRPr="00FA63BD">
        <w:t>13</w:t>
      </w:r>
      <w:r>
        <w:t>).</w:t>
      </w:r>
    </w:p>
  </w:footnote>
  <w:footnote w:id="30">
    <w:p w:rsidR="008A60B4" w:rsidRPr="00171202" w:rsidRDefault="008A60B4" w:rsidP="00E05D08">
      <w:pPr>
        <w:pStyle w:val="FootnoteText"/>
      </w:pPr>
      <w:r>
        <w:rPr>
          <w:rStyle w:val="FootnoteReference"/>
        </w:rPr>
        <w:footnoteRef/>
      </w:r>
      <w:r>
        <w:t xml:space="preserve"> </w:t>
      </w:r>
      <w:r>
        <w:t xml:space="preserve">Articolul </w:t>
      </w:r>
      <w:r w:rsidRPr="00FA63BD">
        <w:t>54</w:t>
      </w:r>
      <w:r>
        <w:t xml:space="preserve"> alineatul (</w:t>
      </w:r>
      <w:r w:rsidRPr="00FA63BD">
        <w:t>3</w:t>
      </w:r>
      <w:r>
        <w:t>) litera (b) punctul (iv) din Regulamentul (UE) nr. </w:t>
      </w:r>
      <w:r w:rsidRPr="00FA63BD">
        <w:t>1305</w:t>
      </w:r>
      <w:r>
        <w:t>/</w:t>
      </w:r>
      <w:r w:rsidRPr="00FA63BD">
        <w:t>2013</w:t>
      </w:r>
      <w:r>
        <w:t>.</w:t>
      </w:r>
    </w:p>
  </w:footnote>
  <w:footnote w:id="31">
    <w:p w:rsidR="008A60B4" w:rsidRPr="00171202" w:rsidRDefault="008A60B4" w:rsidP="00E05D08">
      <w:pPr>
        <w:pStyle w:val="FootnoteText"/>
      </w:pPr>
      <w:r>
        <w:rPr>
          <w:rStyle w:val="FootnoteReference"/>
        </w:rPr>
        <w:footnoteRef/>
      </w:r>
      <w:r>
        <w:t xml:space="preserve"> </w:t>
      </w:r>
      <w:r>
        <w:t xml:space="preserve">Partea </w:t>
      </w:r>
      <w:r w:rsidRPr="00FA63BD">
        <w:t>1</w:t>
      </w:r>
      <w:r>
        <w:t xml:space="preserve"> punctul </w:t>
      </w:r>
      <w:r w:rsidRPr="00FA63BD">
        <w:t>9</w:t>
      </w:r>
      <w:r>
        <w:t>.</w:t>
      </w:r>
      <w:r w:rsidRPr="00FA63BD">
        <w:t>3</w:t>
      </w:r>
      <w:r>
        <w:t xml:space="preserve"> litera (a) din anexa I la Regulamentul (UE) nr. </w:t>
      </w:r>
      <w:r w:rsidRPr="00FA63BD">
        <w:t>808</w:t>
      </w:r>
      <w:r>
        <w:t>/</w:t>
      </w:r>
      <w:r w:rsidRPr="00FA63BD">
        <w:t>2014</w:t>
      </w:r>
      <w:r>
        <w:t>.</w:t>
      </w:r>
    </w:p>
  </w:footnote>
  <w:footnote w:id="32">
    <w:p w:rsidR="008A60B4" w:rsidRPr="00171202" w:rsidRDefault="008A60B4" w:rsidP="00E05D08">
      <w:pPr>
        <w:pStyle w:val="FootnoteText"/>
      </w:pPr>
      <w:r>
        <w:rPr>
          <w:rStyle w:val="FootnoteReference"/>
        </w:rPr>
        <w:footnoteRef/>
      </w:r>
      <w:r>
        <w:t xml:space="preserve"> </w:t>
      </w:r>
      <w:r>
        <w:t xml:space="preserve">Punctul </w:t>
      </w:r>
      <w:r w:rsidRPr="00FA63BD">
        <w:t>2</w:t>
      </w:r>
      <w:r>
        <w:t xml:space="preserve"> din anexa VII la Regulamentul (UE) nr. </w:t>
      </w:r>
      <w:r w:rsidRPr="00FA63BD">
        <w:t>808</w:t>
      </w:r>
      <w:r>
        <w:t>/</w:t>
      </w:r>
      <w:r w:rsidRPr="00FA63BD">
        <w:t>2014</w:t>
      </w:r>
      <w:r>
        <w:t>.</w:t>
      </w:r>
    </w:p>
  </w:footnote>
  <w:footnote w:id="33">
    <w:p w:rsidR="008A60B4" w:rsidRPr="005F1B3E" w:rsidRDefault="008A60B4" w:rsidP="00E05D08">
      <w:pPr>
        <w:pStyle w:val="FootnoteText"/>
      </w:pPr>
      <w:r>
        <w:rPr>
          <w:rStyle w:val="FootnoteReference"/>
        </w:rPr>
        <w:footnoteRef/>
      </w:r>
      <w:r>
        <w:t xml:space="preserve"> </w:t>
      </w:r>
      <w:r>
        <w:t>Anexa IV la Regulamentul (UE) nr. </w:t>
      </w:r>
      <w:r w:rsidRPr="00FA63BD">
        <w:t>808</w:t>
      </w:r>
      <w:r>
        <w:t>/</w:t>
      </w:r>
      <w:r w:rsidRPr="00FA63BD">
        <w:t>2014</w:t>
      </w:r>
      <w:r>
        <w:t>.</w:t>
      </w:r>
    </w:p>
  </w:footnote>
  <w:footnote w:id="34">
    <w:p w:rsidR="008A60B4" w:rsidRPr="00E14E11" w:rsidRDefault="008A60B4" w:rsidP="00E05D08">
      <w:pPr>
        <w:pStyle w:val="FootnoteText"/>
      </w:pPr>
      <w:r>
        <w:rPr>
          <w:rStyle w:val="FootnoteReference"/>
        </w:rPr>
        <w:footnoteRef/>
      </w:r>
      <w:r>
        <w:t>A se vedea seminarul PEI privind sistemele de cunoaștere și inovația interactivă:</w:t>
      </w:r>
      <w:r>
        <w:rPr>
          <w:rStyle w:val="Hyperlink"/>
        </w:rPr>
        <w:t xml:space="preserve"> </w:t>
      </w:r>
      <w:hyperlink r:id="rId9" w:history="1">
        <w:r>
          <w:rPr>
            <w:rStyle w:val="Hyperlink"/>
          </w:rPr>
          <w:t>https://ec.europa.eu/eip/agriculture/sites/agri-eip/files/field_event_attachments/sem-knowledge-</w:t>
        </w:r>
        <w:r w:rsidRPr="00FA63BD">
          <w:rPr>
            <w:rStyle w:val="Hyperlink"/>
          </w:rPr>
          <w:t>20151203</w:t>
        </w:r>
        <w:r>
          <w:rPr>
            <w:rStyle w:val="Hyperlink"/>
          </w:rPr>
          <w:t>-pres</w:t>
        </w:r>
        <w:r w:rsidRPr="00FA63BD">
          <w:rPr>
            <w:rStyle w:val="Hyperlink"/>
          </w:rPr>
          <w:t>02</w:t>
        </w:r>
        <w:r>
          <w:rPr>
            <w:rStyle w:val="Hyperlink"/>
          </w:rPr>
          <w:t>-inge_van_oost.pdf</w:t>
        </w:r>
      </w:hyperlink>
    </w:p>
  </w:footnote>
  <w:footnote w:id="35">
    <w:p w:rsidR="008A60B4" w:rsidRPr="008F676D" w:rsidRDefault="008A60B4" w:rsidP="00E05D08">
      <w:pPr>
        <w:pStyle w:val="FootnoteText"/>
      </w:pPr>
      <w:r>
        <w:rPr>
          <w:rStyle w:val="FootnoteReference"/>
        </w:rPr>
        <w:footnoteRef/>
      </w:r>
      <w:r>
        <w:t xml:space="preserve"> </w:t>
      </w:r>
      <w:r>
        <w:t xml:space="preserve">Mai multe îndrumări sunt furnizate în ghidul: Evaluarea rezultatelor PDR: pregătirea raportării cu privire la constatările evaluării în </w:t>
      </w:r>
      <w:r w:rsidRPr="00FA63BD">
        <w:t>2017</w:t>
      </w:r>
      <w:r>
        <w:t xml:space="preserve"> </w:t>
      </w:r>
      <w:hyperlink r:id="rId10" w:history="1">
        <w:r>
          <w:rPr>
            <w:rStyle w:val="Hyperlink"/>
          </w:rPr>
          <w:t>https://enrd.ec.europa.eu/evaluation/publications/guidelines-assessment-rdp-results-how-prepare-reporting-evaluation-</w:t>
        </w:r>
        <w:r w:rsidRPr="00FA63BD">
          <w:rPr>
            <w:rStyle w:val="Hyperlink"/>
          </w:rPr>
          <w:t>2017</w:t>
        </w:r>
        <w:r>
          <w:rPr>
            <w:rStyle w:val="Hyperlink"/>
          </w:rPr>
          <w:t>_en</w:t>
        </w:r>
      </w:hyperlink>
    </w:p>
  </w:footnote>
  <w:footnote w:id="36">
    <w:p w:rsidR="008A60B4" w:rsidRPr="00401F29" w:rsidRDefault="008A60B4" w:rsidP="00E05D08">
      <w:pPr>
        <w:pStyle w:val="FootnoteText"/>
      </w:pPr>
      <w:r>
        <w:rPr>
          <w:rStyle w:val="FootnoteReference"/>
        </w:rPr>
        <w:footnoteRef/>
      </w:r>
      <w:r>
        <w:t xml:space="preserve"> </w:t>
      </w:r>
      <w:r>
        <w:t xml:space="preserve">Articolul </w:t>
      </w:r>
      <w:r w:rsidRPr="00FA63BD">
        <w:t>66</w:t>
      </w:r>
      <w:r>
        <w:t xml:space="preserve"> din Regulamentul (UE) nr. </w:t>
      </w:r>
      <w:r w:rsidRPr="00FA63BD">
        <w:t>1305</w:t>
      </w:r>
      <w:r>
        <w:t>/</w:t>
      </w:r>
      <w:r w:rsidRPr="00FA63BD">
        <w:t>2013</w:t>
      </w:r>
      <w:r>
        <w:t xml:space="preserve">, precum și articolul </w:t>
      </w:r>
      <w:r w:rsidRPr="00FA63BD">
        <w:t>15</w:t>
      </w:r>
      <w:r>
        <w:t xml:space="preserve"> din Regulamentul (UE) nr. </w:t>
      </w:r>
      <w:r w:rsidRPr="00FA63BD">
        <w:t>808</w:t>
      </w:r>
      <w:r>
        <w:t>/</w:t>
      </w:r>
      <w:r w:rsidRPr="00FA63BD">
        <w:t>2014</w:t>
      </w:r>
      <w:r>
        <w:t xml:space="preserve"> și anexa VII la acesta.</w:t>
      </w:r>
    </w:p>
  </w:footnote>
  <w:footnote w:id="37">
    <w:p w:rsidR="008A60B4" w:rsidRPr="00576A73" w:rsidRDefault="008A60B4" w:rsidP="00804433">
      <w:pPr>
        <w:pStyle w:val="FootnoteText"/>
      </w:pPr>
      <w:r>
        <w:rPr>
          <w:rStyle w:val="FootnoteReference"/>
        </w:rPr>
        <w:footnoteRef/>
      </w:r>
      <w:r>
        <w:t xml:space="preserve"> </w:t>
      </w:r>
      <w:r>
        <w:t xml:space="preserve">A se vedea ghidul „Evaluarea rezultatelor PDR: pregătirea raportării cu privire la evaluare în </w:t>
      </w:r>
      <w:r w:rsidRPr="00FA63BD">
        <w:t>2017</w:t>
      </w:r>
      <w:r>
        <w:t xml:space="preserve">”, Serviciul european de asistență pentru evaluare, septembrie </w:t>
      </w:r>
      <w:r w:rsidRPr="00FA63BD">
        <w:t>2016</w:t>
      </w:r>
      <w:r>
        <w:t xml:space="preserve">, </w:t>
      </w:r>
      <w:hyperlink r:id="rId11" w:history="1">
        <w:r>
          <w:rPr>
            <w:rStyle w:val="Hyperlink"/>
          </w:rPr>
          <w:t>https://enrd.ec.europa.eu/evaluation/publications/guidelines-assessment-rdp-results-how-prepare-reporting-evaluation-</w:t>
        </w:r>
        <w:r w:rsidRPr="00FA63BD">
          <w:rPr>
            <w:rStyle w:val="Hyperlink"/>
          </w:rPr>
          <w:t>2017</w:t>
        </w:r>
        <w:r>
          <w:rPr>
            <w:rStyle w:val="Hyperlink"/>
          </w:rPr>
          <w:t>_en</w:t>
        </w:r>
      </w:hyperlink>
    </w:p>
  </w:footnote>
  <w:footnote w:id="38">
    <w:p w:rsidR="008A60B4" w:rsidRPr="00626C0C" w:rsidRDefault="008A60B4" w:rsidP="00583AC8">
      <w:pPr>
        <w:pStyle w:val="FootnoteText"/>
      </w:pPr>
      <w:r>
        <w:rPr>
          <w:rStyle w:val="FootnoteReference"/>
        </w:rPr>
        <w:footnoteRef/>
      </w:r>
      <w:r>
        <w:t xml:space="preserve"> </w:t>
      </w:r>
      <w:r>
        <w:t xml:space="preserve">Link către Secretariatul pentru evaluare al Suediei: </w:t>
      </w:r>
      <w:hyperlink r:id="rId12" w:history="1">
        <w:r>
          <w:rPr>
            <w:rStyle w:val="Hyperlink"/>
          </w:rPr>
          <w:t>https://www.jordbruksverket.se/utvardering</w:t>
        </w:r>
      </w:hyperlink>
    </w:p>
  </w:footnote>
  <w:footnote w:id="39">
    <w:p w:rsidR="008A60B4" w:rsidRPr="00171202" w:rsidRDefault="008A60B4" w:rsidP="00804433">
      <w:pPr>
        <w:pStyle w:val="FootnoteText"/>
      </w:pPr>
      <w:r>
        <w:rPr>
          <w:rStyle w:val="FootnoteReference"/>
        </w:rPr>
        <w:footnoteRef/>
      </w:r>
      <w:r>
        <w:t xml:space="preserve"> </w:t>
      </w:r>
      <w:r>
        <w:t xml:space="preserve">Punctul </w:t>
      </w:r>
      <w:r w:rsidRPr="00FA63BD">
        <w:t>7</w:t>
      </w:r>
      <w:r>
        <w:t xml:space="preserve"> din anexa VII la Regulamentul (UE) nr. </w:t>
      </w:r>
      <w:r w:rsidRPr="00FA63BD">
        <w:t>808</w:t>
      </w:r>
      <w:r>
        <w:t>/</w:t>
      </w:r>
      <w:r w:rsidRPr="00FA63BD">
        <w:t>2014</w:t>
      </w:r>
      <w:r>
        <w:t>.</w:t>
      </w:r>
    </w:p>
  </w:footnote>
  <w:footnote w:id="40">
    <w:p w:rsidR="008A60B4" w:rsidRPr="00171202" w:rsidRDefault="008A60B4" w:rsidP="00804433">
      <w:pPr>
        <w:pStyle w:val="FootnoteText"/>
      </w:pPr>
      <w:r>
        <w:rPr>
          <w:rStyle w:val="FootnoteReference"/>
        </w:rPr>
        <w:footnoteRef/>
      </w:r>
      <w:r>
        <w:t xml:space="preserve"> </w:t>
      </w:r>
      <w:r>
        <w:t xml:space="preserve">Punctele </w:t>
      </w:r>
      <w:r w:rsidRPr="00FA63BD">
        <w:t>2</w:t>
      </w:r>
      <w:r>
        <w:t xml:space="preserve">, </w:t>
      </w:r>
      <w:r w:rsidRPr="00FA63BD">
        <w:t>3</w:t>
      </w:r>
      <w:r>
        <w:t xml:space="preserve"> și </w:t>
      </w:r>
      <w:r w:rsidRPr="00FA63BD">
        <w:t>4</w:t>
      </w:r>
      <w:r>
        <w:t xml:space="preserve"> din anexa IV la Regulamentul (UE) nr. </w:t>
      </w:r>
      <w:r w:rsidRPr="00FA63BD">
        <w:t>808</w:t>
      </w:r>
      <w:r>
        <w:t>/</w:t>
      </w:r>
      <w:r w:rsidRPr="00FA63BD">
        <w:t>2014</w:t>
      </w:r>
      <w:r>
        <w:t>.</w:t>
      </w:r>
    </w:p>
  </w:footnote>
  <w:footnote w:id="41">
    <w:p w:rsidR="008A60B4" w:rsidRPr="00171202" w:rsidRDefault="008A60B4" w:rsidP="00E05D08">
      <w:pPr>
        <w:pStyle w:val="FootnoteText"/>
      </w:pPr>
      <w:r>
        <w:rPr>
          <w:rStyle w:val="FootnoteReference"/>
        </w:rPr>
        <w:footnoteRef/>
      </w:r>
      <w:r>
        <w:t xml:space="preserve"> </w:t>
      </w:r>
      <w:r>
        <w:t xml:space="preserve">Criteriile de apreciere astfel cum sunt prevăzute în documentul de lucru: Întrebări de evaluare comune pentru programele de dezvoltare rurală din perioada </w:t>
      </w:r>
      <w:r w:rsidRPr="00FA63BD">
        <w:t>2014</w:t>
      </w:r>
      <w:r>
        <w:t>-</w:t>
      </w:r>
      <w:r w:rsidRPr="00FA63BD">
        <w:t>2020</w:t>
      </w:r>
      <w:r>
        <w:t>,</w:t>
      </w:r>
      <w:r>
        <w:rPr>
          <w:rStyle w:val="Hyperlink"/>
        </w:rPr>
        <w:t xml:space="preserve"> </w:t>
      </w:r>
      <w:hyperlink r:id="rId13" w:history="1">
        <w:r>
          <w:rPr>
            <w:rStyle w:val="Hyperlink"/>
          </w:rPr>
          <w:t>https://enrd.ec.europa.eu/evaluation/publications/working-document-common-evaluation-questions-rural-development-programmes_en</w:t>
        </w:r>
      </w:hyperlink>
    </w:p>
  </w:footnote>
  <w:footnote w:id="42">
    <w:p w:rsidR="008A60B4" w:rsidRPr="00171202" w:rsidRDefault="008A60B4" w:rsidP="00E05D08">
      <w:pPr>
        <w:pStyle w:val="FootnoteText"/>
      </w:pPr>
      <w:r>
        <w:rPr>
          <w:rStyle w:val="FootnoteReference"/>
        </w:rPr>
        <w:footnoteRef/>
      </w:r>
      <w:r>
        <w:t xml:space="preserve"> </w:t>
      </w:r>
      <w:r>
        <w:t>Anexa IV la Regulamentul (UE) nr. </w:t>
      </w:r>
      <w:r w:rsidRPr="00FA63BD">
        <w:t>808</w:t>
      </w:r>
      <w:r>
        <w:t>/</w:t>
      </w:r>
      <w:r w:rsidRPr="00FA63BD">
        <w:t>2014</w:t>
      </w:r>
      <w:r>
        <w:t>.</w:t>
      </w:r>
    </w:p>
  </w:footnote>
  <w:footnote w:id="43">
    <w:p w:rsidR="008A60B4" w:rsidRPr="00091F73" w:rsidRDefault="008A60B4" w:rsidP="00E05D08">
      <w:pPr>
        <w:pStyle w:val="FootnoteText"/>
      </w:pPr>
      <w:r>
        <w:rPr>
          <w:rStyle w:val="FootnoteReference"/>
        </w:rPr>
        <w:footnoteRef/>
      </w:r>
      <w:r>
        <w:t xml:space="preserve"> </w:t>
      </w:r>
      <w:r>
        <w:t xml:space="preserve">În statele membre se elaborează criterii de apreciere suplimentare, pe lângă cele specificate în documentul de lucru: Întrebări de evaluare comune pentru programele de dezvoltare rurală din perioada </w:t>
      </w:r>
      <w:r w:rsidRPr="00FA63BD">
        <w:t>2014</w:t>
      </w:r>
      <w:r>
        <w:t>-</w:t>
      </w:r>
      <w:r w:rsidRPr="00FA63BD">
        <w:t>2020</w:t>
      </w:r>
      <w:r>
        <w:t xml:space="preserve">. </w:t>
      </w:r>
    </w:p>
  </w:footnote>
  <w:footnote w:id="44">
    <w:p w:rsidR="008A60B4" w:rsidRPr="00091F73" w:rsidRDefault="008A60B4" w:rsidP="00E05D08">
      <w:pPr>
        <w:pStyle w:val="FootnoteText"/>
      </w:pPr>
      <w:r>
        <w:rPr>
          <w:rStyle w:val="FootnoteReference"/>
        </w:rPr>
        <w:footnoteRef/>
      </w:r>
      <w:r>
        <w:t xml:space="preserve"> </w:t>
      </w:r>
      <w:r>
        <w:t xml:space="preserve">Indicatorii suplimentari sunt cei elaborați în statele membre, pe lângă indicatorii comuni, în cazul în care indicatorii comuni nu sunt suficienți pentru a răspunde la întrebările de evaluare, astfel cum sunt specificate în criteriile de apreciere. Pentru mai multe îndrumări, a se vedea ghidul: Evaluarea rezultatelor PDR: pregătirea raportării cu privire la constatările evaluării în </w:t>
      </w:r>
      <w:r w:rsidRPr="00FA63BD">
        <w:t>2017</w:t>
      </w:r>
      <w:r>
        <w:t xml:space="preserve"> </w:t>
      </w:r>
      <w:hyperlink r:id="rId14" w:history="1">
        <w:r>
          <w:rPr>
            <w:rStyle w:val="Hyperlink"/>
          </w:rPr>
          <w:t>https://enrd.ec.europa.eu/evaluation/publications/guidelines-assessment-rdp-results-how-prepare-reporting-evaluation-</w:t>
        </w:r>
        <w:r w:rsidRPr="00FA63BD">
          <w:rPr>
            <w:rStyle w:val="Hyperlink"/>
          </w:rPr>
          <w:t>2017</w:t>
        </w:r>
        <w:r>
          <w:rPr>
            <w:rStyle w:val="Hyperlink"/>
          </w:rPr>
          <w:t>_en</w:t>
        </w:r>
      </w:hyperlink>
    </w:p>
    <w:p w:rsidR="008A60B4" w:rsidRPr="00091F73" w:rsidRDefault="008A60B4" w:rsidP="00F74459">
      <w:pPr>
        <w:pStyle w:val="FootnoteText"/>
        <w:rPr>
          <w:lang w:val="sk-SK"/>
        </w:rPr>
      </w:pPr>
    </w:p>
  </w:footnote>
  <w:footnote w:id="45">
    <w:p w:rsidR="008A60B4" w:rsidRPr="00576A73" w:rsidRDefault="008A60B4">
      <w:pPr>
        <w:pStyle w:val="FootnoteText"/>
        <w:rPr>
          <w:sz w:val="12"/>
          <w:szCs w:val="12"/>
        </w:rPr>
      </w:pPr>
      <w:r>
        <w:rPr>
          <w:rStyle w:val="FootnoteReference"/>
          <w:szCs w:val="16"/>
        </w:rPr>
        <w:footnoteRef/>
      </w:r>
      <w:r>
        <w:rPr>
          <w:sz w:val="12"/>
          <w:szCs w:val="12"/>
        </w:rPr>
        <w:t xml:space="preserve"> </w:t>
      </w:r>
      <w:r>
        <w:t xml:space="preserve">Articolul </w:t>
      </w:r>
      <w:r w:rsidRPr="00FA63BD">
        <w:t>15</w:t>
      </w:r>
      <w:r>
        <w:t xml:space="preserve"> alineatul (</w:t>
      </w:r>
      <w:r w:rsidRPr="00FA63BD">
        <w:t>4</w:t>
      </w:r>
      <w:r>
        <w:t>) literele (a)-(g)</w:t>
      </w:r>
    </w:p>
  </w:footnote>
  <w:footnote w:id="46">
    <w:p w:rsidR="008A60B4" w:rsidRPr="00401F29" w:rsidRDefault="008A60B4" w:rsidP="00E05D08">
      <w:pPr>
        <w:pStyle w:val="FootnoteText"/>
        <w:rPr>
          <w:rStyle w:val="Hyperlink"/>
        </w:rPr>
      </w:pPr>
      <w:r>
        <w:rPr>
          <w:rStyle w:val="FootnoteReference"/>
        </w:rPr>
        <w:footnoteRef/>
      </w:r>
      <w:r>
        <w:t xml:space="preserve"> </w:t>
      </w:r>
      <w:r>
        <w:t>A se vedea:</w:t>
      </w:r>
      <w:r>
        <w:rPr>
          <w:rStyle w:val="Hyperlink"/>
        </w:rPr>
        <w:t xml:space="preserve"> </w:t>
      </w:r>
      <w:hyperlink r:id="rId15" w:history="1">
        <w:r>
          <w:rPr>
            <w:rStyle w:val="Hyperlink"/>
          </w:rPr>
          <w:t>http://ec.europa.eu/europe</w:t>
        </w:r>
        <w:r w:rsidRPr="00FA63BD">
          <w:rPr>
            <w:rStyle w:val="Hyperlink"/>
          </w:rPr>
          <w:t>2020</w:t>
        </w:r>
        <w:r>
          <w:rPr>
            <w:rStyle w:val="Hyperlink"/>
          </w:rPr>
          <w:t>/targets/eu-targets/index_en.htm</w:t>
        </w:r>
      </w:hyperlink>
    </w:p>
  </w:footnote>
  <w:footnote w:id="47">
    <w:p w:rsidR="008A60B4" w:rsidRPr="00401F29" w:rsidRDefault="008A60B4" w:rsidP="00C3092C">
      <w:pPr>
        <w:pStyle w:val="FootnoteText"/>
      </w:pPr>
      <w:r>
        <w:rPr>
          <w:vertAlign w:val="superscript"/>
        </w:rPr>
        <w:footnoteRef/>
      </w:r>
      <w:r>
        <w:t xml:space="preserve"> </w:t>
      </w:r>
      <w:r>
        <w:t xml:space="preserve">Documentul de lucru: Întrebări de evaluare comune pentru programele de dezvoltare rurală în perioada </w:t>
      </w:r>
      <w:r w:rsidRPr="00FA63BD">
        <w:t>2014</w:t>
      </w:r>
      <w:r>
        <w:t>-</w:t>
      </w:r>
      <w:r w:rsidRPr="00FA63BD">
        <w:t>2020</w:t>
      </w:r>
      <w:r>
        <w:t xml:space="preserve">, </w:t>
      </w:r>
      <w:hyperlink r:id="rId16" w:history="1">
        <w:r>
          <w:rPr>
            <w:rStyle w:val="Hyperlink"/>
          </w:rPr>
          <w:t>http://enrd.ec.europa.eu/evaluation/publications/working-document-common-evaluation-questions-rural-development-programmes_en</w:t>
        </w:r>
      </w:hyperlink>
    </w:p>
  </w:footnote>
  <w:footnote w:id="48">
    <w:p w:rsidR="008A60B4" w:rsidRPr="00401F29" w:rsidRDefault="008A60B4" w:rsidP="00E05D08">
      <w:pPr>
        <w:pStyle w:val="FootnoteText"/>
      </w:pPr>
      <w:r>
        <w:rPr>
          <w:rStyle w:val="FootnoteReference"/>
        </w:rPr>
        <w:footnoteRef/>
      </w:r>
      <w:r>
        <w:t xml:space="preserve"> </w:t>
      </w:r>
      <w:r>
        <w:t xml:space="preserve">Aceste articole sunt incluse în Regulamentul (UE) nr. </w:t>
      </w:r>
      <w:r w:rsidRPr="00FA63BD">
        <w:t>1305</w:t>
      </w:r>
      <w:r>
        <w:t>/</w:t>
      </w:r>
      <w:r w:rsidRPr="00FA63BD">
        <w:t>2013</w:t>
      </w:r>
      <w:r>
        <w:t>.</w:t>
      </w:r>
    </w:p>
  </w:footnote>
  <w:footnote w:id="49">
    <w:p w:rsidR="008A60B4" w:rsidRPr="00401F29" w:rsidRDefault="008A60B4" w:rsidP="00E05D08">
      <w:pPr>
        <w:pStyle w:val="FootnoteText"/>
      </w:pPr>
      <w:r>
        <w:rPr>
          <w:rStyle w:val="FootnoteReference"/>
        </w:rPr>
        <w:footnoteRef/>
      </w:r>
      <w:r>
        <w:t xml:space="preserve"> </w:t>
      </w:r>
      <w:r>
        <w:t xml:space="preserve">Articolul </w:t>
      </w:r>
      <w:r w:rsidRPr="00FA63BD">
        <w:t>15</w:t>
      </w:r>
      <w:r>
        <w:t xml:space="preserve"> alineatul (</w:t>
      </w:r>
      <w:r w:rsidRPr="00FA63BD">
        <w:t>4</w:t>
      </w:r>
      <w:r>
        <w:t xml:space="preserve">) litera (c) din Regulamentul (UE) nr. </w:t>
      </w:r>
      <w:r w:rsidRPr="00FA63BD">
        <w:t>1305</w:t>
      </w:r>
      <w:r>
        <w:t>/</w:t>
      </w:r>
      <w:r w:rsidRPr="00FA63BD">
        <w:t>2013</w:t>
      </w:r>
      <w:r>
        <w:t>.</w:t>
      </w:r>
    </w:p>
  </w:footnote>
  <w:footnote w:id="50">
    <w:p w:rsidR="008A60B4" w:rsidRPr="00401F29" w:rsidRDefault="008A60B4" w:rsidP="00E05D08">
      <w:pPr>
        <w:pStyle w:val="FootnoteText"/>
      </w:pPr>
      <w:r>
        <w:rPr>
          <w:rStyle w:val="FootnoteReference"/>
        </w:rPr>
        <w:footnoteRef/>
      </w:r>
      <w:r>
        <w:t xml:space="preserve"> </w:t>
      </w:r>
      <w:r>
        <w:t xml:space="preserve">Articolul </w:t>
      </w:r>
      <w:r w:rsidRPr="00FA63BD">
        <w:t>32</w:t>
      </w:r>
      <w:r>
        <w:t xml:space="preserve"> din Regulamentul (UE) nr. </w:t>
      </w:r>
      <w:r w:rsidRPr="00FA63BD">
        <w:t>1303</w:t>
      </w:r>
      <w:r>
        <w:t>/</w:t>
      </w:r>
      <w:r w:rsidRPr="00FA63BD">
        <w:t>2013</w:t>
      </w:r>
      <w:r>
        <w:t>.</w:t>
      </w:r>
    </w:p>
  </w:footnote>
  <w:footnote w:id="51">
    <w:p w:rsidR="008A60B4" w:rsidRPr="00C3092C" w:rsidRDefault="008A60B4" w:rsidP="00C3092C">
      <w:pPr>
        <w:pStyle w:val="FootnoteText"/>
      </w:pPr>
      <w:r>
        <w:rPr>
          <w:rStyle w:val="FootnoteReference"/>
        </w:rPr>
        <w:footnoteRef/>
      </w:r>
      <w:r>
        <w:t xml:space="preserve"> </w:t>
      </w:r>
      <w:r>
        <w:t xml:space="preserve">Articolul </w:t>
      </w:r>
      <w:r w:rsidRPr="00FA63BD">
        <w:t>35</w:t>
      </w:r>
      <w:r>
        <w:t xml:space="preserve"> alineatul (</w:t>
      </w:r>
      <w:r w:rsidRPr="00FA63BD">
        <w:t>2</w:t>
      </w:r>
      <w:r>
        <w:t xml:space="preserve">) litera (b) din Regulamentul (UE) nr. </w:t>
      </w:r>
      <w:r w:rsidRPr="00FA63BD">
        <w:t>1305</w:t>
      </w:r>
      <w:r>
        <w:t>/</w:t>
      </w:r>
      <w:r w:rsidRPr="00FA63BD">
        <w:t>2013</w:t>
      </w:r>
      <w:r>
        <w:t>.</w:t>
      </w:r>
    </w:p>
  </w:footnote>
  <w:footnote w:id="52">
    <w:p w:rsidR="008A60B4" w:rsidRPr="0026694F" w:rsidRDefault="008A60B4" w:rsidP="00E05D08">
      <w:pPr>
        <w:pStyle w:val="FootnoteText"/>
        <w:rPr>
          <w:color w:val="373737"/>
        </w:rPr>
      </w:pPr>
      <w:r>
        <w:rPr>
          <w:rStyle w:val="FootnoteReference"/>
        </w:rPr>
        <w:footnoteRef/>
      </w:r>
      <w:r>
        <w:t xml:space="preserve"> </w:t>
      </w:r>
      <w:r>
        <w:t xml:space="preserve">Articolul </w:t>
      </w:r>
      <w:r w:rsidRPr="00FA63BD">
        <w:t>35</w:t>
      </w:r>
      <w:r>
        <w:t xml:space="preserve"> din Regulamentul (UE) nr. </w:t>
      </w:r>
      <w:r w:rsidRPr="00FA63BD">
        <w:t>1305</w:t>
      </w:r>
      <w:r>
        <w:t>/</w:t>
      </w:r>
      <w:r w:rsidRPr="00FA63BD">
        <w:t>2013</w:t>
      </w:r>
      <w:r>
        <w:t xml:space="preserve">. Documentul de orientare „Măsura de cooperare” (versiunea din noiembrie </w:t>
      </w:r>
      <w:r w:rsidRPr="00FA63BD">
        <w:t>2014</w:t>
      </w:r>
      <w:r>
        <w:t xml:space="preserve">) oferă lista cu toate submăsurile cuprinse în măsura de cooperare din anexa I, </w:t>
      </w:r>
      <w:hyperlink r:id="rId17" w:history="1">
        <w:r>
          <w:rPr>
            <w:rStyle w:val="Hyperlink"/>
          </w:rPr>
          <w:t>https://ec.europa.eu/eip/agriculture/sites/agri-eip/files/</w:t>
        </w:r>
        <w:r w:rsidRPr="00FA63BD">
          <w:rPr>
            <w:rStyle w:val="Hyperlink"/>
          </w:rPr>
          <w:t>16</w:t>
        </w:r>
        <w:r>
          <w:rPr>
            <w:rStyle w:val="Hyperlink"/>
          </w:rPr>
          <w:t>_measure_fiche_art_</w:t>
        </w:r>
        <w:r w:rsidRPr="00FA63BD">
          <w:rPr>
            <w:rStyle w:val="Hyperlink"/>
          </w:rPr>
          <w:t>35</w:t>
        </w:r>
        <w:r>
          <w:rPr>
            <w:rStyle w:val="Hyperlink"/>
          </w:rPr>
          <w:t>_co-operation.pdf</w:t>
        </w:r>
      </w:hyperlink>
    </w:p>
  </w:footnote>
  <w:footnote w:id="53">
    <w:p w:rsidR="008A60B4" w:rsidRPr="00401F29" w:rsidRDefault="008A60B4" w:rsidP="00E05D08">
      <w:pPr>
        <w:pStyle w:val="FootnoteText"/>
      </w:pPr>
      <w:r>
        <w:rPr>
          <w:rStyle w:val="FootnoteReference"/>
        </w:rPr>
        <w:footnoteRef/>
      </w:r>
      <w:r>
        <w:t xml:space="preserve"> </w:t>
      </w:r>
      <w:r>
        <w:t xml:space="preserve">Articolul </w:t>
      </w:r>
      <w:r w:rsidRPr="00FA63BD">
        <w:t>35</w:t>
      </w:r>
      <w:r>
        <w:t xml:space="preserve"> alineatul (</w:t>
      </w:r>
      <w:r w:rsidRPr="00FA63BD">
        <w:t>1</w:t>
      </w:r>
      <w:r>
        <w:t xml:space="preserve">) din Regulamentul (UE) nr. </w:t>
      </w:r>
      <w:r w:rsidRPr="00FA63BD">
        <w:t>1305</w:t>
      </w:r>
      <w:r>
        <w:t>/</w:t>
      </w:r>
      <w:r w:rsidRPr="00FA63BD">
        <w:t>2013</w:t>
      </w:r>
      <w:r>
        <w:t>.</w:t>
      </w:r>
    </w:p>
  </w:footnote>
  <w:footnote w:id="54">
    <w:p w:rsidR="008A60B4" w:rsidRPr="00AB16BB" w:rsidRDefault="008A60B4">
      <w:pPr>
        <w:pStyle w:val="FootnoteText"/>
        <w:rPr>
          <w:sz w:val="12"/>
          <w:szCs w:val="12"/>
        </w:rPr>
      </w:pPr>
      <w:r>
        <w:rPr>
          <w:rStyle w:val="FootnoteReference"/>
          <w:szCs w:val="16"/>
        </w:rPr>
        <w:footnoteRef/>
      </w:r>
      <w:r>
        <w:t>Prezentarea unor exemple de programare legate de prioritățile P</w:t>
      </w:r>
      <w:r w:rsidRPr="00FA63BD">
        <w:t>4</w:t>
      </w:r>
      <w:r>
        <w:t xml:space="preserve"> și P</w:t>
      </w:r>
      <w:r w:rsidRPr="00FA63BD">
        <w:t>5</w:t>
      </w:r>
      <w:r>
        <w:t xml:space="preserve"> ale FEADR. Disponibilă la adresa: </w:t>
      </w:r>
      <w:hyperlink r:id="rId18" w:history="1">
        <w:r>
          <w:rPr>
            <w:rStyle w:val="Hyperlink"/>
          </w:rPr>
          <w:t>http://enrd.ec.europa.eu/sites/enrd/files/w</w:t>
        </w:r>
        <w:r w:rsidRPr="00FA63BD">
          <w:rPr>
            <w:rStyle w:val="Hyperlink"/>
          </w:rPr>
          <w:t>10</w:t>
        </w:r>
        <w:r>
          <w:rPr>
            <w:rStyle w:val="Hyperlink"/>
          </w:rPr>
          <w:t>_m</w:t>
        </w:r>
        <w:r w:rsidRPr="00FA63BD">
          <w:rPr>
            <w:rStyle w:val="Hyperlink"/>
          </w:rPr>
          <w:t>16</w:t>
        </w:r>
        <w:r>
          <w:rPr>
            <w:rStyle w:val="Hyperlink"/>
          </w:rPr>
          <w:t>_finland_karlsson.pdf</w:t>
        </w:r>
      </w:hyperlink>
      <w:r>
        <w:rPr>
          <w:sz w:val="12"/>
          <w:szCs w:val="12"/>
        </w:rPr>
        <w:t xml:space="preserve"> </w:t>
      </w:r>
    </w:p>
  </w:footnote>
  <w:footnote w:id="55">
    <w:p w:rsidR="008A60B4" w:rsidRPr="00A45935" w:rsidRDefault="008A60B4">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8A60B4" w:rsidRDefault="008A60B4">
      <w:pPr>
        <w:pStyle w:val="FootnoteText"/>
      </w:pPr>
      <w:r>
        <w:rPr>
          <w:rStyle w:val="FootnoteReference"/>
          <w:szCs w:val="16"/>
        </w:rPr>
        <w:footnoteRef/>
      </w:r>
      <w:r>
        <w:t xml:space="preserve"> </w:t>
      </w:r>
      <w:r>
        <w:t>Prezentarea unor exemple de programare legate de prioritățile P</w:t>
      </w:r>
      <w:r w:rsidRPr="00FA63BD">
        <w:t>4</w:t>
      </w:r>
      <w:r>
        <w:t xml:space="preserve"> și P</w:t>
      </w:r>
      <w:r w:rsidRPr="00FA63BD">
        <w:t>5</w:t>
      </w:r>
      <w:r>
        <w:t xml:space="preserve"> ale FEADR. Disponibilă la adresa: </w:t>
      </w:r>
      <w:hyperlink r:id="rId20" w:history="1">
        <w:r>
          <w:rPr>
            <w:rStyle w:val="Hyperlink"/>
          </w:rPr>
          <w:t>http://enrd.ec.europa.eu/sites/enrd/files/w</w:t>
        </w:r>
        <w:r w:rsidRPr="00FA63BD">
          <w:rPr>
            <w:rStyle w:val="Hyperlink"/>
          </w:rPr>
          <w:t>10</w:t>
        </w:r>
        <w:r>
          <w:rPr>
            <w:rStyle w:val="Hyperlink"/>
          </w:rPr>
          <w:t>_m</w:t>
        </w:r>
        <w:r w:rsidRPr="00FA63BD">
          <w:rPr>
            <w:rStyle w:val="Hyperlink"/>
          </w:rPr>
          <w:t>16</w:t>
        </w:r>
        <w:r>
          <w:rPr>
            <w:rStyle w:val="Hyperlink"/>
          </w:rPr>
          <w:t>.</w:t>
        </w:r>
        <w:r w:rsidRPr="00FA63BD">
          <w:rPr>
            <w:rStyle w:val="Hyperlink"/>
          </w:rPr>
          <w:t>5</w:t>
        </w:r>
        <w:r>
          <w:rPr>
            <w:rStyle w:val="Hyperlink"/>
          </w:rPr>
          <w:t>_hesse_de_vonkutzleben.pdf</w:t>
        </w:r>
      </w:hyperlink>
    </w:p>
  </w:footnote>
  <w:footnote w:id="57">
    <w:p w:rsidR="008A60B4" w:rsidRPr="00401F29" w:rsidRDefault="008A60B4" w:rsidP="00E05D08">
      <w:pPr>
        <w:pStyle w:val="FootnoteText"/>
      </w:pPr>
      <w:r>
        <w:rPr>
          <w:rStyle w:val="FootnoteReference"/>
        </w:rPr>
        <w:footnoteRef/>
      </w:r>
      <w:r>
        <w:t xml:space="preserve"> </w:t>
      </w:r>
      <w:r>
        <w:t xml:space="preserve">Articolul </w:t>
      </w:r>
      <w:r w:rsidRPr="00FA63BD">
        <w:t>54</w:t>
      </w:r>
      <w:r>
        <w:t xml:space="preserve"> alineatul (</w:t>
      </w:r>
      <w:r w:rsidRPr="00FA63BD">
        <w:t>2</w:t>
      </w:r>
      <w:r>
        <w:t xml:space="preserve">) din Regulamentul (UE) nr. </w:t>
      </w:r>
      <w:r w:rsidRPr="00FA63BD">
        <w:t>1305</w:t>
      </w:r>
      <w:r>
        <w:t>/</w:t>
      </w:r>
      <w:r w:rsidRPr="00FA63BD">
        <w:t>2013</w:t>
      </w:r>
      <w:r>
        <w:t>.</w:t>
      </w:r>
    </w:p>
  </w:footnote>
  <w:footnote w:id="58">
    <w:p w:rsidR="008A60B4" w:rsidRPr="002D11C3" w:rsidRDefault="008A60B4" w:rsidP="00E05D08">
      <w:pPr>
        <w:pStyle w:val="FootnoteText"/>
      </w:pPr>
      <w:r>
        <w:rPr>
          <w:rStyle w:val="FootnoteReference"/>
        </w:rPr>
        <w:footnoteRef/>
      </w:r>
      <w:r>
        <w:t xml:space="preserve"> </w:t>
      </w:r>
      <w:r>
        <w:t xml:space="preserve">Îndrumări privind modul de furnizare a răspunsului la IEC nr. </w:t>
      </w:r>
      <w:r w:rsidRPr="00FA63BD">
        <w:t>21</w:t>
      </w:r>
      <w:r>
        <w:t xml:space="preserve"> au fost furnizate, de asemenea, în ghidul„Evaluarea rezultatelor PDR: pregătirea raportării cu privire la evaluare în </w:t>
      </w:r>
      <w:r w:rsidRPr="00FA63BD">
        <w:t>2017</w:t>
      </w:r>
      <w:r>
        <w:t xml:space="preserve">”, anexa </w:t>
      </w:r>
      <w:r w:rsidRPr="00FA63BD">
        <w:t>11</w:t>
      </w:r>
      <w:r>
        <w:t xml:space="preserve">, în care au fost luate în considerare toate obiectivele referitoare la RNDR în ceea ce privește furnizarea unui răspuns la IEC, </w:t>
      </w:r>
      <w:hyperlink r:id="rId21" w:history="1">
        <w:r>
          <w:rPr>
            <w:rStyle w:val="Hyperlink"/>
          </w:rPr>
          <w:t>https://enrd.ec.europa.eu/evaluation/publications/guidelines-assessment-rdp-results-how-prepare-reporting-evaluation-</w:t>
        </w:r>
        <w:r w:rsidRPr="00FA63BD">
          <w:rPr>
            <w:rStyle w:val="Hyperlink"/>
          </w:rPr>
          <w:t>2017</w:t>
        </w:r>
        <w:r>
          <w:rPr>
            <w:rStyle w:val="Hyperlink"/>
          </w:rPr>
          <w:t>_en</w:t>
        </w:r>
      </w:hyperlink>
    </w:p>
  </w:footnote>
  <w:footnote w:id="59">
    <w:p w:rsidR="008A60B4" w:rsidRPr="00401F29" w:rsidRDefault="008A60B4" w:rsidP="00E05D08">
      <w:pPr>
        <w:pStyle w:val="FootnoteText"/>
      </w:pPr>
      <w:r>
        <w:rPr>
          <w:rStyle w:val="FootnoteReference"/>
        </w:rPr>
        <w:footnoteRef/>
      </w:r>
      <w:r>
        <w:t xml:space="preserve"> </w:t>
      </w:r>
      <w:r>
        <w:t xml:space="preserve">Articolul </w:t>
      </w:r>
      <w:r w:rsidRPr="00FA63BD">
        <w:t>54</w:t>
      </w:r>
      <w:r>
        <w:t xml:space="preserve"> din Regulamentul (UE) nr. </w:t>
      </w:r>
      <w:r w:rsidRPr="00FA63BD">
        <w:t>1305</w:t>
      </w:r>
      <w:r>
        <w:t>/</w:t>
      </w:r>
      <w:r w:rsidRPr="00FA63BD">
        <w:t>2013</w:t>
      </w:r>
      <w:r>
        <w:t>.</w:t>
      </w:r>
    </w:p>
  </w:footnote>
  <w:footnote w:id="60">
    <w:p w:rsidR="008A60B4" w:rsidRPr="00401F29" w:rsidRDefault="008A60B4" w:rsidP="00E05D08">
      <w:pPr>
        <w:pStyle w:val="FootnoteText"/>
      </w:pPr>
      <w:r>
        <w:rPr>
          <w:rStyle w:val="FootnoteReference"/>
        </w:rPr>
        <w:footnoteRef/>
      </w:r>
      <w:r>
        <w:t xml:space="preserve"> </w:t>
      </w:r>
      <w:r>
        <w:t xml:space="preserve">Articolul </w:t>
      </w:r>
      <w:r w:rsidRPr="00FA63BD">
        <w:t>54</w:t>
      </w:r>
      <w:r>
        <w:t xml:space="preserve"> alineatul (</w:t>
      </w:r>
      <w:r w:rsidRPr="00FA63BD">
        <w:t>3</w:t>
      </w:r>
      <w:r>
        <w:t xml:space="preserve">) litera (b) din Regulamentul (UE) nr. </w:t>
      </w:r>
      <w:r w:rsidRPr="00FA63BD">
        <w:t>1305</w:t>
      </w:r>
      <w:r>
        <w:t>/</w:t>
      </w:r>
      <w:r w:rsidRPr="00FA63BD">
        <w:t>2013</w:t>
      </w:r>
    </w:p>
  </w:footnote>
  <w:footnote w:id="61">
    <w:p w:rsidR="008A60B4" w:rsidRPr="00401F29" w:rsidRDefault="008A60B4" w:rsidP="00E05D08">
      <w:pPr>
        <w:pStyle w:val="FootnoteText"/>
      </w:pPr>
      <w:r>
        <w:rPr>
          <w:rStyle w:val="FootnoteReference"/>
        </w:rPr>
        <w:footnoteRef/>
      </w:r>
      <w:r>
        <w:t xml:space="preserve"> </w:t>
      </w:r>
      <w:r>
        <w:t xml:space="preserve">Articolul </w:t>
      </w:r>
      <w:r w:rsidRPr="00FA63BD">
        <w:t>8</w:t>
      </w:r>
      <w:r>
        <w:t xml:space="preserve"> alineatul (</w:t>
      </w:r>
      <w:r w:rsidRPr="00FA63BD">
        <w:t>1</w:t>
      </w:r>
      <w:r>
        <w:t xml:space="preserve">) litera (c) punctul (v) din Regulamentul (UE) nr. </w:t>
      </w:r>
      <w:r w:rsidRPr="00FA63BD">
        <w:t>1305</w:t>
      </w:r>
      <w:r>
        <w:t>/</w:t>
      </w:r>
      <w:r w:rsidRPr="00FA63BD">
        <w:t>2013</w:t>
      </w:r>
      <w:r>
        <w:t xml:space="preserve"> și partea I punctul </w:t>
      </w:r>
      <w:r w:rsidRPr="00FA63BD">
        <w:t>5</w:t>
      </w:r>
      <w:r>
        <w:t xml:space="preserve"> literele (c) și (e) din anexa I la Regulamentul (UE) nr. </w:t>
      </w:r>
      <w:r w:rsidRPr="00FA63BD">
        <w:t>808</w:t>
      </w:r>
      <w:r>
        <w:t>/</w:t>
      </w:r>
      <w:r w:rsidRPr="00FA63BD">
        <w:t>2014</w:t>
      </w:r>
      <w:r>
        <w:t>.</w:t>
      </w:r>
    </w:p>
  </w:footnote>
  <w:footnote w:id="62">
    <w:p w:rsidR="008A60B4" w:rsidRPr="00401F29" w:rsidRDefault="008A60B4" w:rsidP="00E05D08">
      <w:pPr>
        <w:pStyle w:val="FootnoteText"/>
      </w:pPr>
      <w:r>
        <w:rPr>
          <w:rStyle w:val="FootnoteReference"/>
        </w:rPr>
        <w:footnoteRef/>
      </w:r>
      <w:r>
        <w:t xml:space="preserve"> </w:t>
      </w:r>
      <w:r>
        <w:t xml:space="preserve">Articolul </w:t>
      </w:r>
      <w:r w:rsidRPr="00FA63BD">
        <w:t>54</w:t>
      </w:r>
      <w:r>
        <w:t xml:space="preserve"> din Regulamentul (UE) nr. </w:t>
      </w:r>
      <w:r w:rsidRPr="00FA63BD">
        <w:t>1305</w:t>
      </w:r>
      <w:r>
        <w:t>/</w:t>
      </w:r>
      <w:r w:rsidRPr="00FA63BD">
        <w:t>2013</w:t>
      </w:r>
      <w:r>
        <w:t>.</w:t>
      </w:r>
    </w:p>
  </w:footnote>
  <w:footnote w:id="63">
    <w:p w:rsidR="008A60B4" w:rsidRPr="00401F29" w:rsidRDefault="008A60B4" w:rsidP="00E05D08">
      <w:pPr>
        <w:pStyle w:val="FootnoteText"/>
        <w:rPr>
          <w:rStyle w:val="Hyperlink"/>
        </w:rPr>
      </w:pPr>
      <w:r>
        <w:rPr>
          <w:rStyle w:val="FootnoteReference"/>
        </w:rPr>
        <w:footnoteRef/>
      </w:r>
      <w:r>
        <w:t xml:space="preserve"> </w:t>
      </w:r>
      <w:r>
        <w:t xml:space="preserve">Serviciul de asistență pentru evaluare, document de lucru: Întrebări de evaluare comune pentru programele de dezvoltare rurală în perioada </w:t>
      </w:r>
      <w:r w:rsidRPr="00FA63BD">
        <w:t>2014</w:t>
      </w:r>
      <w:r>
        <w:t>-</w:t>
      </w:r>
      <w:r w:rsidRPr="00FA63BD">
        <w:t>2020</w:t>
      </w:r>
      <w:r>
        <w:t xml:space="preserve">, </w:t>
      </w:r>
      <w:hyperlink r:id="rId22" w:history="1">
        <w:r>
          <w:rPr>
            <w:rStyle w:val="Hyperlink"/>
          </w:rPr>
          <w:t>http://enrd.ec.europa.eu/evaluation/publications/working-document-common-evaluation-questions-rural-development-programmes_en</w:t>
        </w:r>
      </w:hyperlink>
    </w:p>
  </w:footnote>
  <w:footnote w:id="64">
    <w:p w:rsidR="008A60B4" w:rsidRPr="00401F29" w:rsidRDefault="008A60B4" w:rsidP="00E05D08">
      <w:pPr>
        <w:pStyle w:val="FootnoteText"/>
      </w:pPr>
      <w:r>
        <w:rPr>
          <w:rStyle w:val="FootnoteReference"/>
        </w:rPr>
        <w:footnoteRef/>
      </w:r>
      <w:r>
        <w:t xml:space="preserve"> </w:t>
      </w:r>
      <w:r>
        <w:t>Idem</w:t>
      </w:r>
    </w:p>
  </w:footnote>
  <w:footnote w:id="65">
    <w:p w:rsidR="008A60B4" w:rsidRPr="00401F29" w:rsidRDefault="008A60B4" w:rsidP="00E05D08">
      <w:pPr>
        <w:pStyle w:val="FootnoteText"/>
      </w:pPr>
      <w:r>
        <w:rPr>
          <w:rStyle w:val="FootnoteReference"/>
        </w:rPr>
        <w:footnoteRef/>
      </w:r>
      <w:r>
        <w:t xml:space="preserve"> </w:t>
      </w:r>
      <w:r>
        <w:t>Allen și Seaman (</w:t>
      </w:r>
      <w:r w:rsidRPr="00FA63BD">
        <w:t>2007</w:t>
      </w:r>
      <w:r>
        <w:t>)</w:t>
      </w:r>
    </w:p>
  </w:footnote>
  <w:footnote w:id="66">
    <w:p w:rsidR="008A60B4" w:rsidRPr="00401F29" w:rsidRDefault="008A60B4" w:rsidP="00E05D08">
      <w:pPr>
        <w:pStyle w:val="FootnoteText"/>
      </w:pPr>
      <w:r>
        <w:rPr>
          <w:rStyle w:val="FootnoteReference"/>
        </w:rPr>
        <w:footnoteRef/>
      </w:r>
      <w:r>
        <w:t xml:space="preserve"> </w:t>
      </w:r>
      <w:r>
        <w:t xml:space="preserve">Serviciul de asistență pentru evaluare, ghidul „Evaluarea rețelelor naționale de dezvoltare rurală în perioada </w:t>
      </w:r>
      <w:r w:rsidRPr="00FA63BD">
        <w:t>2014</w:t>
      </w:r>
      <w:r>
        <w:t>-</w:t>
      </w:r>
      <w:r w:rsidRPr="00FA63BD">
        <w:t>2020</w:t>
      </w:r>
      <w:r>
        <w:t xml:space="preserve">”, </w:t>
      </w:r>
      <w:r w:rsidRPr="00FA63BD">
        <w:t>2016</w:t>
      </w:r>
      <w:r>
        <w:t xml:space="preserve">, capitolul </w:t>
      </w:r>
      <w:r w:rsidRPr="00FA63BD">
        <w:t>3</w:t>
      </w:r>
      <w:r>
        <w:t>.</w:t>
      </w:r>
      <w:r w:rsidRPr="00FA63BD">
        <w:t>1</w:t>
      </w:r>
      <w:r>
        <w:t>.</w:t>
      </w:r>
      <w:r w:rsidRPr="00FA63BD">
        <w:t>3</w:t>
      </w:r>
      <w:r>
        <w:t xml:space="preserve"> și partea III. </w:t>
      </w:r>
      <w:r>
        <w:rPr>
          <w:rStyle w:val="Hyperlink"/>
        </w:rPr>
        <w:t>https://enrd.ec.europa.eu/evaluation/publications/guidelines-evaluation-national-rural-networks-</w:t>
      </w:r>
      <w:hyperlink r:id="rId23" w:history="1">
        <w:r w:rsidRPr="00FA63BD">
          <w:rPr>
            <w:rStyle w:val="Hyperlink"/>
          </w:rPr>
          <w:t>2014</w:t>
        </w:r>
      </w:hyperlink>
      <w:r>
        <w:rPr>
          <w:rStyle w:val="Hyperlink"/>
        </w:rPr>
        <w:t>-</w:t>
      </w:r>
      <w:hyperlink r:id="rId24" w:history="1">
        <w:r w:rsidRPr="00FA63BD">
          <w:rPr>
            <w:rStyle w:val="Hyperlink"/>
          </w:rPr>
          <w:t>2020</w:t>
        </w:r>
      </w:hyperlink>
      <w:r>
        <w:rPr>
          <w:rStyle w:val="Hyperlink"/>
        </w:rPr>
        <w:t>_en</w:t>
      </w:r>
    </w:p>
  </w:footnote>
  <w:footnote w:id="67">
    <w:p w:rsidR="008A60B4" w:rsidRPr="00401F29" w:rsidRDefault="008A60B4" w:rsidP="00E05D08">
      <w:pPr>
        <w:pStyle w:val="FootnoteText"/>
        <w:rPr>
          <w:rStyle w:val="Hyperlink"/>
        </w:rPr>
      </w:pPr>
      <w:r>
        <w:rPr>
          <w:rStyle w:val="FootnoteReference"/>
        </w:rPr>
        <w:footnoteRef/>
      </w:r>
      <w:r>
        <w:t xml:space="preserve"> </w:t>
      </w:r>
      <w:r>
        <w:t>Exemplu furnizat de RNDR din Italia.</w:t>
      </w:r>
      <w:r>
        <w:rPr>
          <w:rFonts w:ascii="Helvetica" w:hAnsi="Helvetica"/>
          <w:szCs w:val="16"/>
        </w:rPr>
        <w:t xml:space="preserve"> </w:t>
      </w:r>
      <w:hyperlink r:id="rId25" w:history="1">
        <w:r>
          <w:rPr>
            <w:rStyle w:val="Hyperlink"/>
          </w:rPr>
          <w:t>http://www.reterurale.it/flex/cm/pages/ServeBLOB.php/L/IT/IDPagina/</w:t>
        </w:r>
        <w:r w:rsidRPr="00FA63BD">
          <w:rPr>
            <w:rStyle w:val="Hyperlink"/>
          </w:rPr>
          <w:t>16281</w:t>
        </w:r>
      </w:hyperlink>
    </w:p>
    <w:p w:rsidR="008A60B4" w:rsidRPr="00F743D3" w:rsidRDefault="008A60B4" w:rsidP="00F74459">
      <w:pPr>
        <w:pStyle w:val="FootnoteText"/>
        <w:rPr>
          <w:lang w:val="sk-SK"/>
        </w:rPr>
      </w:pPr>
    </w:p>
  </w:footnote>
  <w:footnote w:id="68">
    <w:p w:rsidR="008A60B4" w:rsidRPr="00CE37B0" w:rsidRDefault="008A60B4" w:rsidP="00E05D08">
      <w:pPr>
        <w:pStyle w:val="FootnoteText"/>
      </w:pPr>
      <w:r>
        <w:rPr>
          <w:rStyle w:val="FootnoteReference"/>
        </w:rPr>
        <w:footnoteRef/>
      </w:r>
      <w:r>
        <w:t xml:space="preserve"> </w:t>
      </w:r>
      <w:r>
        <w:t>Europa </w:t>
      </w:r>
      <w:r w:rsidRPr="00FA63BD">
        <w:t>2020</w:t>
      </w:r>
      <w:r>
        <w:t xml:space="preserve"> – O strategie europeană pentru o creștere inteligentă, durabilă și favorabilă incluziunii, </w:t>
      </w:r>
      <w:hyperlink r:id="rId26" w:history="1">
        <w:r>
          <w:rPr>
            <w:rStyle w:val="Hyperlink"/>
          </w:rPr>
          <w:t>http://eur-lex.europa.eu/legal-content/ro/ALL/?uri=CELEX%</w:t>
        </w:r>
        <w:r w:rsidRPr="00FA63BD">
          <w:rPr>
            <w:rStyle w:val="Hyperlink"/>
          </w:rPr>
          <w:t>3</w:t>
        </w:r>
        <w:r>
          <w:rPr>
            <w:rStyle w:val="Hyperlink"/>
          </w:rPr>
          <w:t>A</w:t>
        </w:r>
        <w:r w:rsidRPr="00FA63BD">
          <w:rPr>
            <w:rStyle w:val="Hyperlink"/>
          </w:rPr>
          <w:t>52010</w:t>
        </w:r>
        <w:r>
          <w:rPr>
            <w:rStyle w:val="Hyperlink"/>
          </w:rPr>
          <w:t>DC</w:t>
        </w:r>
        <w:r w:rsidRPr="00FA63BD">
          <w:rPr>
            <w:rStyle w:val="Hyperlink"/>
          </w:rPr>
          <w:t>2020</w:t>
        </w:r>
      </w:hyperlink>
    </w:p>
  </w:footnote>
  <w:footnote w:id="69">
    <w:p w:rsidR="008A60B4" w:rsidRPr="0026694F" w:rsidRDefault="008A60B4"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w:t>
        </w:r>
        <w:r w:rsidRPr="00FA63BD">
          <w:rPr>
            <w:rStyle w:val="Hyperlink"/>
          </w:rPr>
          <w:t>2020</w:t>
        </w:r>
        <w:r>
          <w:rPr>
            <w:rStyle w:val="Hyperlink"/>
          </w:rPr>
          <w:t>/targets/eu-targets/index_en.htm</w:t>
        </w:r>
      </w:hyperlink>
    </w:p>
  </w:footnote>
  <w:footnote w:id="70">
    <w:p w:rsidR="008A60B4" w:rsidRPr="008F676D" w:rsidRDefault="008A60B4" w:rsidP="00E05D08">
      <w:pPr>
        <w:pStyle w:val="FootnoteText"/>
      </w:pPr>
      <w:r>
        <w:rPr>
          <w:rStyle w:val="FootnoteReference"/>
        </w:rPr>
        <w:footnoteRef/>
      </w:r>
      <w:r>
        <w:t xml:space="preserve"> </w:t>
      </w:r>
      <w:hyperlink r:id="rId28" w:history="1">
        <w:r>
          <w:rPr>
            <w:rStyle w:val="Hyperlink"/>
          </w:rPr>
          <w:t>http://ec.europa.eu/eurostat/statistics-explained/index.php/R_%</w:t>
        </w:r>
        <w:r w:rsidRPr="00FA63BD">
          <w:rPr>
            <w:rStyle w:val="Hyperlink"/>
          </w:rPr>
          <w:t>26</w:t>
        </w:r>
        <w:r>
          <w:rPr>
            <w:rStyle w:val="Hyperlink"/>
          </w:rPr>
          <w:t>_D_expenditure</w:t>
        </w:r>
      </w:hyperlink>
    </w:p>
  </w:footnote>
  <w:footnote w:id="71">
    <w:p w:rsidR="008A60B4" w:rsidRPr="0026694F" w:rsidRDefault="008A60B4"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w:t>
        </w:r>
        <w:r w:rsidRPr="00FA63BD">
          <w:rPr>
            <w:rStyle w:val="Hyperlink"/>
          </w:rPr>
          <w:t>2015</w:t>
        </w:r>
        <w:r>
          <w:rPr>
            <w:rStyle w:val="Hyperlink"/>
          </w:rPr>
          <w:t>-</w:t>
        </w:r>
        <w:r w:rsidRPr="00FA63BD">
          <w:rPr>
            <w:rStyle w:val="Hyperlink"/>
          </w:rPr>
          <w:t>9789264239012</w:t>
        </w:r>
        <w:r>
          <w:rPr>
            <w:rStyle w:val="Hyperlink"/>
          </w:rPr>
          <w:t>-en.htm</w:t>
        </w:r>
      </w:hyperlink>
    </w:p>
  </w:footnote>
  <w:footnote w:id="72">
    <w:p w:rsidR="008A60B4" w:rsidRPr="00401F29" w:rsidRDefault="008A60B4" w:rsidP="00E05D08">
      <w:pPr>
        <w:pStyle w:val="FootnoteText"/>
      </w:pPr>
      <w:r>
        <w:rPr>
          <w:rStyle w:val="FootnoteReference"/>
          <w:rFonts w:cs="Helvetica"/>
          <w:szCs w:val="18"/>
        </w:rPr>
        <w:footnoteRef/>
      </w:r>
      <w:r>
        <w:rPr>
          <w:color w:val="373737"/>
          <w:szCs w:val="18"/>
        </w:rPr>
        <w:t xml:space="preserve"> </w:t>
      </w:r>
      <w:r>
        <w:t xml:space="preserve">Decizia nr. </w:t>
      </w:r>
      <w:r w:rsidRPr="00FA63BD">
        <w:t>1608</w:t>
      </w:r>
      <w:r>
        <w:t>/</w:t>
      </w:r>
      <w:r w:rsidRPr="00FA63BD">
        <w:t>2003</w:t>
      </w:r>
      <w:r>
        <w:t xml:space="preserve">/CE a Parlamentului European și a Consiliului, Regulamentul (CE) nr. </w:t>
      </w:r>
      <w:r w:rsidRPr="00FA63BD">
        <w:t>753</w:t>
      </w:r>
      <w:r>
        <w:t>/</w:t>
      </w:r>
      <w:r w:rsidRPr="00FA63BD">
        <w:t>2004</w:t>
      </w:r>
      <w:r>
        <w:t xml:space="preserve"> și Regulamentul (UE) nr. </w:t>
      </w:r>
      <w:r w:rsidRPr="00FA63BD">
        <w:t>995</w:t>
      </w:r>
      <w:r>
        <w:t>/</w:t>
      </w:r>
      <w:r w:rsidRPr="00FA63BD">
        <w:t>2012</w:t>
      </w:r>
      <w:r>
        <w:t>.</w:t>
      </w:r>
    </w:p>
  </w:footnote>
  <w:footnote w:id="73">
    <w:p w:rsidR="008A60B4" w:rsidRPr="008F676D" w:rsidRDefault="008A60B4"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w:t>
        </w:r>
        <w:r w:rsidRPr="00FA63BD">
          <w:rPr>
            <w:rStyle w:val="Hyperlink"/>
          </w:rPr>
          <w:t>26</w:t>
        </w:r>
        <w:r>
          <w:rPr>
            <w:rStyle w:val="Hyperlink"/>
          </w:rPr>
          <w:t>_D_(GERD)</w:t>
        </w:r>
      </w:hyperlink>
    </w:p>
  </w:footnote>
  <w:footnote w:id="74">
    <w:p w:rsidR="008A60B4" w:rsidRPr="0026694F" w:rsidRDefault="008A60B4"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4" w:name="_Hlk500419553"/>
      <w:r>
        <w:rPr>
          <w:rFonts w:ascii="Helvetica" w:hAnsi="Helvetica"/>
          <w:szCs w:val="16"/>
        </w:rPr>
        <w:t xml:space="preserve">În Germania, un studiu privind evaluările ex-ante, care (printre altele) a examinat relevanța PDR-urilor pentru îndeplinirea obiectivelor UE </w:t>
      </w:r>
      <w:r w:rsidRPr="00FA63BD">
        <w:rPr>
          <w:rFonts w:ascii="Helvetica" w:hAnsi="Helvetica"/>
          <w:szCs w:val="16"/>
        </w:rPr>
        <w:t>2020</w:t>
      </w:r>
      <w:r>
        <w:rPr>
          <w:rFonts w:ascii="Helvetica" w:hAnsi="Helvetica"/>
          <w:szCs w:val="16"/>
        </w:rPr>
        <w:t xml:space="preserve">, a arătat că contribuția PDR-urilor la îndeplinirea obiectivului principal de </w:t>
      </w:r>
      <w:r w:rsidRPr="00FA63BD">
        <w:rPr>
          <w:rFonts w:ascii="Helvetica" w:hAnsi="Helvetica"/>
          <w:szCs w:val="16"/>
        </w:rPr>
        <w:t>3</w:t>
      </w:r>
      <w:r>
        <w:rPr>
          <w:rFonts w:ascii="Helvetica" w:hAnsi="Helvetica"/>
          <w:szCs w:val="16"/>
        </w:rPr>
        <w:t xml:space="preserve"> % este evaluată ca fiind foarte scăzută. Cheltuielile vor avea numai o contribuție minoră la cheltuielile pentru cercetare și dezvoltare din mai multe landuri. </w:t>
      </w:r>
    </w:p>
    <w:bookmarkEnd w:id="124"/>
    <w:p w:rsidR="008A60B4" w:rsidRPr="00E05D08" w:rsidRDefault="008A60B4" w:rsidP="00F74459">
      <w:pPr>
        <w:pStyle w:val="FootnoteText"/>
        <w:rPr>
          <w:rFonts w:ascii="Calibri" w:hAnsi="Calibri"/>
          <w:lang w:val="sk-SK"/>
        </w:rPr>
      </w:pPr>
    </w:p>
  </w:footnote>
  <w:footnote w:id="75">
    <w:p w:rsidR="008A60B4" w:rsidRPr="0026694F" w:rsidRDefault="008A60B4" w:rsidP="00E05D08">
      <w:pPr>
        <w:pStyle w:val="FootnoteText"/>
        <w:rPr>
          <w:rFonts w:cs="Helvetica"/>
          <w:color w:val="373737"/>
        </w:rPr>
      </w:pPr>
      <w:r>
        <w:rPr>
          <w:rStyle w:val="FootnoteReference"/>
          <w:rFonts w:cs="Helvetica"/>
        </w:rPr>
        <w:footnoteRef/>
      </w:r>
      <w:r>
        <w:t xml:space="preserve"> </w:t>
      </w:r>
      <w:r>
        <w:t xml:space="preserve">Document de lucru „Întrebări de evaluare comune pentru programele de dezvoltare rurală în perioada </w:t>
      </w:r>
      <w:r w:rsidRPr="00FA63BD">
        <w:t>2014</w:t>
      </w:r>
      <w:r>
        <w:t>-</w:t>
      </w:r>
      <w:r w:rsidRPr="00FA63BD">
        <w:t>2020</w:t>
      </w:r>
      <w:r>
        <w:t xml:space="preserve">”, </w:t>
      </w:r>
      <w:hyperlink r:id="rId31" w:history="1">
        <w:r>
          <w:rPr>
            <w:rStyle w:val="Hyperlink"/>
          </w:rPr>
          <w:t>http://enrd.ec.europa.eu/evaluation/publications/working-document-common-evaluation-questions-rural-development-programmes_en</w:t>
        </w:r>
      </w:hyperlink>
    </w:p>
  </w:footnote>
  <w:footnote w:id="76">
    <w:p w:rsidR="008A60B4" w:rsidRPr="00014A2E" w:rsidRDefault="008A60B4" w:rsidP="00E05D08">
      <w:pPr>
        <w:pStyle w:val="FootnoteText"/>
      </w:pPr>
      <w:r>
        <w:rPr>
          <w:rStyle w:val="FootnoteReference"/>
        </w:rPr>
        <w:footnoteRef/>
      </w:r>
      <w:r>
        <w:t xml:space="preserve"> </w:t>
      </w:r>
      <w:r>
        <w:t xml:space="preserve">Articolul </w:t>
      </w:r>
      <w:r w:rsidRPr="00FA63BD">
        <w:t>8</w:t>
      </w:r>
      <w:r>
        <w:t xml:space="preserve"> alineatul (</w:t>
      </w:r>
      <w:r w:rsidRPr="00FA63BD">
        <w:t>1</w:t>
      </w:r>
      <w:r>
        <w:t xml:space="preserve">) litera (c) punctul (v) din Regulamentul (UE) nr. </w:t>
      </w:r>
      <w:r w:rsidRPr="00FA63BD">
        <w:t>1305</w:t>
      </w:r>
      <w:r>
        <w:t>/</w:t>
      </w:r>
      <w:r w:rsidRPr="00FA63BD">
        <w:t>2013</w:t>
      </w:r>
      <w:r>
        <w:t xml:space="preserve"> și partea I punctul </w:t>
      </w:r>
      <w:r w:rsidRPr="00FA63BD">
        <w:t>5</w:t>
      </w:r>
      <w:r>
        <w:t xml:space="preserve"> literele (c) și (e) din anexa I la Regulamentul (UE) nr. </w:t>
      </w:r>
      <w:r w:rsidRPr="00FA63BD">
        <w:t>808</w:t>
      </w:r>
      <w:r>
        <w:t>/</w:t>
      </w:r>
      <w:r w:rsidRPr="00FA63BD">
        <w:t>2014</w:t>
      </w:r>
      <w:r>
        <w:t>.</w:t>
      </w:r>
    </w:p>
  </w:footnote>
  <w:footnote w:id="77">
    <w:p w:rsidR="008A60B4" w:rsidRPr="001D68A9" w:rsidRDefault="008A60B4" w:rsidP="00E05D08">
      <w:pPr>
        <w:pStyle w:val="FootnoteText"/>
      </w:pPr>
      <w:r>
        <w:rPr>
          <w:rStyle w:val="FootnoteReference"/>
        </w:rPr>
        <w:footnoteRef/>
      </w:r>
      <w:r>
        <w:t xml:space="preserve"> </w:t>
      </w:r>
      <w:hyperlink r:id="rId32" w:history="1">
        <w:r>
          <w:rPr>
            <w:rStyle w:val="Hyperlink"/>
          </w:rPr>
          <w:t>http://www.analytictech.com/networks/whatis.htm</w:t>
        </w:r>
      </w:hyperlink>
    </w:p>
  </w:footnote>
  <w:footnote w:id="78">
    <w:p w:rsidR="008A60B4" w:rsidRPr="00401F29" w:rsidRDefault="008A60B4" w:rsidP="00E05D08">
      <w:pPr>
        <w:pStyle w:val="FootnoteText"/>
      </w:pPr>
      <w:r>
        <w:rPr>
          <w:rStyle w:val="FootnoteReference"/>
        </w:rPr>
        <w:footnoteRef/>
      </w:r>
      <w:r>
        <w:t xml:space="preserve"> </w:t>
      </w:r>
      <w:r>
        <w:t xml:space="preserve">Wilson-Grau, </w:t>
      </w:r>
      <w:r w:rsidRPr="00FA63BD">
        <w:t>2015</w:t>
      </w:r>
      <w:r>
        <w:t> </w:t>
      </w:r>
    </w:p>
  </w:footnote>
  <w:footnote w:id="79">
    <w:p w:rsidR="008A60B4" w:rsidRPr="00401F29" w:rsidRDefault="008A60B4" w:rsidP="00E05D08">
      <w:pPr>
        <w:pStyle w:val="FootnoteText"/>
      </w:pPr>
      <w:r>
        <w:rPr>
          <w:rStyle w:val="FootnoteReference"/>
        </w:rPr>
        <w:footnoteRef/>
      </w:r>
      <w:r>
        <w:t xml:space="preserve"> </w:t>
      </w:r>
      <w:r>
        <w:t xml:space="preserve">Un studiu de caz este o metodă de învățare despre un exemplu complex, bazată pe o înțelegere cuprinzătoare a exemplului respectiv, obținută prin descrierea și analiza extensivă a exemplului luat în considerare, în întregime și în contextul său(GAO, </w:t>
      </w:r>
      <w:r w:rsidRPr="00FA63BD">
        <w:t>1990</w:t>
      </w:r>
      <w:r>
        <w:t xml:space="preserve">, p. </w:t>
      </w:r>
      <w:r w:rsidRPr="00FA63BD">
        <w:t>15</w:t>
      </w:r>
      <w:r>
        <w:t>).</w:t>
      </w:r>
    </w:p>
  </w:footnote>
  <w:footnote w:id="80">
    <w:p w:rsidR="008A60B4" w:rsidRPr="00401F29" w:rsidRDefault="008A60B4" w:rsidP="00E05D08">
      <w:pPr>
        <w:pStyle w:val="FootnoteText"/>
      </w:pPr>
      <w:r>
        <w:rPr>
          <w:rStyle w:val="FootnoteReference"/>
        </w:rPr>
        <w:footnoteRef/>
      </w:r>
      <w:r>
        <w:rPr>
          <w:rStyle w:val="FootnoteReference"/>
        </w:rPr>
        <w:t xml:space="preserve"> </w:t>
      </w:r>
      <w:r>
        <w:t>Urmărirea procesului este o abordare bazată pe caz a inferenței cauzale, care se concentrează pe utilizarea indiciilor dintr-un caz (observații legate de procesul cauzal) pentru a lua o decizie în ceea ce privește explicațiile posibile alternative. A se citi informații suplimentare la adresa</w:t>
      </w:r>
      <w:hyperlink r:id="rId33" w:history="1">
        <w:r>
          <w:rPr>
            <w:rStyle w:val="Hyperlink"/>
            <w:szCs w:val="16"/>
            <w:shd w:val="clear" w:color="auto" w:fill="FFFFFF"/>
          </w:rPr>
          <w:t xml:space="preserve"> http://www.betterevaluation.org/en/evaluation-options/processtracing</w:t>
        </w:r>
      </w:hyperlink>
      <w:r>
        <w:t xml:space="preserve">. De asemenea, a se citi Collier </w:t>
      </w:r>
      <w:r w:rsidRPr="00FA63BD">
        <w:t>2011</w:t>
      </w:r>
      <w:r>
        <w:t xml:space="preserve"> și a se consulta literatura de specialitate.</w:t>
      </w:r>
    </w:p>
  </w:footnote>
  <w:footnote w:id="81">
    <w:p w:rsidR="008A60B4" w:rsidRPr="00401F29" w:rsidRDefault="008A60B4" w:rsidP="00E05D08">
      <w:pPr>
        <w:pStyle w:val="FootnoteText"/>
      </w:pPr>
      <w:r>
        <w:rPr>
          <w:rStyle w:val="FootnoteReference"/>
        </w:rPr>
        <w:footnoteRef/>
      </w:r>
      <w:r>
        <w:t xml:space="preserve"> </w:t>
      </w:r>
      <w:r>
        <w:t xml:space="preserve">„Pregătirea unui «istoric al inovării»” este o metodă de înregistrare și de reflecție asupra unui proces de inovare. Persoanele care au fost implicate în inovare elaborează în colaborare o descriere scrisă detaliată (denumită uneori „istoric al învățării”) pe baza consemnărilor lor și a documentelor disponibile.” A se citi mai multe la adresa </w:t>
      </w:r>
      <w:hyperlink r:id="rId34" w:history="1">
        <w:r>
          <w:rPr>
            <w:rStyle w:val="Hyperlink"/>
          </w:rPr>
          <w:t>http://www.betterevaluation.org/en/resources/tools/innovation_history/innovation_timeline</w:t>
        </w:r>
      </w:hyperlink>
      <w:r>
        <w:t xml:space="preserve">. A se citi, de asemenea, Douthwaite și Ashby, </w:t>
      </w:r>
      <w:r w:rsidRPr="00FA63BD">
        <w:t>2005</w:t>
      </w:r>
      <w:r>
        <w:t xml:space="preserve"> și a se consulta literatura de specialitate. </w:t>
      </w:r>
    </w:p>
  </w:footnote>
  <w:footnote w:id="82">
    <w:p w:rsidR="008A60B4" w:rsidRPr="00A847F8" w:rsidRDefault="008A60B4" w:rsidP="00A847F8">
      <w:pPr>
        <w:pStyle w:val="FootnoteText"/>
      </w:pPr>
      <w:r>
        <w:rPr>
          <w:rStyle w:val="FootnoteReference"/>
        </w:rPr>
        <w:footnoteRef/>
      </w:r>
      <w:r>
        <w:t xml:space="preserve"> </w:t>
      </w:r>
      <w:r>
        <w:t xml:space="preserve">Mayne, </w:t>
      </w:r>
      <w:r w:rsidRPr="00FA63BD">
        <w:t>2012</w:t>
      </w:r>
      <w:r>
        <w:t>, a se consulta literatura de specialitate.</w:t>
      </w:r>
    </w:p>
  </w:footnote>
  <w:footnote w:id="83">
    <w:p w:rsidR="008A60B4" w:rsidRPr="00A847F8" w:rsidRDefault="008A60B4" w:rsidP="00A847F8">
      <w:pPr>
        <w:pStyle w:val="FootnoteText"/>
      </w:pPr>
      <w:r>
        <w:rPr>
          <w:rStyle w:val="FootnoteReference"/>
        </w:rPr>
        <w:footnoteRef/>
      </w:r>
      <w:r>
        <w:t xml:space="preserve"> </w:t>
      </w:r>
      <w:r>
        <w:t xml:space="preserve">Hilton, </w:t>
      </w:r>
      <w:r w:rsidRPr="00FA63BD">
        <w:t>1996</w:t>
      </w:r>
      <w:r>
        <w:t>, a se consulta literatura de specialitate.</w:t>
      </w:r>
    </w:p>
  </w:footnote>
  <w:footnote w:id="84">
    <w:p w:rsidR="008A60B4" w:rsidRDefault="008A60B4" w:rsidP="00A847F8">
      <w:pPr>
        <w:pStyle w:val="FootnoteText"/>
      </w:pPr>
      <w:r>
        <w:rPr>
          <w:rStyle w:val="FootnoteReference"/>
        </w:rPr>
        <w:footnoteRef/>
      </w:r>
      <w:r>
        <w:t xml:space="preserve"> </w:t>
      </w:r>
      <w:r>
        <w:t xml:space="preserve">Pawson et al., </w:t>
      </w:r>
      <w:r w:rsidRPr="00FA63BD">
        <w:t>2005</w:t>
      </w:r>
      <w:r>
        <w:t>, a se consulta literatura de specialitate.</w:t>
      </w:r>
    </w:p>
  </w:footnote>
  <w:footnote w:id="85">
    <w:p w:rsidR="008A60B4" w:rsidRDefault="008A60B4"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rPr>
          <w:color w:val="373737"/>
          <w:szCs w:val="16"/>
        </w:rPr>
        <w:t xml:space="preserve">, </w:t>
      </w:r>
      <w:r>
        <w:t>precum și Allen și Seaman (</w:t>
      </w:r>
      <w:r w:rsidRPr="00FA63BD">
        <w:t>2007</w:t>
      </w:r>
      <w:r>
        <w:rPr>
          <w:color w:val="373737"/>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Default="008A60B4" w:rsidP="00400064">
    <w:pPr>
      <w:pStyle w:val="Header"/>
      <w:tabs>
        <w:tab w:val="clear" w:pos="4513"/>
        <w:tab w:val="clear" w:pos="9026"/>
      </w:tabs>
      <w:jc w:val="right"/>
    </w:pPr>
    <w:r>
      <w:t>Ghid: Evaluarea inovării în programele de dezvoltare rurală</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Pr="00400064" w:rsidRDefault="008A60B4" w:rsidP="0025413B">
    <w:pPr>
      <w:jc w:val="right"/>
      <w:rPr>
        <w:color w:val="F07E31"/>
        <w:sz w:val="18"/>
        <w:szCs w:val="18"/>
      </w:rPr>
    </w:pPr>
    <w:r>
      <w:rPr>
        <w:color w:val="F07E31"/>
        <w:sz w:val="18"/>
        <w:szCs w:val="18"/>
      </w:rPr>
      <w:t>Ghid: Evaluarea inovării în programele de dezvoltare rurală</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Pr="00400064" w:rsidRDefault="008A60B4" w:rsidP="00400064">
    <w:pPr>
      <w:jc w:val="right"/>
      <w:rPr>
        <w:color w:val="F07E31"/>
        <w:sz w:val="18"/>
        <w:szCs w:val="18"/>
      </w:rPr>
    </w:pPr>
    <w:r>
      <w:rPr>
        <w:color w:val="F07E31"/>
        <w:sz w:val="18"/>
        <w:szCs w:val="18"/>
      </w:rPr>
      <w:t>Ghid: Evaluarea inovării în programele de dezvoltare rurală</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Default="008A60B4"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Pr="00E4509B" w:rsidRDefault="008A60B4" w:rsidP="00D50EF0">
    <w:pPr>
      <w:pStyle w:val="Header"/>
      <w:tabs>
        <w:tab w:val="clear" w:pos="4513"/>
      </w:tabs>
    </w:pPr>
    <w:r>
      <w:tab/>
    </w:r>
    <w:bookmarkStart w:id="4" w:name="_Hlk503344243"/>
    <w:r>
      <w:t>Ghid: Evaluarea inovării în programele de dezvoltare rurală</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Pr="00400064" w:rsidRDefault="008A60B4" w:rsidP="00400064">
    <w:pPr>
      <w:jc w:val="right"/>
      <w:rPr>
        <w:color w:val="F07E31"/>
        <w:sz w:val="18"/>
        <w:szCs w:val="18"/>
      </w:rPr>
    </w:pPr>
    <w:r>
      <w:rPr>
        <w:color w:val="F07E31"/>
        <w:sz w:val="18"/>
        <w:szCs w:val="18"/>
      </w:rPr>
      <w:t>Ghid: Evaluarea inovării în programele de dezvoltare rurală</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Pr="00C947BA" w:rsidRDefault="008A60B4" w:rsidP="00C947BA">
    <w:pPr>
      <w:jc w:val="right"/>
      <w:rPr>
        <w:color w:val="F07E31"/>
        <w:sz w:val="18"/>
        <w:szCs w:val="18"/>
      </w:rPr>
    </w:pPr>
    <w:r>
      <w:rPr>
        <w:color w:val="F07E31"/>
        <w:sz w:val="18"/>
        <w:szCs w:val="18"/>
      </w:rPr>
      <w:t>Ghid: Evaluarea inovării în programele de dezvoltare rurală</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Default="008A60B4"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Pr="0052778E" w:rsidRDefault="008A60B4" w:rsidP="00E16522">
    <w:pPr>
      <w:pStyle w:val="Header"/>
      <w:rPr>
        <w:sz w:val="24"/>
      </w:rPr>
    </w:pPr>
    <w:r>
      <w:tab/>
    </w:r>
  </w:p>
  <w:p w:rsidR="008A60B4" w:rsidRPr="0047590C" w:rsidRDefault="008A60B4"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Default="008A60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0B4" w:rsidRPr="00656719" w:rsidRDefault="008A60B4" w:rsidP="00E16522">
    <w:pPr>
      <w:pStyle w:val="Header"/>
    </w:pPr>
    <w:r>
      <w:tab/>
    </w:r>
    <w:r>
      <w:t>Document de referință: Evaluarea inovării în programele de dezvoltare rurală</w:t>
    </w:r>
  </w:p>
  <w:p w:rsidR="008A60B4" w:rsidRPr="00864E8E" w:rsidRDefault="008A60B4" w:rsidP="00E16522">
    <w:pPr>
      <w:pStyle w:val="Header"/>
      <w:rPr>
        <w:sz w:val="24"/>
        <w:lang w:val="pt-PT"/>
      </w:rPr>
    </w:pPr>
  </w:p>
  <w:p w:rsidR="008A60B4" w:rsidRPr="0047590C" w:rsidRDefault="008A60B4"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362EE966"/>
    <w:lvl w:ilvl="0" w:tplc="AC0495B6">
      <w:start w:val="1"/>
      <w:numFmt w:val="decimal"/>
      <w:pStyle w:val="HHeadingtables"/>
      <w:lvlText w:val="Table %1."/>
      <w:lvlJc w:val="left"/>
      <w:pPr>
        <w:ind w:left="360" w:hanging="360"/>
      </w:pPr>
      <w:rPr>
        <w:rFonts w:ascii="Arial" w:hAnsi="Arial" w:cs="Times New Roman" w:hint="default"/>
        <w:b/>
        <w:bCs w:val="0"/>
        <w:i w:val="0"/>
        <w:iCs w:val="0"/>
        <w:caps w:val="0"/>
        <w:smallCaps w:val="0"/>
        <w:strike w:val="0"/>
        <w:dstrike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Figure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684" w:hanging="360"/>
        </w:pPr>
      </w:lvl>
    </w:lvlOverride>
    <w:lvlOverride w:ilvl="2">
      <w:lvl w:ilvl="2" w:tplc="0407001B" w:tentative="1">
        <w:start w:val="1"/>
        <w:numFmt w:val="lowerRoman"/>
        <w:lvlText w:val="%3."/>
        <w:lvlJc w:val="right"/>
        <w:pPr>
          <w:ind w:left="2404" w:hanging="180"/>
        </w:pPr>
      </w:lvl>
    </w:lvlOverride>
    <w:lvlOverride w:ilvl="3">
      <w:lvl w:ilvl="3" w:tplc="0407000F" w:tentative="1">
        <w:start w:val="1"/>
        <w:numFmt w:val="decimal"/>
        <w:lvlText w:val="%4."/>
        <w:lvlJc w:val="left"/>
        <w:pPr>
          <w:ind w:left="3124" w:hanging="360"/>
        </w:pPr>
      </w:lvl>
    </w:lvlOverride>
    <w:lvlOverride w:ilvl="4">
      <w:lvl w:ilvl="4" w:tplc="04070019" w:tentative="1">
        <w:start w:val="1"/>
        <w:numFmt w:val="lowerLetter"/>
        <w:lvlText w:val="%5."/>
        <w:lvlJc w:val="left"/>
        <w:pPr>
          <w:ind w:left="3844" w:hanging="360"/>
        </w:pPr>
      </w:lvl>
    </w:lvlOverride>
    <w:lvlOverride w:ilvl="5">
      <w:lvl w:ilvl="5" w:tplc="0407001B" w:tentative="1">
        <w:start w:val="1"/>
        <w:numFmt w:val="lowerRoman"/>
        <w:lvlText w:val="%6."/>
        <w:lvlJc w:val="right"/>
        <w:pPr>
          <w:ind w:left="4564" w:hanging="180"/>
        </w:pPr>
      </w:lvl>
    </w:lvlOverride>
    <w:lvlOverride w:ilvl="6">
      <w:lvl w:ilvl="6" w:tplc="0407000F" w:tentative="1">
        <w:start w:val="1"/>
        <w:numFmt w:val="decimal"/>
        <w:lvlText w:val="%7."/>
        <w:lvlJc w:val="left"/>
        <w:pPr>
          <w:ind w:left="5284" w:hanging="360"/>
        </w:pPr>
      </w:lvl>
    </w:lvlOverride>
    <w:lvlOverride w:ilvl="7">
      <w:lvl w:ilvl="7" w:tplc="04070019" w:tentative="1">
        <w:start w:val="1"/>
        <w:numFmt w:val="lowerLetter"/>
        <w:lvlText w:val="%8."/>
        <w:lvlJc w:val="left"/>
        <w:pPr>
          <w:ind w:left="6004" w:hanging="360"/>
        </w:pPr>
      </w:lvl>
    </w:lvlOverride>
    <w:lvlOverride w:ilvl="8">
      <w:lvl w:ilvl="8" w:tplc="0407001B" w:tentative="1">
        <w:start w:val="1"/>
        <w:numFmt w:val="lowerRoman"/>
        <w:lvlText w:val="%9."/>
        <w:lvlJc w:val="right"/>
        <w:pPr>
          <w:ind w:left="6724"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05D08"/>
    <w:rsid w:val="000026C6"/>
    <w:rsid w:val="00005F1B"/>
    <w:rsid w:val="00015AA7"/>
    <w:rsid w:val="00021844"/>
    <w:rsid w:val="00021A55"/>
    <w:rsid w:val="00022CA7"/>
    <w:rsid w:val="00027AF3"/>
    <w:rsid w:val="000324A5"/>
    <w:rsid w:val="00036912"/>
    <w:rsid w:val="00037CA6"/>
    <w:rsid w:val="000520DE"/>
    <w:rsid w:val="00053109"/>
    <w:rsid w:val="00055039"/>
    <w:rsid w:val="000667D9"/>
    <w:rsid w:val="000828C6"/>
    <w:rsid w:val="000A1399"/>
    <w:rsid w:val="000A14B3"/>
    <w:rsid w:val="000A250D"/>
    <w:rsid w:val="000A307F"/>
    <w:rsid w:val="000A43B7"/>
    <w:rsid w:val="000A718F"/>
    <w:rsid w:val="000B1654"/>
    <w:rsid w:val="000B6304"/>
    <w:rsid w:val="000D7245"/>
    <w:rsid w:val="000E0645"/>
    <w:rsid w:val="000E0FE4"/>
    <w:rsid w:val="000E1023"/>
    <w:rsid w:val="000E1142"/>
    <w:rsid w:val="000E1D4B"/>
    <w:rsid w:val="000E3675"/>
    <w:rsid w:val="000E5544"/>
    <w:rsid w:val="000F0497"/>
    <w:rsid w:val="000F0841"/>
    <w:rsid w:val="000F23A8"/>
    <w:rsid w:val="00110179"/>
    <w:rsid w:val="00111ADE"/>
    <w:rsid w:val="001120E4"/>
    <w:rsid w:val="001126AE"/>
    <w:rsid w:val="00116EF8"/>
    <w:rsid w:val="001244F9"/>
    <w:rsid w:val="00125266"/>
    <w:rsid w:val="001275FF"/>
    <w:rsid w:val="00130EA0"/>
    <w:rsid w:val="001319A0"/>
    <w:rsid w:val="001327F5"/>
    <w:rsid w:val="0013321C"/>
    <w:rsid w:val="0013661C"/>
    <w:rsid w:val="001427A5"/>
    <w:rsid w:val="00142A64"/>
    <w:rsid w:val="00151D94"/>
    <w:rsid w:val="001524F5"/>
    <w:rsid w:val="00155E3F"/>
    <w:rsid w:val="00161D7E"/>
    <w:rsid w:val="00164489"/>
    <w:rsid w:val="00165BF1"/>
    <w:rsid w:val="001744D0"/>
    <w:rsid w:val="00177C4F"/>
    <w:rsid w:val="00183E9B"/>
    <w:rsid w:val="001865CA"/>
    <w:rsid w:val="0018705F"/>
    <w:rsid w:val="001954EB"/>
    <w:rsid w:val="001A12C3"/>
    <w:rsid w:val="001A184E"/>
    <w:rsid w:val="001A2952"/>
    <w:rsid w:val="001A2A93"/>
    <w:rsid w:val="001A2DEC"/>
    <w:rsid w:val="001A6C7C"/>
    <w:rsid w:val="001A7B15"/>
    <w:rsid w:val="001B58A1"/>
    <w:rsid w:val="001C039D"/>
    <w:rsid w:val="001C03A3"/>
    <w:rsid w:val="001D2103"/>
    <w:rsid w:val="001E1B68"/>
    <w:rsid w:val="001E4AE1"/>
    <w:rsid w:val="001F6140"/>
    <w:rsid w:val="001F626E"/>
    <w:rsid w:val="001F6F07"/>
    <w:rsid w:val="001F7296"/>
    <w:rsid w:val="0020060A"/>
    <w:rsid w:val="0021105B"/>
    <w:rsid w:val="002126B4"/>
    <w:rsid w:val="002271D9"/>
    <w:rsid w:val="00230C31"/>
    <w:rsid w:val="00232CF1"/>
    <w:rsid w:val="00235D46"/>
    <w:rsid w:val="00237EDF"/>
    <w:rsid w:val="002403DE"/>
    <w:rsid w:val="00241663"/>
    <w:rsid w:val="00253803"/>
    <w:rsid w:val="0025413B"/>
    <w:rsid w:val="00260B97"/>
    <w:rsid w:val="002803D8"/>
    <w:rsid w:val="00282948"/>
    <w:rsid w:val="00283811"/>
    <w:rsid w:val="0028656D"/>
    <w:rsid w:val="002964ED"/>
    <w:rsid w:val="002B4923"/>
    <w:rsid w:val="002B590B"/>
    <w:rsid w:val="002C2419"/>
    <w:rsid w:val="002C2C15"/>
    <w:rsid w:val="002C3A1C"/>
    <w:rsid w:val="002C4556"/>
    <w:rsid w:val="002D1C8F"/>
    <w:rsid w:val="002D399D"/>
    <w:rsid w:val="002E1723"/>
    <w:rsid w:val="002F0ABF"/>
    <w:rsid w:val="002F11D9"/>
    <w:rsid w:val="002F520A"/>
    <w:rsid w:val="00300AA0"/>
    <w:rsid w:val="00302A1F"/>
    <w:rsid w:val="0030377F"/>
    <w:rsid w:val="00304961"/>
    <w:rsid w:val="00310F20"/>
    <w:rsid w:val="00310FA9"/>
    <w:rsid w:val="00311624"/>
    <w:rsid w:val="00320AA0"/>
    <w:rsid w:val="00320B7D"/>
    <w:rsid w:val="003224A2"/>
    <w:rsid w:val="00324C42"/>
    <w:rsid w:val="00330136"/>
    <w:rsid w:val="00331223"/>
    <w:rsid w:val="0034028A"/>
    <w:rsid w:val="003411D5"/>
    <w:rsid w:val="0034160A"/>
    <w:rsid w:val="00347A2C"/>
    <w:rsid w:val="00350B30"/>
    <w:rsid w:val="00364255"/>
    <w:rsid w:val="003737FE"/>
    <w:rsid w:val="00374290"/>
    <w:rsid w:val="003766ED"/>
    <w:rsid w:val="00382BE4"/>
    <w:rsid w:val="00385368"/>
    <w:rsid w:val="00387226"/>
    <w:rsid w:val="003A1316"/>
    <w:rsid w:val="003A5A53"/>
    <w:rsid w:val="003B44A9"/>
    <w:rsid w:val="003B7EB7"/>
    <w:rsid w:val="003C170B"/>
    <w:rsid w:val="003D242C"/>
    <w:rsid w:val="003D5EED"/>
    <w:rsid w:val="003E2CE0"/>
    <w:rsid w:val="003E55F2"/>
    <w:rsid w:val="003F416E"/>
    <w:rsid w:val="003F6478"/>
    <w:rsid w:val="003F6AF1"/>
    <w:rsid w:val="00400064"/>
    <w:rsid w:val="00405B0B"/>
    <w:rsid w:val="00406C98"/>
    <w:rsid w:val="00412D26"/>
    <w:rsid w:val="00415BAA"/>
    <w:rsid w:val="0042403E"/>
    <w:rsid w:val="00426618"/>
    <w:rsid w:val="00431FF5"/>
    <w:rsid w:val="004408A1"/>
    <w:rsid w:val="00447906"/>
    <w:rsid w:val="004508D0"/>
    <w:rsid w:val="00451BFA"/>
    <w:rsid w:val="00452B13"/>
    <w:rsid w:val="00464F58"/>
    <w:rsid w:val="00471221"/>
    <w:rsid w:val="00472162"/>
    <w:rsid w:val="00485923"/>
    <w:rsid w:val="0048755C"/>
    <w:rsid w:val="00490F5A"/>
    <w:rsid w:val="00497AC7"/>
    <w:rsid w:val="004A2B05"/>
    <w:rsid w:val="004B5B60"/>
    <w:rsid w:val="004C17C9"/>
    <w:rsid w:val="004C2BB4"/>
    <w:rsid w:val="004C32F7"/>
    <w:rsid w:val="004C7474"/>
    <w:rsid w:val="004D352C"/>
    <w:rsid w:val="004E272E"/>
    <w:rsid w:val="004E38AA"/>
    <w:rsid w:val="004E3DD3"/>
    <w:rsid w:val="004F414C"/>
    <w:rsid w:val="00500604"/>
    <w:rsid w:val="00500D52"/>
    <w:rsid w:val="00501827"/>
    <w:rsid w:val="0050721E"/>
    <w:rsid w:val="0051700B"/>
    <w:rsid w:val="00530DA6"/>
    <w:rsid w:val="00533971"/>
    <w:rsid w:val="00535A54"/>
    <w:rsid w:val="005411F9"/>
    <w:rsid w:val="00541A7D"/>
    <w:rsid w:val="00544F2D"/>
    <w:rsid w:val="00545C6C"/>
    <w:rsid w:val="00547012"/>
    <w:rsid w:val="005474FA"/>
    <w:rsid w:val="005520BA"/>
    <w:rsid w:val="00554723"/>
    <w:rsid w:val="00556FC4"/>
    <w:rsid w:val="00560E46"/>
    <w:rsid w:val="005626E0"/>
    <w:rsid w:val="005671F4"/>
    <w:rsid w:val="00570507"/>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D0347"/>
    <w:rsid w:val="005E1D93"/>
    <w:rsid w:val="005F09BC"/>
    <w:rsid w:val="005F462B"/>
    <w:rsid w:val="00600BE3"/>
    <w:rsid w:val="0060261A"/>
    <w:rsid w:val="00604B7A"/>
    <w:rsid w:val="00612D54"/>
    <w:rsid w:val="006156BE"/>
    <w:rsid w:val="00615785"/>
    <w:rsid w:val="00617D7B"/>
    <w:rsid w:val="00623618"/>
    <w:rsid w:val="006239C7"/>
    <w:rsid w:val="00624393"/>
    <w:rsid w:val="00626C0C"/>
    <w:rsid w:val="006418CA"/>
    <w:rsid w:val="00642394"/>
    <w:rsid w:val="00643DF6"/>
    <w:rsid w:val="00644398"/>
    <w:rsid w:val="006450B6"/>
    <w:rsid w:val="0064682B"/>
    <w:rsid w:val="00647766"/>
    <w:rsid w:val="006501D4"/>
    <w:rsid w:val="00651F1C"/>
    <w:rsid w:val="00653B72"/>
    <w:rsid w:val="00654F10"/>
    <w:rsid w:val="00657752"/>
    <w:rsid w:val="0066160E"/>
    <w:rsid w:val="00665417"/>
    <w:rsid w:val="00673E3D"/>
    <w:rsid w:val="00674A4B"/>
    <w:rsid w:val="00676750"/>
    <w:rsid w:val="00676B41"/>
    <w:rsid w:val="006803A8"/>
    <w:rsid w:val="00682C8C"/>
    <w:rsid w:val="006871D2"/>
    <w:rsid w:val="00690E70"/>
    <w:rsid w:val="00695A11"/>
    <w:rsid w:val="00697455"/>
    <w:rsid w:val="006A092E"/>
    <w:rsid w:val="006A32EF"/>
    <w:rsid w:val="006A4AEC"/>
    <w:rsid w:val="006B5479"/>
    <w:rsid w:val="006B72BF"/>
    <w:rsid w:val="006C085A"/>
    <w:rsid w:val="006C483F"/>
    <w:rsid w:val="006C63CD"/>
    <w:rsid w:val="006D0B02"/>
    <w:rsid w:val="006D209F"/>
    <w:rsid w:val="006E0E48"/>
    <w:rsid w:val="006E2A31"/>
    <w:rsid w:val="006E592C"/>
    <w:rsid w:val="006E597D"/>
    <w:rsid w:val="006F0B79"/>
    <w:rsid w:val="006F1601"/>
    <w:rsid w:val="006F3795"/>
    <w:rsid w:val="006F3FC1"/>
    <w:rsid w:val="006F63C5"/>
    <w:rsid w:val="00703AD9"/>
    <w:rsid w:val="00710753"/>
    <w:rsid w:val="0071141A"/>
    <w:rsid w:val="00712357"/>
    <w:rsid w:val="00717885"/>
    <w:rsid w:val="00725801"/>
    <w:rsid w:val="00734B11"/>
    <w:rsid w:val="007372CD"/>
    <w:rsid w:val="007441E3"/>
    <w:rsid w:val="00757688"/>
    <w:rsid w:val="007603A8"/>
    <w:rsid w:val="00764D33"/>
    <w:rsid w:val="00767F5C"/>
    <w:rsid w:val="007707EC"/>
    <w:rsid w:val="0078182B"/>
    <w:rsid w:val="00782C87"/>
    <w:rsid w:val="0079071D"/>
    <w:rsid w:val="007A450E"/>
    <w:rsid w:val="007B0E8B"/>
    <w:rsid w:val="007B323F"/>
    <w:rsid w:val="007B4A6D"/>
    <w:rsid w:val="007B4D84"/>
    <w:rsid w:val="007C2C6A"/>
    <w:rsid w:val="007C69CD"/>
    <w:rsid w:val="007C7A64"/>
    <w:rsid w:val="007D2A0C"/>
    <w:rsid w:val="007D301C"/>
    <w:rsid w:val="007D62E6"/>
    <w:rsid w:val="007E16DD"/>
    <w:rsid w:val="007E63EF"/>
    <w:rsid w:val="007E7353"/>
    <w:rsid w:val="007F0B5B"/>
    <w:rsid w:val="007F4DD3"/>
    <w:rsid w:val="00803501"/>
    <w:rsid w:val="00804314"/>
    <w:rsid w:val="00804433"/>
    <w:rsid w:val="00805EDF"/>
    <w:rsid w:val="00807A63"/>
    <w:rsid w:val="0081188E"/>
    <w:rsid w:val="00812586"/>
    <w:rsid w:val="0081483E"/>
    <w:rsid w:val="00814B95"/>
    <w:rsid w:val="008164E6"/>
    <w:rsid w:val="0081791E"/>
    <w:rsid w:val="00820D3A"/>
    <w:rsid w:val="00826484"/>
    <w:rsid w:val="0083742E"/>
    <w:rsid w:val="008518F2"/>
    <w:rsid w:val="00857D5C"/>
    <w:rsid w:val="00863DB0"/>
    <w:rsid w:val="00864D7B"/>
    <w:rsid w:val="00864E8E"/>
    <w:rsid w:val="00866B4D"/>
    <w:rsid w:val="00876579"/>
    <w:rsid w:val="0088190F"/>
    <w:rsid w:val="008873D9"/>
    <w:rsid w:val="00890C92"/>
    <w:rsid w:val="00891109"/>
    <w:rsid w:val="00893616"/>
    <w:rsid w:val="00897804"/>
    <w:rsid w:val="008A0CFF"/>
    <w:rsid w:val="008A260B"/>
    <w:rsid w:val="008A60B4"/>
    <w:rsid w:val="008B008F"/>
    <w:rsid w:val="008B1A09"/>
    <w:rsid w:val="008C0B17"/>
    <w:rsid w:val="008C3EAC"/>
    <w:rsid w:val="008D05D4"/>
    <w:rsid w:val="008D178A"/>
    <w:rsid w:val="008D63A8"/>
    <w:rsid w:val="008E4AA6"/>
    <w:rsid w:val="008F1F04"/>
    <w:rsid w:val="0090245E"/>
    <w:rsid w:val="009044EE"/>
    <w:rsid w:val="009106EA"/>
    <w:rsid w:val="00912430"/>
    <w:rsid w:val="00916AB5"/>
    <w:rsid w:val="00916BE2"/>
    <w:rsid w:val="00920CB9"/>
    <w:rsid w:val="009414CC"/>
    <w:rsid w:val="00942585"/>
    <w:rsid w:val="00946806"/>
    <w:rsid w:val="00946DD8"/>
    <w:rsid w:val="00951524"/>
    <w:rsid w:val="0095292E"/>
    <w:rsid w:val="0095336D"/>
    <w:rsid w:val="009567F6"/>
    <w:rsid w:val="00963A81"/>
    <w:rsid w:val="009648DB"/>
    <w:rsid w:val="00965042"/>
    <w:rsid w:val="00966DF2"/>
    <w:rsid w:val="00967CFD"/>
    <w:rsid w:val="009722AA"/>
    <w:rsid w:val="009837FF"/>
    <w:rsid w:val="00987055"/>
    <w:rsid w:val="00990BF3"/>
    <w:rsid w:val="009968A7"/>
    <w:rsid w:val="00997571"/>
    <w:rsid w:val="009A02D3"/>
    <w:rsid w:val="009A27E2"/>
    <w:rsid w:val="009A2DAD"/>
    <w:rsid w:val="009A64EA"/>
    <w:rsid w:val="009B603C"/>
    <w:rsid w:val="009C2EC2"/>
    <w:rsid w:val="009C70F8"/>
    <w:rsid w:val="009C734C"/>
    <w:rsid w:val="009C743B"/>
    <w:rsid w:val="009D0C0A"/>
    <w:rsid w:val="009D3A3F"/>
    <w:rsid w:val="009D479A"/>
    <w:rsid w:val="009D56E6"/>
    <w:rsid w:val="009E5366"/>
    <w:rsid w:val="009F145D"/>
    <w:rsid w:val="009F1589"/>
    <w:rsid w:val="009F5AB5"/>
    <w:rsid w:val="00A008D3"/>
    <w:rsid w:val="00A04209"/>
    <w:rsid w:val="00A209BF"/>
    <w:rsid w:val="00A304B0"/>
    <w:rsid w:val="00A31D39"/>
    <w:rsid w:val="00A35C6D"/>
    <w:rsid w:val="00A43434"/>
    <w:rsid w:val="00A43EFD"/>
    <w:rsid w:val="00A45935"/>
    <w:rsid w:val="00A51882"/>
    <w:rsid w:val="00A53D32"/>
    <w:rsid w:val="00A60495"/>
    <w:rsid w:val="00A610F6"/>
    <w:rsid w:val="00A66638"/>
    <w:rsid w:val="00A66F3C"/>
    <w:rsid w:val="00A6785E"/>
    <w:rsid w:val="00A71A31"/>
    <w:rsid w:val="00A77E99"/>
    <w:rsid w:val="00A807A5"/>
    <w:rsid w:val="00A823A8"/>
    <w:rsid w:val="00A847F8"/>
    <w:rsid w:val="00A90171"/>
    <w:rsid w:val="00A90AE1"/>
    <w:rsid w:val="00A92E91"/>
    <w:rsid w:val="00A961A7"/>
    <w:rsid w:val="00AA5817"/>
    <w:rsid w:val="00AA7F79"/>
    <w:rsid w:val="00AB16BB"/>
    <w:rsid w:val="00AB42A6"/>
    <w:rsid w:val="00AB45F8"/>
    <w:rsid w:val="00AB6603"/>
    <w:rsid w:val="00AB74DA"/>
    <w:rsid w:val="00AC1B3E"/>
    <w:rsid w:val="00AC664B"/>
    <w:rsid w:val="00AC75B9"/>
    <w:rsid w:val="00AC7DDF"/>
    <w:rsid w:val="00AD39B9"/>
    <w:rsid w:val="00AD3CD7"/>
    <w:rsid w:val="00AD72DD"/>
    <w:rsid w:val="00AE3E85"/>
    <w:rsid w:val="00AE68CA"/>
    <w:rsid w:val="00AE704F"/>
    <w:rsid w:val="00B0298F"/>
    <w:rsid w:val="00B05B45"/>
    <w:rsid w:val="00B10B3C"/>
    <w:rsid w:val="00B24679"/>
    <w:rsid w:val="00B311E6"/>
    <w:rsid w:val="00B35581"/>
    <w:rsid w:val="00B36B77"/>
    <w:rsid w:val="00B37E2A"/>
    <w:rsid w:val="00B40DBF"/>
    <w:rsid w:val="00B41573"/>
    <w:rsid w:val="00B421B9"/>
    <w:rsid w:val="00B51B3B"/>
    <w:rsid w:val="00B5530E"/>
    <w:rsid w:val="00B63DE8"/>
    <w:rsid w:val="00B64C7D"/>
    <w:rsid w:val="00B737D4"/>
    <w:rsid w:val="00B74A8F"/>
    <w:rsid w:val="00B76BA4"/>
    <w:rsid w:val="00B91D56"/>
    <w:rsid w:val="00BA248B"/>
    <w:rsid w:val="00BA2C5D"/>
    <w:rsid w:val="00BA450C"/>
    <w:rsid w:val="00BA4FCD"/>
    <w:rsid w:val="00BA5122"/>
    <w:rsid w:val="00BA6A33"/>
    <w:rsid w:val="00BA7932"/>
    <w:rsid w:val="00BB0A98"/>
    <w:rsid w:val="00BB551B"/>
    <w:rsid w:val="00BC211C"/>
    <w:rsid w:val="00BC2432"/>
    <w:rsid w:val="00BC406C"/>
    <w:rsid w:val="00BC471E"/>
    <w:rsid w:val="00BC5B1D"/>
    <w:rsid w:val="00BD475B"/>
    <w:rsid w:val="00BD7227"/>
    <w:rsid w:val="00BE0462"/>
    <w:rsid w:val="00BE1F31"/>
    <w:rsid w:val="00BE70EE"/>
    <w:rsid w:val="00C013AD"/>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61277"/>
    <w:rsid w:val="00C621C4"/>
    <w:rsid w:val="00C6361D"/>
    <w:rsid w:val="00C64B64"/>
    <w:rsid w:val="00C67E9D"/>
    <w:rsid w:val="00C8095B"/>
    <w:rsid w:val="00C84B5B"/>
    <w:rsid w:val="00C947BA"/>
    <w:rsid w:val="00C9522B"/>
    <w:rsid w:val="00C95BD6"/>
    <w:rsid w:val="00CA12E6"/>
    <w:rsid w:val="00CA28E6"/>
    <w:rsid w:val="00CA3A48"/>
    <w:rsid w:val="00CA6EC8"/>
    <w:rsid w:val="00CB3AD0"/>
    <w:rsid w:val="00CB4818"/>
    <w:rsid w:val="00CB68D9"/>
    <w:rsid w:val="00CC53B5"/>
    <w:rsid w:val="00CD3BC8"/>
    <w:rsid w:val="00CE2990"/>
    <w:rsid w:val="00CF37F0"/>
    <w:rsid w:val="00CF4822"/>
    <w:rsid w:val="00CF6D0E"/>
    <w:rsid w:val="00D010F5"/>
    <w:rsid w:val="00D05E3A"/>
    <w:rsid w:val="00D076E7"/>
    <w:rsid w:val="00D10FA6"/>
    <w:rsid w:val="00D13817"/>
    <w:rsid w:val="00D201A2"/>
    <w:rsid w:val="00D32DA8"/>
    <w:rsid w:val="00D32E53"/>
    <w:rsid w:val="00D35751"/>
    <w:rsid w:val="00D36431"/>
    <w:rsid w:val="00D4053E"/>
    <w:rsid w:val="00D461AB"/>
    <w:rsid w:val="00D50380"/>
    <w:rsid w:val="00D50EF0"/>
    <w:rsid w:val="00D55226"/>
    <w:rsid w:val="00D57D0A"/>
    <w:rsid w:val="00D612DC"/>
    <w:rsid w:val="00D62992"/>
    <w:rsid w:val="00D62ED4"/>
    <w:rsid w:val="00D66182"/>
    <w:rsid w:val="00D66501"/>
    <w:rsid w:val="00D73319"/>
    <w:rsid w:val="00D7340E"/>
    <w:rsid w:val="00D77B96"/>
    <w:rsid w:val="00D815E7"/>
    <w:rsid w:val="00D85FF6"/>
    <w:rsid w:val="00D91213"/>
    <w:rsid w:val="00D91569"/>
    <w:rsid w:val="00D930A2"/>
    <w:rsid w:val="00D96C8F"/>
    <w:rsid w:val="00DA22EB"/>
    <w:rsid w:val="00DB1887"/>
    <w:rsid w:val="00DC1C77"/>
    <w:rsid w:val="00DC20D6"/>
    <w:rsid w:val="00DC2840"/>
    <w:rsid w:val="00DC6C4F"/>
    <w:rsid w:val="00DD247A"/>
    <w:rsid w:val="00DD473C"/>
    <w:rsid w:val="00DD4C4C"/>
    <w:rsid w:val="00DE256D"/>
    <w:rsid w:val="00DE2C82"/>
    <w:rsid w:val="00DF68E2"/>
    <w:rsid w:val="00E03826"/>
    <w:rsid w:val="00E05D08"/>
    <w:rsid w:val="00E16522"/>
    <w:rsid w:val="00E208E4"/>
    <w:rsid w:val="00E30E27"/>
    <w:rsid w:val="00E33F37"/>
    <w:rsid w:val="00E34FAC"/>
    <w:rsid w:val="00E36F81"/>
    <w:rsid w:val="00E54013"/>
    <w:rsid w:val="00E54929"/>
    <w:rsid w:val="00E634DC"/>
    <w:rsid w:val="00E64309"/>
    <w:rsid w:val="00E71021"/>
    <w:rsid w:val="00E713B8"/>
    <w:rsid w:val="00E72051"/>
    <w:rsid w:val="00E72529"/>
    <w:rsid w:val="00E8197A"/>
    <w:rsid w:val="00E849E7"/>
    <w:rsid w:val="00EA0618"/>
    <w:rsid w:val="00EA0974"/>
    <w:rsid w:val="00EB77F2"/>
    <w:rsid w:val="00EB7915"/>
    <w:rsid w:val="00EC468B"/>
    <w:rsid w:val="00EC4AF4"/>
    <w:rsid w:val="00EC5172"/>
    <w:rsid w:val="00ED1295"/>
    <w:rsid w:val="00ED1649"/>
    <w:rsid w:val="00ED47C5"/>
    <w:rsid w:val="00EE3543"/>
    <w:rsid w:val="00EF035B"/>
    <w:rsid w:val="00EF0A96"/>
    <w:rsid w:val="00EF1B0F"/>
    <w:rsid w:val="00EF4540"/>
    <w:rsid w:val="00F01E0F"/>
    <w:rsid w:val="00F0545B"/>
    <w:rsid w:val="00F117CA"/>
    <w:rsid w:val="00F13B45"/>
    <w:rsid w:val="00F200A2"/>
    <w:rsid w:val="00F250EC"/>
    <w:rsid w:val="00F31494"/>
    <w:rsid w:val="00F31AD6"/>
    <w:rsid w:val="00F32874"/>
    <w:rsid w:val="00F37A59"/>
    <w:rsid w:val="00F4055A"/>
    <w:rsid w:val="00F5230D"/>
    <w:rsid w:val="00F60A36"/>
    <w:rsid w:val="00F64797"/>
    <w:rsid w:val="00F66623"/>
    <w:rsid w:val="00F6793F"/>
    <w:rsid w:val="00F73706"/>
    <w:rsid w:val="00F74459"/>
    <w:rsid w:val="00F74623"/>
    <w:rsid w:val="00F74C18"/>
    <w:rsid w:val="00F8743F"/>
    <w:rsid w:val="00F9406A"/>
    <w:rsid w:val="00F94F86"/>
    <w:rsid w:val="00FA12EA"/>
    <w:rsid w:val="00FA63BD"/>
    <w:rsid w:val="00FA6691"/>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791A67"/>
  <w15:docId w15:val="{7FB8029C-E87F-457D-9551-EC6D683BF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ro-RO"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ro-RO"/>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ind w:left="851" w:hanging="851"/>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ro-RO"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journals.sagepub.com/doi/abs/10.1177/1356389012451663" TargetMode="External"/><Relationship Id="rId21" Type="http://schemas.openxmlformats.org/officeDocument/2006/relationships/footer" Target="footer5.xml"/><Relationship Id="rId42" Type="http://schemas.openxmlformats.org/officeDocument/2006/relationships/image" Target="media/image15.jpg"/><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yperlink" Target="https://enrd.ec.europa.eu/evaluation/publications/guidelines-evaluation-national-rural-networks-2014-2020_en" TargetMode="External"/><Relationship Id="rId68" Type="http://schemas.openxmlformats.org/officeDocument/2006/relationships/hyperlink" Target="http://enrd.ec.europa.eu/enrd-static/app_templates/enrd_assets/pdf/guidebook/nrn_handbook_webversion.pdf" TargetMode="External"/><Relationship Id="rId84" Type="http://schemas.openxmlformats.org/officeDocument/2006/relationships/hyperlink" Target="http://www.men-d.de/uploads/media/MEN-D_Jahresveranstaltung_2017.pdf" TargetMode="External"/><Relationship Id="rId89" Type="http://schemas.openxmlformats.org/officeDocument/2006/relationships/hyperlink" Target="http://ec.europa.eu/eurostat/statistics-explained/index.php/Smarter,_greener,_more_inclusive_-_indicators_to_support_the_Europe_2020_strategy" TargetMode="External"/><Relationship Id="rId112" Type="http://schemas.openxmlformats.org/officeDocument/2006/relationships/hyperlink" Target="http://www.tandfonline.com/doi/abs/10.1080/135467896394447" TargetMode="External"/><Relationship Id="rId133" Type="http://schemas.openxmlformats.org/officeDocument/2006/relationships/hyperlink" Target="http://journals.sagepub.com/doi/abs/10.1177/1356389012451663" TargetMode="External"/><Relationship Id="rId138" Type="http://schemas.openxmlformats.org/officeDocument/2006/relationships/hyperlink" Target="http://ec.europa.eu/eip/agriculture/sites/agri-eip/files/eip-guidelines-july-2014_en.pdf" TargetMode="External"/><Relationship Id="rId16" Type="http://schemas.openxmlformats.org/officeDocument/2006/relationships/header" Target="header3.xml"/><Relationship Id="rId107" Type="http://schemas.openxmlformats.org/officeDocument/2006/relationships/hyperlink" Target="https://www.cambridge.org/core/journals/ps-political-science-and-politics/article/understanding-process-tracing/183A057AD6A36783E678CB37440346D1" TargetMode="External"/><Relationship Id="rId11" Type="http://schemas.openxmlformats.org/officeDocument/2006/relationships/image" Target="media/image2.jpeg"/><Relationship Id="rId32" Type="http://schemas.openxmlformats.org/officeDocument/2006/relationships/hyperlink" Target="https://enrd.ec.europa.eu/sites/enrd/files/uploaded-files/wp_evaluation_questions_2015.pdf" TargetMode="External"/><Relationship Id="rId37" Type="http://schemas.openxmlformats.org/officeDocument/2006/relationships/footer" Target="footer8.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nrd.ec.europa.eu/evaluation/publications/guidelines-assessment-rdp-results-how-prepare-reporting-evaluation-2017_en" TargetMode="External"/><Relationship Id="rId74" Type="http://schemas.openxmlformats.org/officeDocument/2006/relationships/hyperlink" Target="https://enrd.ec.europa.eu/evaluation/publications/guidelines-assessment-rdp-results-how-prepare-reporting-evaluation-2017_en" TargetMode="External"/><Relationship Id="rId79" Type="http://schemas.openxmlformats.org/officeDocument/2006/relationships/hyperlink" Target="http://enrd.ec.europa.eu/enrd-static/evaluation/good-practices-workshops/national-rural-networks/en/national-rural-networks_en.html" TargetMode="External"/><Relationship Id="rId102" Type="http://schemas.openxmlformats.org/officeDocument/2006/relationships/hyperlink" Target="https://enrd.ec.europa.eu/sites/enrd/files/uploaded-files/wp_evaluation_questions_2015.pdf" TargetMode="External"/><Relationship Id="rId123" Type="http://schemas.openxmlformats.org/officeDocument/2006/relationships/hyperlink" Target="https://www.cambridge.org/core/journals/ps-political-science-and-politics/article/understanding-process-tracing/183A057AD6A36783E678CB37440346D1" TargetMode="External"/><Relationship Id="rId128" Type="http://schemas.openxmlformats.org/officeDocument/2006/relationships/hyperlink" Target="http://www.tandfonline.com/doi/abs/10.1080/135467896394447"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men-d.de/uploads/media/MEN-D_Jahresveranstaltung_2017.pdf" TargetMode="External"/><Relationship Id="rId95" Type="http://schemas.openxmlformats.org/officeDocument/2006/relationships/header" Target="header9.xml"/><Relationship Id="rId22" Type="http://schemas.openxmlformats.org/officeDocument/2006/relationships/image" Target="media/image4.png"/><Relationship Id="rId27" Type="http://schemas.openxmlformats.org/officeDocument/2006/relationships/image" Target="media/image8.png"/><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nrd.ec.europa.eu/evaluation/publications/guidelines-assessment-rdp-results-how-prepare-reporting-evaluation-2017_en" TargetMode="External"/><Relationship Id="rId64" Type="http://schemas.openxmlformats.org/officeDocument/2006/relationships/hyperlink" Target="https://enrd.ec.europa.eu/evaluation/publications/guidelines-evaluation-national-rural-networks-2014-2020_en" TargetMode="External"/><Relationship Id="rId69" Type="http://schemas.openxmlformats.org/officeDocument/2006/relationships/hyperlink" Target="https://enrd.ec.europa.eu/sites/enrd/files/twg-02-nrn-july2016.pdf" TargetMode="External"/><Relationship Id="rId113" Type="http://schemas.openxmlformats.org/officeDocument/2006/relationships/hyperlink" Target="http://www.tandfonline.com/doi/abs/10.1080/135467896394447" TargetMode="External"/><Relationship Id="rId118" Type="http://schemas.openxmlformats.org/officeDocument/2006/relationships/hyperlink" Target="https://www.ncbi.nlm.nih.gov/pubmed/16053581" TargetMode="External"/><Relationship Id="rId134" Type="http://schemas.openxmlformats.org/officeDocument/2006/relationships/hyperlink" Target="https://www.ncbi.nlm.nih.gov/pubmed/16053581" TargetMode="External"/><Relationship Id="rId139" Type="http://schemas.openxmlformats.org/officeDocument/2006/relationships/hyperlink" Target="https://ec.europa.eu/research/innovation-union/pdf/innovation-union-communication_en.pdf" TargetMode="External"/><Relationship Id="rId80" Type="http://schemas.openxmlformats.org/officeDocument/2006/relationships/hyperlink" Target="https://enrd.ec.europa.eu/sites/enrd/files/uploaded-files/wp_evaluation_questions_2015.pdf" TargetMode="External"/><Relationship Id="rId85" Type="http://schemas.openxmlformats.org/officeDocument/2006/relationships/hyperlink" Target="http://www.men-d.de/index.php?id=81&amp;tx_ttnews%5btt_news%5d=150&amp;tx_ttnews%5bbackPid%5d=85&amp;cHash=41ecd4ea5c"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evaluation/publications/guidelines-assessment-rdp-results-how-prepare-reporting-evaluation-2017_en" TargetMode="External"/><Relationship Id="rId38" Type="http://schemas.openxmlformats.org/officeDocument/2006/relationships/footer" Target="footer9.xml"/><Relationship Id="rId46" Type="http://schemas.openxmlformats.org/officeDocument/2006/relationships/hyperlink" Target="http://enrd.ec.europa.eu/news-events/events/enrd-workshop-measure-16-cooperation_en" TargetMode="External"/><Relationship Id="rId59" Type="http://schemas.openxmlformats.org/officeDocument/2006/relationships/hyperlink" Target="https://enrd.ec.europa.eu/evaluation/publications/guidelines-assessment-rdp-results-how-prepare-reporting-evaluation-2017_en" TargetMode="External"/><Relationship Id="rId67" Type="http://schemas.openxmlformats.org/officeDocument/2006/relationships/hyperlink" Target="https://enrd.ec.europa.eu/evaluation/publications/guidelines-assessment-rdp-results-how-prepare-reporting-evaluation-2017_en" TargetMode="External"/><Relationship Id="rId103" Type="http://schemas.openxmlformats.org/officeDocument/2006/relationships/header" Target="header10.xml"/><Relationship Id="rId108" Type="http://schemas.openxmlformats.org/officeDocument/2006/relationships/hyperlink" Target="http://ageconsearch.umn.edu/bitstream/52515/2/ILAC_Brief05_Histories.pdf" TargetMode="External"/><Relationship Id="rId116" Type="http://schemas.openxmlformats.org/officeDocument/2006/relationships/hyperlink" Target="http://journals.sagepub.com/doi/abs/10.1177/1356389012451663" TargetMode="External"/><Relationship Id="rId124" Type="http://schemas.openxmlformats.org/officeDocument/2006/relationships/hyperlink" Target="http://ageconsearch.umn.edu/bitstream/52515/2/ILAC_Brief05_Histories.pdf" TargetMode="External"/><Relationship Id="rId129" Type="http://schemas.openxmlformats.org/officeDocument/2006/relationships/hyperlink" Target="http://www.tandfonline.com/doi/abs/10.1080/135467896394447" TargetMode="External"/><Relationship Id="rId137" Type="http://schemas.openxmlformats.org/officeDocument/2006/relationships/hyperlink" Target="https://ec.europa.eu/eip/agriculture/en/content/innovation-support-services" TargetMode="External"/><Relationship Id="rId20" Type="http://schemas.openxmlformats.org/officeDocument/2006/relationships/header" Target="header5.xml"/><Relationship Id="rId41" Type="http://schemas.openxmlformats.org/officeDocument/2006/relationships/hyperlink" Target="https://enrd.ec.europa.eu/evaluation/publications/guidelines-assessment-rdp-results-how-prepare-reporting-evaluation-2017_en" TargetMode="External"/><Relationship Id="rId54" Type="http://schemas.openxmlformats.org/officeDocument/2006/relationships/hyperlink" Target="https://enrd.ec.europa.eu/evaluation/publications/guidelines-assessment-rdp-results-how-prepare-reporting-evaluation-2017_en" TargetMode="External"/><Relationship Id="rId62" Type="http://schemas.openxmlformats.org/officeDocument/2006/relationships/image" Target="media/image17.png"/><Relationship Id="rId70" Type="http://schemas.openxmlformats.org/officeDocument/2006/relationships/hyperlink" Target="https://ec.europa.eu/eip/agriculture/en/publications/guidelines-programming-innovation-and" TargetMode="External"/><Relationship Id="rId75" Type="http://schemas.openxmlformats.org/officeDocument/2006/relationships/hyperlink" Target="http://enrd.ec.europa.eu/enrd-static/app_templates/enrd_assets/pdf/guidebook/nrn_handbook_webversion.pdf" TargetMode="External"/><Relationship Id="rId83" Type="http://schemas.openxmlformats.org/officeDocument/2006/relationships/hyperlink" Target="http://ec.europa.eu/eurostat/statistics-explained/index.php/Smarter,_greener,_more_inclusive_-_indicators_to_support_the_Europe_2020_strategy" TargetMode="External"/><Relationship Id="rId88" Type="http://schemas.openxmlformats.org/officeDocument/2006/relationships/hyperlink" Target="http://ec.europa.eu/eurostat/statistics-explained/index.php/Smarter,_greener,_more_inclusive_-_indicators_to_support_the_Europe_2020_strategy" TargetMode="External"/><Relationship Id="rId91" Type="http://schemas.openxmlformats.org/officeDocument/2006/relationships/hyperlink" Target="http://www.men-d.de/index.php?id=81&amp;tx_ttnews%5btt_news%5d=150&amp;tx_ttnews%5bbackPid%5d=85&amp;cHash=41ecd4ea5c" TargetMode="External"/><Relationship Id="rId96" Type="http://schemas.openxmlformats.org/officeDocument/2006/relationships/hyperlink" Target="https://enrd.ec.europa.eu/sites/enrd/files/uploaded-files/wp_evaluation_questions_2015.pdf" TargetMode="External"/><Relationship Id="rId111" Type="http://schemas.openxmlformats.org/officeDocument/2006/relationships/hyperlink" Target="https://www.gao.gov/products/GAO/PEMD-10.1.9" TargetMode="External"/><Relationship Id="rId132" Type="http://schemas.openxmlformats.org/officeDocument/2006/relationships/hyperlink" Target="http://journals.sagepub.com/doi/abs/10.1177/1356389012451663" TargetMode="External"/><Relationship Id="rId140" Type="http://schemas.openxmlformats.org/officeDocument/2006/relationships/hyperlink" Target="https://ec.europa.eu/eip/agriculture/sites/agri-eip/files/communication_on_eip_-_en.pdf"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footer" Target="footer7.xml"/><Relationship Id="rId49" Type="http://schemas.openxmlformats.org/officeDocument/2006/relationships/hyperlink" Target="https://ec.europa.eu/eip/agriculture/sites/agri-eip/files/16_measure_fiche_art_35_co-operation.pdf" TargetMode="External"/><Relationship Id="rId57" Type="http://schemas.openxmlformats.org/officeDocument/2006/relationships/hyperlink" Target="http://enrd.ec.europa.eu/news-events/events/enrd-workshop-measure-16-cooperation_en" TargetMode="External"/><Relationship Id="rId106" Type="http://schemas.openxmlformats.org/officeDocument/2006/relationships/hyperlink" Target="https://www.cambridge.org/core/journals/ps-political-science-and-politics/article/understanding-process-tracing/183A057AD6A36783E678CB37440346D1" TargetMode="External"/><Relationship Id="rId114" Type="http://schemas.openxmlformats.org/officeDocument/2006/relationships/hyperlink" Target="http://www.tandfonline.com/doi/abs/10.1080/135467896394447" TargetMode="External"/><Relationship Id="rId119" Type="http://schemas.openxmlformats.org/officeDocument/2006/relationships/hyperlink" Target="http://betterevaluation.org/plan/approach/outcome_harvesting" TargetMode="External"/><Relationship Id="rId127" Type="http://schemas.openxmlformats.org/officeDocument/2006/relationships/hyperlink" Target="https://www.gao.gov/products/GAO/PEMD-10.1.9" TargetMode="External"/><Relationship Id="rId10" Type="http://schemas.openxmlformats.org/officeDocument/2006/relationships/image" Target="media/image1.jpg"/><Relationship Id="rId31" Type="http://schemas.openxmlformats.org/officeDocument/2006/relationships/image" Target="media/image12.png"/><Relationship Id="rId44" Type="http://schemas.openxmlformats.org/officeDocument/2006/relationships/hyperlink" Target="https://enrd.ec.europa.eu/evaluation/publications/guidelines-assessment-rdp-results-how-prepare-reporting-evaluation-2017_en"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s://ec.europa.eu/eip/agriculture/sites/agri-eip/files/16_measure_fiche_art_35_co-operation.pdf" TargetMode="External"/><Relationship Id="rId65" Type="http://schemas.openxmlformats.org/officeDocument/2006/relationships/header" Target="header7.xml"/><Relationship Id="rId73" Type="http://schemas.openxmlformats.org/officeDocument/2006/relationships/hyperlink" Target="https://enrd.ec.europa.eu/evaluation/publications/guidelines-assessment-rdp-results-how-prepare-reporting-evaluation-2017_en" TargetMode="External"/><Relationship Id="rId78" Type="http://schemas.openxmlformats.org/officeDocument/2006/relationships/hyperlink" Target="http://enrd.ec.europa.eu/enrd-static/evaluation/good-practices-workshops/national-rural-networks/en/national-rural-networks_en.html" TargetMode="External"/><Relationship Id="rId81" Type="http://schemas.openxmlformats.org/officeDocument/2006/relationships/hyperlink" Target="http://eur-lex.europa.eu/LexUriServ/LexUriServ.do?uri=COM:2010:2020:FIN:RO:PDF" TargetMode="External"/><Relationship Id="rId86" Type="http://schemas.openxmlformats.org/officeDocument/2006/relationships/hyperlink" Target="http://www.men-d.de/index.php?id=81&amp;tx_ttnews%5btt_news%5d=195&amp;tx_ttnews%5bbackPid%5d=85&amp;cHash=08539b2ad7" TargetMode="External"/><Relationship Id="rId94" Type="http://schemas.openxmlformats.org/officeDocument/2006/relationships/header" Target="header8.xml"/><Relationship Id="rId99" Type="http://schemas.openxmlformats.org/officeDocument/2006/relationships/hyperlink" Target="http://www.hnvlink.eu/download/D1.3BAcomplete.pdf" TargetMode="External"/><Relationship Id="rId101" Type="http://schemas.openxmlformats.org/officeDocument/2006/relationships/hyperlink" Target="http://www.hnvlink.eu/download/D1.3BAcomplete.pdf" TargetMode="External"/><Relationship Id="rId122" Type="http://schemas.openxmlformats.org/officeDocument/2006/relationships/hyperlink" Target="https://www.cambridge.org/core/journals/ps-political-science-and-politics/article/understanding-process-tracing/183A057AD6A36783E678CB37440346D1" TargetMode="External"/><Relationship Id="rId130" Type="http://schemas.openxmlformats.org/officeDocument/2006/relationships/hyperlink" Target="http://www.tandfonline.com/doi/abs/10.1080/135467896394447" TargetMode="External"/><Relationship Id="rId135" Type="http://schemas.openxmlformats.org/officeDocument/2006/relationships/hyperlink" Target="http://betterevaluation.org/plan/approach/outcome_harvesting" TargetMode="External"/><Relationship Id="rId143"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png"/><Relationship Id="rId109" Type="http://schemas.openxmlformats.org/officeDocument/2006/relationships/hyperlink" Target="https://www.gao.gov/products/GAO/PEMD-10.1.9" TargetMode="External"/><Relationship Id="rId34" Type="http://schemas.openxmlformats.org/officeDocument/2006/relationships/image" Target="media/image13.PNG"/><Relationship Id="rId50" Type="http://schemas.openxmlformats.org/officeDocument/2006/relationships/hyperlink" Target="http://enrd.ec.europa.eu/news-events/events/enrd-workshop-measure-16-cooperation_en" TargetMode="External"/><Relationship Id="rId55" Type="http://schemas.openxmlformats.org/officeDocument/2006/relationships/hyperlink" Target="https://enrd.ec.europa.eu/evaluation/publications/guidelines-assessment-rdp-results-how-prepare-reporting-evaluation-2017_en" TargetMode="External"/><Relationship Id="rId76" Type="http://schemas.openxmlformats.org/officeDocument/2006/relationships/hyperlink" Target="https://enrd.ec.europa.eu/sites/enrd/files/twg-02-nrn-july2016.pdf" TargetMode="External"/><Relationship Id="rId97" Type="http://schemas.openxmlformats.org/officeDocument/2006/relationships/hyperlink" Target="https://enrd.ec.europa.eu/sites/enrd/files/uploaded-files/wp_evaluation_questions_2015.pdf" TargetMode="External"/><Relationship Id="rId104" Type="http://schemas.openxmlformats.org/officeDocument/2006/relationships/hyperlink" Target="http://asq.org/quality-progress/2007/07/statistics/likert-scales-and-data-analyses.html" TargetMode="External"/><Relationship Id="rId120" Type="http://schemas.openxmlformats.org/officeDocument/2006/relationships/hyperlink" Target="http://asq.org/quality-progress/2007/07/statistics/likert-scales-and-data-analyses.html" TargetMode="External"/><Relationship Id="rId125" Type="http://schemas.openxmlformats.org/officeDocument/2006/relationships/hyperlink" Target="https://www.gao.gov/products/GAO/PEMD-10.1.9" TargetMode="External"/><Relationship Id="rId141" Type="http://schemas.openxmlformats.org/officeDocument/2006/relationships/hyperlink" Target="http://enrd.ec.europa.eu/enrd-static/app_templates/enrd_assets/pdf/guidebook/nrn_handbook_webversion.pdf" TargetMode="External"/><Relationship Id="rId7" Type="http://schemas.openxmlformats.org/officeDocument/2006/relationships/endnotes" Target="endnotes.xml"/><Relationship Id="rId71" Type="http://schemas.openxmlformats.org/officeDocument/2006/relationships/hyperlink" Target="http://enrd.ec.europa.eu/enrd-static/evaluation/good-practices-workshops/national-rural-networks/en/national-rural-networks_en.html" TargetMode="External"/><Relationship Id="rId92" Type="http://schemas.openxmlformats.org/officeDocument/2006/relationships/hyperlink" Target="http://www.men-d.de/index.php?id=81&amp;tx_ttnews%5btt_news%5d=195&amp;tx_ttnews%5bbackPid%5d=85&amp;cHash=08539b2ad7"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s://ec.europa.eu/eip/agriculture/sites/agri-eip/files/16_measure_fiche_art_35_co-operation.pdf" TargetMode="External"/><Relationship Id="rId66" Type="http://schemas.openxmlformats.org/officeDocument/2006/relationships/hyperlink" Target="https://enrd.ec.europa.eu/evaluation/publications/guidelines-assessment-rdp-results-how-prepare-reporting-evaluation-2017_en" TargetMode="External"/><Relationship Id="rId87" Type="http://schemas.openxmlformats.org/officeDocument/2006/relationships/hyperlink" Target="http://eur-lex.europa.eu/LexUriServ/LexUriServ.do?uri=COM:2010:2020:FIN:RO:PDF" TargetMode="External"/><Relationship Id="rId110" Type="http://schemas.openxmlformats.org/officeDocument/2006/relationships/hyperlink" Target="https://www.gao.gov/products/GAO/PEMD-10.1.9" TargetMode="External"/><Relationship Id="rId115" Type="http://schemas.openxmlformats.org/officeDocument/2006/relationships/hyperlink" Target="http://journals.sagepub.com/doi/abs/10.1177/1356389012451663" TargetMode="External"/><Relationship Id="rId131" Type="http://schemas.openxmlformats.org/officeDocument/2006/relationships/hyperlink" Target="http://journals.sagepub.com/doi/abs/10.1177/1356389012451663" TargetMode="External"/><Relationship Id="rId136" Type="http://schemas.openxmlformats.org/officeDocument/2006/relationships/hyperlink" Target="http://ec.europa.eu/eip/agriculture/sites/agri-eip/files/16_measure_fiche_art_35_co-operation.pdf" TargetMode="External"/><Relationship Id="rId61" Type="http://schemas.openxmlformats.org/officeDocument/2006/relationships/hyperlink" Target="http://enrd.ec.europa.eu/news-events/events/enrd-workshop-measure-16-cooperation_en" TargetMode="External"/><Relationship Id="rId82" Type="http://schemas.openxmlformats.org/officeDocument/2006/relationships/hyperlink" Target="http://ec.europa.eu/eurostat/statistics-explained/index.php/Smarter,_greener,_more_inclusive_-_indicators_to_support_the_Europe_2020_strategy" TargetMode="Externa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header" Target="header6.xml"/><Relationship Id="rId56" Type="http://schemas.openxmlformats.org/officeDocument/2006/relationships/hyperlink" Target="https://ec.europa.eu/eip/agriculture/sites/agri-eip/files/16_measure_fiche_art_35_co-operation.pdf" TargetMode="External"/><Relationship Id="rId77" Type="http://schemas.openxmlformats.org/officeDocument/2006/relationships/hyperlink" Target="https://ec.europa.eu/eip/agriculture/en/publications/guidelines-programming-innovation-and" TargetMode="External"/><Relationship Id="rId100" Type="http://schemas.openxmlformats.org/officeDocument/2006/relationships/hyperlink" Target="http://www.hnvlink.eu/" TargetMode="External"/><Relationship Id="rId105" Type="http://schemas.openxmlformats.org/officeDocument/2006/relationships/hyperlink" Target="http://asq.org/quality-progress/2007/07/statistics/likert-scales-and-data-analyses.html" TargetMode="External"/><Relationship Id="rId126" Type="http://schemas.openxmlformats.org/officeDocument/2006/relationships/hyperlink" Target="https://www.gao.gov/products/GAO/PEMD-10.1.9" TargetMode="Externa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image" Target="media/image16.png"/><Relationship Id="rId72" Type="http://schemas.openxmlformats.org/officeDocument/2006/relationships/hyperlink" Target="http://enrd.ec.europa.eu/enrd-static/evaluation/good-practices-workshops/national-rural-networks/en/national-rural-networks_en.html" TargetMode="External"/><Relationship Id="rId93" Type="http://schemas.openxmlformats.org/officeDocument/2006/relationships/image" Target="media/image18.png"/><Relationship Id="rId98" Type="http://schemas.openxmlformats.org/officeDocument/2006/relationships/hyperlink" Target="http://www.hnvlink.eu/" TargetMode="External"/><Relationship Id="rId121" Type="http://schemas.openxmlformats.org/officeDocument/2006/relationships/hyperlink" Target="http://asq.org/quality-progress/2007/07/statistics/likert-scales-and-data-analyses.html" TargetMode="External"/><Relationship Id="rId142" Type="http://schemas.openxmlformats.org/officeDocument/2006/relationships/hyperlink" Target="https://ec.europa.eu/eip/agriculture/en/content/innovation-support-servi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ro/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4726C-D246-4EA2-B3DF-85759463A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90</Pages>
  <Words>22947</Words>
  <Characters>130798</Characters>
  <Application>Microsoft Office Word</Application>
  <DocSecurity>0</DocSecurity>
  <Lines>1089</Lines>
  <Paragraphs>306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153439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Valerie Dumont</cp:lastModifiedBy>
  <cp:revision>4</cp:revision>
  <cp:lastPrinted>2018-01-12T09:16:00Z</cp:lastPrinted>
  <dcterms:created xsi:type="dcterms:W3CDTF">2018-03-20T09:06:00Z</dcterms:created>
  <dcterms:modified xsi:type="dcterms:W3CDTF">2018-03-20T09:18:00Z</dcterms:modified>
</cp:coreProperties>
</file>