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5D08" w:rsidRPr="00E05D08" w:rsidRDefault="00E05D08" w:rsidP="00E05D08">
      <w:pPr>
        <w:spacing w:after="120" w:line="280" w:lineRule="atLeast"/>
        <w:mirrorIndents/>
        <w:rPr>
          <w:rFonts w:eastAsia="Times New Roman" w:cs="Times New Roman"/>
          <w:szCs w:val="20"/>
        </w:rPr>
      </w:pPr>
      <w:bookmarkStart w:id="0" w:name="_Hlk503275930"/>
      <w:r>
        <w:rPr>
          <w:rFonts w:eastAsia="Times New Roman" w:cs="Times New Roman"/>
          <w:noProof/>
          <w:szCs w:val="24"/>
          <w:lang w:val="en-GB" w:eastAsia="en-GB"/>
        </w:rPr>
        <mc:AlternateContent>
          <mc:Choice Requires="wps">
            <w:drawing>
              <wp:anchor distT="0" distB="0" distL="114300" distR="114300" simplePos="0" relativeHeight="251654144" behindDoc="1" locked="0" layoutInCell="1" allowOverlap="1" wp14:anchorId="6C8EB33A" wp14:editId="397EA611">
                <wp:simplePos x="0" y="0"/>
                <wp:positionH relativeFrom="page">
                  <wp:posOffset>2052320</wp:posOffset>
                </wp:positionH>
                <wp:positionV relativeFrom="page">
                  <wp:posOffset>5022850</wp:posOffset>
                </wp:positionV>
                <wp:extent cx="4958080" cy="3855720"/>
                <wp:effectExtent l="0" t="0" r="13970" b="11430"/>
                <wp:wrapTight wrapText="bothSides">
                  <wp:wrapPolygon edited="0">
                    <wp:start x="0" y="0"/>
                    <wp:lineTo x="0" y="21557"/>
                    <wp:lineTo x="21578" y="21557"/>
                    <wp:lineTo x="21578"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EED" w:rsidRPr="00DD6E53" w:rsidRDefault="00891EED" w:rsidP="00E05D08">
                            <w:pPr>
                              <w:pStyle w:val="HTitle1"/>
                            </w:pPr>
                            <w:r>
                              <w:t xml:space="preserve">Richtsnoeren </w:t>
                            </w:r>
                          </w:p>
                          <w:p w:rsidR="00891EED" w:rsidRPr="00DD6E53" w:rsidRDefault="00891EED" w:rsidP="00C947BA">
                            <w:pPr>
                              <w:pStyle w:val="HTitle2"/>
                              <w:jc w:val="left"/>
                            </w:pPr>
                            <w:bookmarkStart w:id="1" w:name="_Hlk501355929"/>
                            <w:r>
                              <w:t xml:space="preserve">Evaluatie van innovatie in </w:t>
                            </w:r>
                            <w:r>
                              <w:br/>
                              <w:t>plattelandsontwikkelingsprogramma's 2014-2020</w:t>
                            </w:r>
                            <w:bookmarkEnd w:id="1"/>
                            <w:r>
                              <w:t xml:space="preserve"> </w:t>
                            </w:r>
                          </w:p>
                          <w:p w:rsidR="00891EED" w:rsidRPr="00DD6E53" w:rsidRDefault="00891EED" w:rsidP="00E05D08">
                            <w:pPr>
                              <w:rPr>
                                <w:color w:val="6F6F6F"/>
                                <w:sz w:val="28"/>
                                <w:szCs w:val="28"/>
                              </w:rPr>
                            </w:pPr>
                          </w:p>
                          <w:p w:rsidR="00891EED" w:rsidRDefault="00891EED" w:rsidP="00E05D08">
                            <w:pPr>
                              <w:pStyle w:val="HTitle3"/>
                            </w:pPr>
                            <w:r>
                              <w:t xml:space="preserve">December 2017 </w:t>
                            </w:r>
                          </w:p>
                          <w:p w:rsidR="00891EED" w:rsidRDefault="00891EED" w:rsidP="00E05D08">
                            <w:pPr>
                              <w:pStyle w:val="HTitle3"/>
                            </w:pPr>
                          </w:p>
                          <w:p w:rsidR="00891EED" w:rsidRDefault="00891EED" w:rsidP="00E05D08">
                            <w:pPr>
                              <w:pStyle w:val="HTitle3"/>
                            </w:pPr>
                          </w:p>
                          <w:p w:rsidR="00891EED" w:rsidRDefault="00891EED" w:rsidP="00E05D08">
                            <w:pPr>
                              <w:pStyle w:val="HTitle3"/>
                            </w:pPr>
                          </w:p>
                          <w:p w:rsidR="00891EED" w:rsidRPr="00912430" w:rsidRDefault="00891EED" w:rsidP="00912430">
                            <w:pPr>
                              <w:rPr>
                                <w:color w:val="auto"/>
                                <w:sz w:val="18"/>
                                <w:szCs w:val="18"/>
                              </w:rPr>
                            </w:pPr>
                            <w:r>
                              <w:rPr>
                                <w:i/>
                                <w:sz w:val="18"/>
                                <w:szCs w:val="18"/>
                              </w:rPr>
                              <w:t xml:space="preserve">Dit document bevat de vertaling van de "Richtsnoeren: Evaluatie van innovatie in plattelandsontwikkelingsprogramma's 2014-2020" (versie van december 2017). Deze vertaling is bedoeld om de richtsnoeren voor alle belanghebbenden bruikbaarder en toegankelijker te maken. De Engelse versie is de doorslaggevende referentietekst. De Engelse versie is te vinden op de </w:t>
                            </w:r>
                            <w:hyperlink r:id="rId8" w:tgtFrame="_blank" w:history="1">
                              <w:r>
                                <w:rPr>
                                  <w:rStyle w:val="Hyperlink"/>
                                  <w:i/>
                                  <w:sz w:val="18"/>
                                  <w:szCs w:val="18"/>
                                </w:rPr>
                                <w:t>volgende link</w:t>
                              </w:r>
                            </w:hyperlink>
                            <w:r>
                              <w:rPr>
                                <w:rStyle w:val="Hyperlink"/>
                                <w:color w:val="auto"/>
                                <w:sz w:val="18"/>
                                <w:szCs w:val="18"/>
                                <w:u w:val="non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EB33A" id="_x0000_t202" coordsize="21600,21600" o:spt="202" path="m,l,21600r21600,l21600,xe">
                <v:stroke joinstyle="miter"/>
                <v:path gradientshapeok="t" o:connecttype="rect"/>
              </v:shapetype>
              <v:shape id="Text Box 5" o:spid="_x0000_s1026" type="#_x0000_t202" style="position:absolute;left:0;text-align:left;margin-left:161.6pt;margin-top:395.5pt;width:390.4pt;height:303.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DQrwIAAKo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" filled="f" stroked="f">
                <v:textbox inset="0,0,0,0">
                  <w:txbxContent>
                    <w:p w:rsidR="00891EED" w:rsidRPr="00DD6E53" w:rsidRDefault="00891EED" w:rsidP="00E05D08">
                      <w:pPr>
                        <w:pStyle w:val="HTitle1"/>
                      </w:pPr>
                      <w:r>
                        <w:t xml:space="preserve">Richtsnoeren </w:t>
                      </w:r>
                    </w:p>
                    <w:p w:rsidR="00891EED" w:rsidRPr="00DD6E53" w:rsidRDefault="00891EED" w:rsidP="00C947BA">
                      <w:pPr>
                        <w:pStyle w:val="HTitle2"/>
                        <w:jc w:val="left"/>
                      </w:pPr>
                      <w:bookmarkStart w:id="2" w:name="_Hlk501355929"/>
                      <w:r>
                        <w:t xml:space="preserve">Evaluatie van innovatie in </w:t>
                      </w:r>
                      <w:r>
                        <w:br/>
                        <w:t>plattelandsontwikkelingsprogramma's 2014-2020</w:t>
                      </w:r>
                      <w:bookmarkEnd w:id="2"/>
                      <w:r>
                        <w:t xml:space="preserve"> </w:t>
                      </w:r>
                    </w:p>
                    <w:p w:rsidR="00891EED" w:rsidRPr="00DD6E53" w:rsidRDefault="00891EED" w:rsidP="00E05D08">
                      <w:pPr>
                        <w:rPr>
                          <w:color w:val="6F6F6F"/>
                          <w:sz w:val="28"/>
                          <w:szCs w:val="28"/>
                        </w:rPr>
                      </w:pPr>
                    </w:p>
                    <w:p w:rsidR="00891EED" w:rsidRDefault="00891EED" w:rsidP="00E05D08">
                      <w:pPr>
                        <w:pStyle w:val="HTitle3"/>
                      </w:pPr>
                      <w:r>
                        <w:t xml:space="preserve">December 2017 </w:t>
                      </w:r>
                    </w:p>
                    <w:p w:rsidR="00891EED" w:rsidRDefault="00891EED" w:rsidP="00E05D08">
                      <w:pPr>
                        <w:pStyle w:val="HTitle3"/>
                      </w:pPr>
                    </w:p>
                    <w:p w:rsidR="00891EED" w:rsidRDefault="00891EED" w:rsidP="00E05D08">
                      <w:pPr>
                        <w:pStyle w:val="HTitle3"/>
                      </w:pPr>
                    </w:p>
                    <w:p w:rsidR="00891EED" w:rsidRDefault="00891EED" w:rsidP="00E05D08">
                      <w:pPr>
                        <w:pStyle w:val="HTitle3"/>
                      </w:pPr>
                    </w:p>
                    <w:p w:rsidR="00891EED" w:rsidRPr="00912430" w:rsidRDefault="00891EED" w:rsidP="00912430">
                      <w:pPr>
                        <w:rPr>
                          <w:color w:val="auto"/>
                          <w:sz w:val="18"/>
                          <w:szCs w:val="18"/>
                        </w:rPr>
                      </w:pPr>
                      <w:r>
                        <w:rPr>
                          <w:i/>
                          <w:sz w:val="18"/>
                          <w:szCs w:val="18"/>
                        </w:rPr>
                        <w:t xml:space="preserve">Dit document bevat de vertaling van de "Richtsnoeren: Evaluatie van innovatie in plattelandsontwikkelingsprogramma's 2014-2020" (versie van december 2017). Deze vertaling is bedoeld om de richtsnoeren voor alle belanghebbenden bruikbaarder en toegankelijker te maken. De Engelse versie is de doorslaggevende referentietekst. De Engelse versie is te vinden op de </w:t>
                      </w:r>
                      <w:hyperlink r:id="rId9" w:tgtFrame="_blank" w:history="1">
                        <w:r>
                          <w:rPr>
                            <w:rStyle w:val="Hyperlink"/>
                            <w:i/>
                            <w:sz w:val="18"/>
                            <w:szCs w:val="18"/>
                          </w:rPr>
                          <w:t>volgende link</w:t>
                        </w:r>
                      </w:hyperlink>
                      <w:r>
                        <w:rPr>
                          <w:rStyle w:val="Hyperlink"/>
                          <w:color w:val="auto"/>
                          <w:sz w:val="18"/>
                          <w:szCs w:val="18"/>
                          <w:u w:val="none"/>
                        </w:rPr>
                        <w:t>.</w:t>
                      </w:r>
                    </w:p>
                  </w:txbxContent>
                </v:textbox>
                <w10:wrap type="tight" anchorx="page" anchory="page"/>
              </v:shape>
            </w:pict>
          </mc:Fallback>
        </mc:AlternateContent>
      </w:r>
      <w:r>
        <w:br w:type="page"/>
      </w:r>
    </w:p>
    <w:p w:rsidR="00E05D08" w:rsidRPr="00E05D08" w:rsidRDefault="00E05D08" w:rsidP="00E05D08">
      <w:pPr>
        <w:spacing w:after="120" w:line="280" w:lineRule="atLeast"/>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655168" behindDoc="0" locked="0" layoutInCell="1" allowOverlap="1" wp14:anchorId="7DDF63B1" wp14:editId="7E007B2D">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891EED" w:rsidRPr="007F1B7F" w:rsidRDefault="00891EED" w:rsidP="00E05D08">
                            <w:pPr>
                              <w:pStyle w:val="Normal12PTcouleurgris"/>
                              <w:rPr>
                                <w:sz w:val="18"/>
                              </w:rPr>
                            </w:pPr>
                            <w:r>
                              <w:rPr>
                                <w:sz w:val="18"/>
                              </w:rPr>
                              <w:t>Verklaring inzake het auteursrecht</w:t>
                            </w:r>
                          </w:p>
                          <w:p w:rsidR="00891EED" w:rsidRPr="007F1B7F" w:rsidRDefault="00891EED" w:rsidP="00E05D08">
                            <w:pPr>
                              <w:pStyle w:val="Normal12PTcouleurgris"/>
                              <w:rPr>
                                <w:sz w:val="18"/>
                              </w:rPr>
                            </w:pPr>
                            <w:r>
                              <w:rPr>
                                <w:sz w:val="18"/>
                              </w:rPr>
                              <w:t>© Europese Unie, 2017</w:t>
                            </w:r>
                          </w:p>
                          <w:p w:rsidR="00891EED" w:rsidRPr="007F1B7F" w:rsidRDefault="00891EED" w:rsidP="00E05D08">
                            <w:pPr>
                              <w:pStyle w:val="Normal12PTcouleurgris"/>
                              <w:rPr>
                                <w:sz w:val="18"/>
                              </w:rPr>
                            </w:pPr>
                            <w:r>
                              <w:rPr>
                                <w:sz w:val="18"/>
                              </w:rPr>
                              <w:t>Overneming met bronvermelding toegestaan.</w:t>
                            </w:r>
                          </w:p>
                          <w:p w:rsidR="00891EED" w:rsidRPr="0002668A" w:rsidRDefault="00891EED" w:rsidP="00E05D08">
                            <w:pPr>
                              <w:pStyle w:val="Normal12PTcouleurgris"/>
                              <w:rPr>
                                <w:sz w:val="18"/>
                              </w:rPr>
                            </w:pPr>
                            <w:r>
                              <w:rPr>
                                <w:bCs/>
                                <w:sz w:val="18"/>
                                <w:u w:val="single"/>
                              </w:rPr>
                              <w:t>Aanbevolen citaat</w:t>
                            </w:r>
                            <w:r>
                              <w:rPr>
                                <w:bCs/>
                                <w:sz w:val="18"/>
                              </w:rPr>
                              <w:t>:</w:t>
                            </w:r>
                            <w:r>
                              <w:rPr>
                                <w:sz w:val="18"/>
                              </w:rPr>
                              <w:t xml:space="preserve"> </w:t>
                            </w:r>
                          </w:p>
                          <w:p w:rsidR="00891EED" w:rsidRPr="0002668A" w:rsidRDefault="00891EED" w:rsidP="00E05D08">
                            <w:pPr>
                              <w:pStyle w:val="Normal12PTcouleurgris"/>
                              <w:rPr>
                                <w:sz w:val="18"/>
                              </w:rPr>
                            </w:pPr>
                            <w:r>
                              <w:rPr>
                                <w:sz w:val="18"/>
                              </w:rPr>
                              <w:t>EUROPESE COMMISSIE (DG AGRI) – Directoraat-generaal Landbouw en Plattelandsontwikkeling – Eenheid C.4 (2017): Richtsnoeren. Evaluatie van innovatie in plattelandsontwikkelingsprogramma's 2014-2020.</w:t>
                            </w:r>
                          </w:p>
                          <w:p w:rsidR="00891EED" w:rsidRPr="0002668A" w:rsidRDefault="00891EED" w:rsidP="00E05D08">
                            <w:pPr>
                              <w:pStyle w:val="Normal12PTcouleurgris"/>
                              <w:rPr>
                                <w:bCs/>
                                <w:sz w:val="18"/>
                                <w:u w:val="single"/>
                              </w:rPr>
                            </w:pPr>
                            <w:r>
                              <w:rPr>
                                <w:bCs/>
                                <w:sz w:val="18"/>
                                <w:u w:val="single"/>
                              </w:rPr>
                              <w:t>Afwijzing van aansprakelijkheid:</w:t>
                            </w:r>
                          </w:p>
                          <w:p w:rsidR="00891EED" w:rsidRPr="0002668A" w:rsidRDefault="00891EED" w:rsidP="00E05D08">
                            <w:pPr>
                              <w:pStyle w:val="Normal12PTcouleurgris"/>
                              <w:rPr>
                                <w:sz w:val="18"/>
                              </w:rPr>
                            </w:pPr>
                            <w:r>
                              <w:rPr>
                                <w:sz w:val="18"/>
                              </w:rPr>
                              <w:t>De informatie en de standpunten in dit verslag zijn die van de auteur(s) en geven niet noodzakelijkerwijs het officiële standpunt van de Commissie weer. De Commissie staat niet in voor de juistheid van de gegevens in dit verslag. De Commissie noch enige persoon die namens de Commissie optreedt, kan aansprakelijk worden gesteld voor het gebruik dat eventueel wordt gemaakt van de hierin opgenomen informatie.</w:t>
                            </w:r>
                          </w:p>
                          <w:p w:rsidR="00891EED" w:rsidRPr="000B1DDA" w:rsidRDefault="00891EED" w:rsidP="00E05D08">
                            <w:pPr>
                              <w:pStyle w:val="Normal12PTcouleurgris"/>
                            </w:pPr>
                          </w:p>
                          <w:p w:rsidR="00891EED" w:rsidRPr="004D4D87" w:rsidRDefault="00891EED" w:rsidP="00E05D08">
                            <w:pPr>
                              <w:pStyle w:val="Normal12PTcouleurgris"/>
                            </w:pPr>
                            <w:r>
                              <w:rPr>
                                <w:noProof/>
                                <w:lang w:val="en-GB" w:eastAsia="en-GB"/>
                              </w:rPr>
                              <w:drawing>
                                <wp:inline distT="0" distB="0" distL="0" distR="0" wp14:anchorId="2AAA6EB5" wp14:editId="6765D9A3">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495B31C8" wp14:editId="4A91B141">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891EED" w:rsidRPr="00E05D08" w:rsidRDefault="00891EED" w:rsidP="00E05D08">
                            <w:pPr>
                              <w:pStyle w:val="Normal12PTcouleurgris"/>
                              <w:rPr>
                                <w:color w:val="BFBFBF"/>
                              </w:rPr>
                            </w:pPr>
                          </w:p>
                          <w:p w:rsidR="00891EED" w:rsidRPr="007F1B7F" w:rsidRDefault="00891EED" w:rsidP="00E05D08">
                            <w:pPr>
                              <w:pStyle w:val="Normal12PTcouleurgris"/>
                              <w:rPr>
                                <w:sz w:val="18"/>
                              </w:rPr>
                            </w:pPr>
                            <w:r>
                              <w:rPr>
                                <w:sz w:val="18"/>
                              </w:rPr>
                              <w:t>De evaluatiehelpdesk is binnen het Europees netwerk voor plattelandsontwikkeling (ENPO) verantwoordelijk voor de evaluatiefunctie en verleent advies over de evaluatie van plattelandsontwikkelingsprogramma's (POP's) en -beleid. Binnen de Europese Commissie (EC) is eenheid C.4 van DG AGRI belast met de monitoring en evaluatie van deze programma's en dit beleid. Om de evaluatie van het plattelandsontwikkelingsbeleid van de EU te verbeteren, biedt de evaluatiehelpdesk alle belanghebbenden op dit gebied, en in het bijzonder DG AGRI, de nationale autoriteiten, de beheersautoriteiten en de beoordelaars voor POP's, ondersteuning. Daartoe worden door de helpdesk methodologieën en hulpmiddelen ontwikkeld en verspreid, goede werkwijzen verzameld en uitgewisseld, capaciteit opgebouwd en gecommuniceerd met netwerkleden over evaluatiegerelateerde zaken.</w:t>
                            </w:r>
                          </w:p>
                          <w:p w:rsidR="00891EED" w:rsidRPr="007F1B7F" w:rsidRDefault="00891EED" w:rsidP="00E05D08">
                            <w:pPr>
                              <w:pStyle w:val="Normal12PTcouleurgris"/>
                              <w:rPr>
                                <w:sz w:val="18"/>
                              </w:rPr>
                            </w:pPr>
                            <w:r>
                              <w:rPr>
                                <w:sz w:val="18"/>
                              </w:rPr>
                              <w:t>Aanvullende informatie over de activiteiten van de Europese evaluatiehelpdesk voor plattelandsontwikkeling is te vinden op de ENPO-website (http://enrd.ec.europa.eu).</w:t>
                            </w:r>
                          </w:p>
                          <w:p w:rsidR="00891EED" w:rsidRPr="00811EF1" w:rsidRDefault="00891EED" w:rsidP="00E05D08">
                            <w:pPr>
                              <w:pStyle w:val="Hdisclaim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F63B1" id="Text Box 7" o:spid="_x0000_s1027" type="#_x0000_t202" style="position:absolute;left:0;text-align:left;margin-left:-33.55pt;margin-top:322.45pt;width:518.4pt;height:406.4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y6GQ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" stroked="f">
                <v:fill opacity="0"/>
                <v:textbox>
                  <w:txbxContent>
                    <w:p w:rsidR="00891EED" w:rsidRPr="007F1B7F" w:rsidRDefault="00891EED" w:rsidP="00E05D08">
                      <w:pPr>
                        <w:pStyle w:val="Normal12PTcouleurgris"/>
                        <w:rPr>
                          <w:sz w:val="18"/>
                        </w:rPr>
                      </w:pPr>
                      <w:r>
                        <w:rPr>
                          <w:sz w:val="18"/>
                        </w:rPr>
                        <w:t>Verklaring inzake het auteursrecht</w:t>
                      </w:r>
                    </w:p>
                    <w:p w:rsidR="00891EED" w:rsidRPr="007F1B7F" w:rsidRDefault="00891EED" w:rsidP="00E05D08">
                      <w:pPr>
                        <w:pStyle w:val="Normal12PTcouleurgris"/>
                        <w:rPr>
                          <w:sz w:val="18"/>
                        </w:rPr>
                      </w:pPr>
                      <w:r>
                        <w:rPr>
                          <w:sz w:val="18"/>
                        </w:rPr>
                        <w:t>© Europese Unie, 2017</w:t>
                      </w:r>
                    </w:p>
                    <w:p w:rsidR="00891EED" w:rsidRPr="007F1B7F" w:rsidRDefault="00891EED" w:rsidP="00E05D08">
                      <w:pPr>
                        <w:pStyle w:val="Normal12PTcouleurgris"/>
                        <w:rPr>
                          <w:sz w:val="18"/>
                        </w:rPr>
                      </w:pPr>
                      <w:r>
                        <w:rPr>
                          <w:sz w:val="18"/>
                        </w:rPr>
                        <w:t>Overneming met bronvermelding toegestaan.</w:t>
                      </w:r>
                    </w:p>
                    <w:p w:rsidR="00891EED" w:rsidRPr="0002668A" w:rsidRDefault="00891EED" w:rsidP="00E05D08">
                      <w:pPr>
                        <w:pStyle w:val="Normal12PTcouleurgris"/>
                        <w:rPr>
                          <w:sz w:val="18"/>
                        </w:rPr>
                      </w:pPr>
                      <w:r>
                        <w:rPr>
                          <w:bCs/>
                          <w:sz w:val="18"/>
                          <w:u w:val="single"/>
                        </w:rPr>
                        <w:t>Aanbevolen citaat</w:t>
                      </w:r>
                      <w:r>
                        <w:rPr>
                          <w:bCs/>
                          <w:sz w:val="18"/>
                        </w:rPr>
                        <w:t>:</w:t>
                      </w:r>
                      <w:r>
                        <w:rPr>
                          <w:sz w:val="18"/>
                        </w:rPr>
                        <w:t xml:space="preserve"> </w:t>
                      </w:r>
                    </w:p>
                    <w:p w:rsidR="00891EED" w:rsidRPr="0002668A" w:rsidRDefault="00891EED" w:rsidP="00E05D08">
                      <w:pPr>
                        <w:pStyle w:val="Normal12PTcouleurgris"/>
                        <w:rPr>
                          <w:sz w:val="18"/>
                        </w:rPr>
                      </w:pPr>
                      <w:r>
                        <w:rPr>
                          <w:sz w:val="18"/>
                        </w:rPr>
                        <w:t>EUROPESE COMMISSIE (DG AGRI) – Directoraat-generaal Landbouw en Plattelandsontwikkeling – Eenheid C.4 (2017): Richtsnoeren. Evaluatie van innovatie in plattelandsontwikkelingsprogramma's 2014-2020.</w:t>
                      </w:r>
                    </w:p>
                    <w:p w:rsidR="00891EED" w:rsidRPr="0002668A" w:rsidRDefault="00891EED" w:rsidP="00E05D08">
                      <w:pPr>
                        <w:pStyle w:val="Normal12PTcouleurgris"/>
                        <w:rPr>
                          <w:bCs/>
                          <w:sz w:val="18"/>
                          <w:u w:val="single"/>
                        </w:rPr>
                      </w:pPr>
                      <w:r>
                        <w:rPr>
                          <w:bCs/>
                          <w:sz w:val="18"/>
                          <w:u w:val="single"/>
                        </w:rPr>
                        <w:t>Afwijzing van aansprakelijkheid:</w:t>
                      </w:r>
                    </w:p>
                    <w:p w:rsidR="00891EED" w:rsidRPr="0002668A" w:rsidRDefault="00891EED" w:rsidP="00E05D08">
                      <w:pPr>
                        <w:pStyle w:val="Normal12PTcouleurgris"/>
                        <w:rPr>
                          <w:sz w:val="18"/>
                        </w:rPr>
                      </w:pPr>
                      <w:r>
                        <w:rPr>
                          <w:sz w:val="18"/>
                        </w:rPr>
                        <w:t>De informatie en de standpunten in dit verslag zijn die van de auteur(s) en geven niet noodzakelijkerwijs het officiële standpunt van de Commissie weer. De Commissie staat niet in voor de juistheid van de gegevens in dit verslag. De Commissie noch enige persoon die namens de Commissie optreedt, kan aansprakelijk worden gesteld voor het gebruik dat eventueel wordt gemaakt van de hierin opgenomen informatie.</w:t>
                      </w:r>
                    </w:p>
                    <w:p w:rsidR="00891EED" w:rsidRPr="000B1DDA" w:rsidRDefault="00891EED" w:rsidP="00E05D08">
                      <w:pPr>
                        <w:pStyle w:val="Normal12PTcouleurgris"/>
                      </w:pPr>
                    </w:p>
                    <w:p w:rsidR="00891EED" w:rsidRPr="004D4D87" w:rsidRDefault="00891EED" w:rsidP="00E05D08">
                      <w:pPr>
                        <w:pStyle w:val="Normal12PTcouleurgris"/>
                      </w:pPr>
                      <w:r>
                        <w:rPr>
                          <w:noProof/>
                          <w:lang w:val="en-GB" w:eastAsia="en-GB"/>
                        </w:rPr>
                        <w:drawing>
                          <wp:inline distT="0" distB="0" distL="0" distR="0" wp14:anchorId="2AAA6EB5" wp14:editId="6765D9A3">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495B31C8" wp14:editId="4A91B141">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891EED" w:rsidRPr="00E05D08" w:rsidRDefault="00891EED" w:rsidP="00E05D08">
                      <w:pPr>
                        <w:pStyle w:val="Normal12PTcouleurgris"/>
                        <w:rPr>
                          <w:color w:val="BFBFBF"/>
                        </w:rPr>
                      </w:pPr>
                    </w:p>
                    <w:p w:rsidR="00891EED" w:rsidRPr="007F1B7F" w:rsidRDefault="00891EED" w:rsidP="00E05D08">
                      <w:pPr>
                        <w:pStyle w:val="Normal12PTcouleurgris"/>
                        <w:rPr>
                          <w:sz w:val="18"/>
                        </w:rPr>
                      </w:pPr>
                      <w:r>
                        <w:rPr>
                          <w:sz w:val="18"/>
                        </w:rPr>
                        <w:t>De evaluatiehelpdesk is binnen het Europees netwerk voor plattelandsontwikkeling (ENPO) verantwoordelijk voor de evaluatiefunctie en verleent advies over de evaluatie van plattelandsontwikkelingsprogramma's (POP's) en -beleid. Binnen de Europese Commissie (EC) is eenheid C.4 van DG AGRI belast met de monitoring en evaluatie van deze programma's en dit beleid. Om de evaluatie van het plattelandsontwikkelingsbeleid van de EU te verbeteren, biedt de evaluatiehelpdesk alle belanghebbenden op dit gebied, en in het bijzonder DG AGRI, de nationale autoriteiten, de beheersautoriteiten en de beoordelaars voor POP's, ondersteuning. Daartoe worden door de helpdesk methodologieën en hulpmiddelen ontwikkeld en verspreid, goede werkwijzen verzameld en uitgewisseld, capaciteit opgebouwd en gecommuniceerd met netwerkleden over evaluatiegerelateerde zaken.</w:t>
                      </w:r>
                    </w:p>
                    <w:p w:rsidR="00891EED" w:rsidRPr="007F1B7F" w:rsidRDefault="00891EED" w:rsidP="00E05D08">
                      <w:pPr>
                        <w:pStyle w:val="Normal12PTcouleurgris"/>
                        <w:rPr>
                          <w:sz w:val="18"/>
                        </w:rPr>
                      </w:pPr>
                      <w:r>
                        <w:rPr>
                          <w:sz w:val="18"/>
                        </w:rPr>
                        <w:t>Aanvullende informatie over de activiteiten van de Europese evaluatiehelpdesk voor plattelandsontwikkeling is te vinden op de ENPO-website (http://enrd.ec.europa.eu).</w:t>
                      </w:r>
                    </w:p>
                    <w:p w:rsidR="00891EED" w:rsidRPr="00811EF1" w:rsidRDefault="00891EED" w:rsidP="00E05D08">
                      <w:pPr>
                        <w:pStyle w:val="Hdisclaimer"/>
                      </w:pPr>
                    </w:p>
                  </w:txbxContent>
                </v:textbox>
                <w10:wrap anchorx="margin"/>
              </v:shape>
            </w:pict>
          </mc:Fallback>
        </mc:AlternateContent>
      </w:r>
      <w:r>
        <w:br w:type="page"/>
      </w: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rPr>
      </w:pPr>
      <w:r>
        <w:rPr>
          <w:rFonts w:eastAsia="Times New Roman" w:cs="Times New Roman"/>
          <w:noProof/>
          <w:szCs w:val="20"/>
          <w:lang w:val="en-GB" w:eastAsia="en-GB"/>
        </w:rPr>
        <mc:AlternateContent>
          <mc:Choice Requires="wps">
            <w:drawing>
              <wp:anchor distT="0" distB="0" distL="114300" distR="114300" simplePos="0" relativeHeight="251656192" behindDoc="1" locked="0" layoutInCell="1" allowOverlap="1" wp14:anchorId="7382738B" wp14:editId="6E97819F">
                <wp:simplePos x="0" y="0"/>
                <wp:positionH relativeFrom="page">
                  <wp:posOffset>2204720</wp:posOffset>
                </wp:positionH>
                <wp:positionV relativeFrom="page">
                  <wp:posOffset>5175250</wp:posOffset>
                </wp:positionV>
                <wp:extent cx="4958080" cy="3855720"/>
                <wp:effectExtent l="4445" t="3175" r="0" b="0"/>
                <wp:wrapTight wrapText="bothSides">
                  <wp:wrapPolygon edited="0">
                    <wp:start x="0" y="0"/>
                    <wp:lineTo x="21600" y="0"/>
                    <wp:lineTo x="21600" y="21600"/>
                    <wp:lineTo x="0" y="21600"/>
                    <wp:lineTo x="0" y="0"/>
                  </wp:wrapPolygon>
                </wp:wrapTight>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EED" w:rsidRPr="002D3552" w:rsidRDefault="00891EED" w:rsidP="00E05D08">
                            <w:pPr>
                              <w:pStyle w:val="HTitle1"/>
                            </w:pPr>
                            <w:r>
                              <w:t xml:space="preserve">Richtsnoeren </w:t>
                            </w:r>
                          </w:p>
                          <w:p w:rsidR="00891EED" w:rsidRPr="00DD6E53" w:rsidRDefault="00891EED" w:rsidP="00C947BA">
                            <w:pPr>
                              <w:pStyle w:val="HTitle2"/>
                              <w:jc w:val="left"/>
                            </w:pPr>
                            <w:r>
                              <w:t xml:space="preserve">Evaluatie van innovatie in </w:t>
                            </w:r>
                            <w:r>
                              <w:br/>
                              <w:t xml:space="preserve">plattelandsontwikkelingsprogramma's 2014-2020 </w:t>
                            </w:r>
                          </w:p>
                          <w:p w:rsidR="00891EED" w:rsidRPr="00DD6E53" w:rsidRDefault="00891EED" w:rsidP="00E05D08">
                            <w:pPr>
                              <w:rPr>
                                <w:color w:val="6F6F6F"/>
                                <w:sz w:val="28"/>
                                <w:szCs w:val="28"/>
                              </w:rPr>
                            </w:pPr>
                          </w:p>
                          <w:p w:rsidR="00891EED" w:rsidRDefault="00891EED" w:rsidP="00E05D08">
                            <w:pPr>
                              <w:pStyle w:val="HTitle3"/>
                            </w:pPr>
                            <w:r>
                              <w:t xml:space="preserve">December 2017 </w:t>
                            </w:r>
                          </w:p>
                          <w:p w:rsidR="00891EED" w:rsidRPr="00BE49CF" w:rsidRDefault="00891EED" w:rsidP="00E05D08">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2738B" id="Text Box 16" o:spid="_x0000_s1028" type="#_x0000_t202" style="position:absolute;left:0;text-align:left;margin-left:173.6pt;margin-top:407.5pt;width:390.4pt;height:30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Gt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cxdRrbMCAACy&#10;BQAADgAAAAAAAAAAAAAAAAAuAgAAZHJzL2Uyb0RvYy54bWxQSwECLQAUAAYACAAAACEAec+11OEA&#10;AAANAQAADwAAAAAAAAAAAAAAAAANBQAAZHJzL2Rvd25yZXYueG1sUEsFBgAAAAAEAAQA8wAAABsG&#10;AAAAAA==&#10;" filled="f" stroked="f">
                <v:textbox inset="0,0,0,0">
                  <w:txbxContent>
                    <w:p w:rsidR="00891EED" w:rsidRPr="002D3552" w:rsidRDefault="00891EED" w:rsidP="00E05D08">
                      <w:pPr>
                        <w:pStyle w:val="HTitle1"/>
                      </w:pPr>
                      <w:r>
                        <w:t xml:space="preserve">Richtsnoeren </w:t>
                      </w:r>
                    </w:p>
                    <w:p w:rsidR="00891EED" w:rsidRPr="00DD6E53" w:rsidRDefault="00891EED" w:rsidP="00C947BA">
                      <w:pPr>
                        <w:pStyle w:val="HTitle2"/>
                        <w:jc w:val="left"/>
                      </w:pPr>
                      <w:r>
                        <w:t xml:space="preserve">Evaluatie van innovatie in </w:t>
                      </w:r>
                      <w:r>
                        <w:br/>
                        <w:t xml:space="preserve">plattelandsontwikkelingsprogramma's 2014-2020 </w:t>
                      </w:r>
                    </w:p>
                    <w:p w:rsidR="00891EED" w:rsidRPr="00DD6E53" w:rsidRDefault="00891EED" w:rsidP="00E05D08">
                      <w:pPr>
                        <w:rPr>
                          <w:color w:val="6F6F6F"/>
                          <w:sz w:val="28"/>
                          <w:szCs w:val="28"/>
                        </w:rPr>
                      </w:pPr>
                    </w:p>
                    <w:p w:rsidR="00891EED" w:rsidRDefault="00891EED" w:rsidP="00E05D08">
                      <w:pPr>
                        <w:pStyle w:val="HTitle3"/>
                      </w:pPr>
                      <w:r>
                        <w:t xml:space="preserve">December 2017 </w:t>
                      </w:r>
                    </w:p>
                    <w:p w:rsidR="00891EED" w:rsidRPr="00BE49CF" w:rsidRDefault="00891EED" w:rsidP="00E05D08">
                      <w:pPr>
                        <w:pStyle w:val="HTitle3"/>
                      </w:pPr>
                    </w:p>
                  </w:txbxContent>
                </v:textbox>
                <w10:wrap type="tight" anchorx="page" anchory="page"/>
              </v:shape>
            </w:pict>
          </mc:Fallback>
        </mc:AlternateContent>
      </w:r>
    </w:p>
    <w:p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BC211C">
          <w:headerReference w:type="default" r:id="rId12"/>
          <w:endnotePr>
            <w:numFmt w:val="decimal"/>
          </w:endnotePr>
          <w:pgSz w:w="11906" w:h="16838" w:code="9"/>
          <w:pgMar w:top="1440" w:right="1440" w:bottom="1134" w:left="1440" w:header="624" w:footer="709" w:gutter="0"/>
          <w:cols w:space="708"/>
          <w:titlePg/>
          <w:docGrid w:linePitch="360"/>
        </w:sectPr>
      </w:pPr>
    </w:p>
    <w:p w:rsidR="00405B0B" w:rsidRDefault="00405B0B"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lastRenderedPageBreak/>
        <w:br w:type="page"/>
      </w:r>
    </w:p>
    <w:p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b/>
          <w:bCs/>
          <w:caps/>
          <w:color w:val="F07E31"/>
          <w:szCs w:val="32"/>
        </w:rPr>
        <w:lastRenderedPageBreak/>
        <w:t>Inhoud</w:t>
      </w:r>
    </w:p>
    <w:p w:rsidR="00544F0F" w:rsidRDefault="009837FF">
      <w:pPr>
        <w:pStyle w:val="TOC1"/>
        <w:tabs>
          <w:tab w:val="right" w:leader="dot" w:pos="9040"/>
        </w:tabs>
        <w:rPr>
          <w:rFonts w:asciiTheme="minorHAnsi" w:eastAsiaTheme="minorEastAsia" w:hAnsiTheme="minorHAnsi"/>
          <w:b w:val="0"/>
          <w:caps w:val="0"/>
          <w:noProof/>
          <w:color w:val="auto"/>
          <w:sz w:val="22"/>
          <w:lang w:val="nl-BE" w:eastAsia="nl-BE"/>
        </w:rPr>
      </w:pPr>
      <w:r>
        <w:rPr>
          <w:rFonts w:ascii="Helvetica LT Pro" w:eastAsia="Times New Roman" w:hAnsi="Helvetica LT Pro" w:cs="Times New Roman"/>
          <w:caps w:val="0"/>
          <w:color w:val="000000" w:themeColor="text1"/>
          <w:szCs w:val="20"/>
        </w:rPr>
        <w:fldChar w:fldCharType="begin"/>
      </w:r>
      <w:r>
        <w:rPr>
          <w:rFonts w:ascii="Helvetica LT Pro" w:eastAsia="Times New Roman" w:hAnsi="Helvetica LT Pro" w:cs="Times New Roman"/>
          <w:caps w:val="0"/>
          <w:color w:val="000000" w:themeColor="text1"/>
          <w:szCs w:val="20"/>
        </w:rPr>
        <w:instrText xml:space="preserve"> TOC \h \z \t "H_Heading 1;1;H_Heading 2;2;H_Heading 3;3" </w:instrText>
      </w:r>
      <w:r>
        <w:rPr>
          <w:rFonts w:ascii="Helvetica LT Pro" w:eastAsia="Times New Roman" w:hAnsi="Helvetica LT Pro" w:cs="Times New Roman"/>
          <w:caps w:val="0"/>
          <w:color w:val="000000" w:themeColor="text1"/>
          <w:szCs w:val="20"/>
        </w:rPr>
        <w:fldChar w:fldCharType="separate"/>
      </w:r>
      <w:hyperlink w:anchor="_Toc511656263" w:history="1">
        <w:r w:rsidR="00544F0F" w:rsidRPr="000C2C4E">
          <w:rPr>
            <w:rStyle w:val="Hyperlink"/>
            <w:noProof/>
          </w:rPr>
          <w:t>1.</w:t>
        </w:r>
        <w:r w:rsidR="00544F0F">
          <w:rPr>
            <w:rFonts w:asciiTheme="minorHAnsi" w:eastAsiaTheme="minorEastAsia" w:hAnsiTheme="minorHAnsi"/>
            <w:b w:val="0"/>
            <w:caps w:val="0"/>
            <w:noProof/>
            <w:color w:val="auto"/>
            <w:sz w:val="22"/>
            <w:lang w:val="nl-BE" w:eastAsia="nl-BE"/>
          </w:rPr>
          <w:tab/>
        </w:r>
        <w:r w:rsidR="00544F0F" w:rsidRPr="000C2C4E">
          <w:rPr>
            <w:rStyle w:val="Hyperlink"/>
            <w:noProof/>
          </w:rPr>
          <w:t>BEGRIPPENKADER</w:t>
        </w:r>
        <w:r w:rsidR="00544F0F">
          <w:rPr>
            <w:noProof/>
            <w:webHidden/>
          </w:rPr>
          <w:tab/>
        </w:r>
        <w:r w:rsidR="00544F0F">
          <w:rPr>
            <w:noProof/>
            <w:webHidden/>
          </w:rPr>
          <w:fldChar w:fldCharType="begin"/>
        </w:r>
        <w:r w:rsidR="00544F0F">
          <w:rPr>
            <w:noProof/>
            <w:webHidden/>
          </w:rPr>
          <w:instrText xml:space="preserve"> PAGEREF _Toc511656263 \h </w:instrText>
        </w:r>
        <w:r w:rsidR="00544F0F">
          <w:rPr>
            <w:noProof/>
            <w:webHidden/>
          </w:rPr>
        </w:r>
        <w:r w:rsidR="00544F0F">
          <w:rPr>
            <w:noProof/>
            <w:webHidden/>
          </w:rPr>
          <w:fldChar w:fldCharType="separate"/>
        </w:r>
        <w:r w:rsidR="008078F6">
          <w:rPr>
            <w:noProof/>
            <w:webHidden/>
          </w:rPr>
          <w:t>4</w:t>
        </w:r>
        <w:r w:rsidR="00544F0F">
          <w:rPr>
            <w:noProof/>
            <w:webHidden/>
          </w:rPr>
          <w:fldChar w:fldCharType="end"/>
        </w:r>
      </w:hyperlink>
    </w:p>
    <w:p w:rsidR="00544F0F" w:rsidRDefault="008957BE">
      <w:pPr>
        <w:pStyle w:val="TOC2"/>
        <w:tabs>
          <w:tab w:val="right" w:leader="dot" w:pos="9040"/>
        </w:tabs>
        <w:rPr>
          <w:rFonts w:asciiTheme="minorHAnsi" w:eastAsiaTheme="minorEastAsia" w:hAnsiTheme="minorHAnsi"/>
          <w:noProof/>
          <w:color w:val="auto"/>
          <w:sz w:val="22"/>
          <w:lang w:val="nl-BE" w:eastAsia="nl-BE"/>
        </w:rPr>
      </w:pPr>
      <w:hyperlink w:anchor="_Toc511656264" w:history="1">
        <w:r w:rsidR="00544F0F" w:rsidRPr="000C2C4E">
          <w:rPr>
            <w:rStyle w:val="Hyperlink"/>
            <w:noProof/>
          </w:rPr>
          <w:t>1.1</w:t>
        </w:r>
        <w:r w:rsidR="00544F0F">
          <w:rPr>
            <w:rFonts w:asciiTheme="minorHAnsi" w:eastAsiaTheme="minorEastAsia" w:hAnsiTheme="minorHAnsi"/>
            <w:noProof/>
            <w:color w:val="auto"/>
            <w:sz w:val="22"/>
            <w:lang w:val="nl-BE" w:eastAsia="nl-BE"/>
          </w:rPr>
          <w:tab/>
        </w:r>
        <w:r w:rsidR="00544F0F" w:rsidRPr="000C2C4E">
          <w:rPr>
            <w:rStyle w:val="Hyperlink"/>
            <w:noProof/>
          </w:rPr>
          <w:t>Innovatie en plattelandsontwikkeling</w:t>
        </w:r>
        <w:r w:rsidR="00544F0F">
          <w:rPr>
            <w:noProof/>
            <w:webHidden/>
          </w:rPr>
          <w:tab/>
        </w:r>
        <w:r w:rsidR="00544F0F">
          <w:rPr>
            <w:noProof/>
            <w:webHidden/>
          </w:rPr>
          <w:fldChar w:fldCharType="begin"/>
        </w:r>
        <w:r w:rsidR="00544F0F">
          <w:rPr>
            <w:noProof/>
            <w:webHidden/>
          </w:rPr>
          <w:instrText xml:space="preserve"> PAGEREF _Toc511656264 \h </w:instrText>
        </w:r>
        <w:r w:rsidR="00544F0F">
          <w:rPr>
            <w:noProof/>
            <w:webHidden/>
          </w:rPr>
        </w:r>
        <w:r w:rsidR="00544F0F">
          <w:rPr>
            <w:noProof/>
            <w:webHidden/>
          </w:rPr>
          <w:fldChar w:fldCharType="separate"/>
        </w:r>
        <w:r w:rsidR="008078F6">
          <w:rPr>
            <w:noProof/>
            <w:webHidden/>
          </w:rPr>
          <w:t>4</w:t>
        </w:r>
        <w:r w:rsidR="00544F0F">
          <w:rPr>
            <w:noProof/>
            <w:webHidden/>
          </w:rPr>
          <w:fldChar w:fldCharType="end"/>
        </w:r>
      </w:hyperlink>
    </w:p>
    <w:p w:rsidR="00544F0F" w:rsidRDefault="008957BE">
      <w:pPr>
        <w:pStyle w:val="TOC2"/>
        <w:tabs>
          <w:tab w:val="right" w:leader="dot" w:pos="9040"/>
        </w:tabs>
        <w:rPr>
          <w:rFonts w:asciiTheme="minorHAnsi" w:eastAsiaTheme="minorEastAsia" w:hAnsiTheme="minorHAnsi"/>
          <w:noProof/>
          <w:color w:val="auto"/>
          <w:sz w:val="22"/>
          <w:lang w:val="nl-BE" w:eastAsia="nl-BE"/>
        </w:rPr>
      </w:pPr>
      <w:hyperlink w:anchor="_Toc511656265" w:history="1">
        <w:r w:rsidR="00544F0F" w:rsidRPr="000C2C4E">
          <w:rPr>
            <w:rStyle w:val="Hyperlink"/>
            <w:noProof/>
          </w:rPr>
          <w:t>1.2</w:t>
        </w:r>
        <w:r w:rsidR="00544F0F">
          <w:rPr>
            <w:rFonts w:asciiTheme="minorHAnsi" w:eastAsiaTheme="minorEastAsia" w:hAnsiTheme="minorHAnsi"/>
            <w:noProof/>
            <w:color w:val="auto"/>
            <w:sz w:val="22"/>
            <w:lang w:val="nl-BE" w:eastAsia="nl-BE"/>
          </w:rPr>
          <w:tab/>
        </w:r>
        <w:r w:rsidR="00544F0F" w:rsidRPr="000C2C4E">
          <w:rPr>
            <w:rStyle w:val="Hyperlink"/>
            <w:noProof/>
          </w:rPr>
          <w:t>Het EU-beleidskader</w:t>
        </w:r>
        <w:r w:rsidR="00544F0F">
          <w:rPr>
            <w:noProof/>
            <w:webHidden/>
          </w:rPr>
          <w:tab/>
        </w:r>
        <w:r w:rsidR="00544F0F">
          <w:rPr>
            <w:noProof/>
            <w:webHidden/>
          </w:rPr>
          <w:fldChar w:fldCharType="begin"/>
        </w:r>
        <w:r w:rsidR="00544F0F">
          <w:rPr>
            <w:noProof/>
            <w:webHidden/>
          </w:rPr>
          <w:instrText xml:space="preserve"> PAGEREF _Toc511656265 \h </w:instrText>
        </w:r>
        <w:r w:rsidR="00544F0F">
          <w:rPr>
            <w:noProof/>
            <w:webHidden/>
          </w:rPr>
        </w:r>
        <w:r w:rsidR="00544F0F">
          <w:rPr>
            <w:noProof/>
            <w:webHidden/>
          </w:rPr>
          <w:fldChar w:fldCharType="separate"/>
        </w:r>
        <w:r w:rsidR="008078F6">
          <w:rPr>
            <w:noProof/>
            <w:webHidden/>
          </w:rPr>
          <w:t>12</w:t>
        </w:r>
        <w:r w:rsidR="00544F0F">
          <w:rPr>
            <w:noProof/>
            <w:webHidden/>
          </w:rPr>
          <w:fldChar w:fldCharType="end"/>
        </w:r>
      </w:hyperlink>
    </w:p>
    <w:p w:rsidR="00544F0F" w:rsidRDefault="008957BE">
      <w:pPr>
        <w:pStyle w:val="TOC3"/>
        <w:tabs>
          <w:tab w:val="right" w:leader="dot" w:pos="9040"/>
        </w:tabs>
        <w:rPr>
          <w:rFonts w:asciiTheme="minorHAnsi" w:eastAsiaTheme="minorEastAsia" w:hAnsiTheme="minorHAnsi"/>
          <w:noProof/>
          <w:color w:val="auto"/>
          <w:sz w:val="22"/>
          <w:lang w:val="nl-BE" w:eastAsia="nl-BE"/>
        </w:rPr>
      </w:pPr>
      <w:hyperlink w:anchor="_Toc511656266" w:history="1">
        <w:r w:rsidR="00544F0F" w:rsidRPr="000C2C4E">
          <w:rPr>
            <w:rStyle w:val="Hyperlink"/>
            <w:noProof/>
          </w:rPr>
          <w:t>1.2.1</w:t>
        </w:r>
        <w:r w:rsidR="00544F0F">
          <w:rPr>
            <w:rFonts w:asciiTheme="minorHAnsi" w:eastAsiaTheme="minorEastAsia" w:hAnsiTheme="minorHAnsi"/>
            <w:noProof/>
            <w:color w:val="auto"/>
            <w:sz w:val="22"/>
            <w:lang w:val="nl-BE" w:eastAsia="nl-BE"/>
          </w:rPr>
          <w:tab/>
        </w:r>
        <w:r w:rsidR="00544F0F" w:rsidRPr="000C2C4E">
          <w:rPr>
            <w:rStyle w:val="Hyperlink"/>
            <w:noProof/>
          </w:rPr>
          <w:t>Het beleidskader voor innovatie in EU- en plattelandsontwikkelingsbeleid</w:t>
        </w:r>
        <w:r w:rsidR="00544F0F">
          <w:rPr>
            <w:noProof/>
            <w:webHidden/>
          </w:rPr>
          <w:tab/>
        </w:r>
        <w:r w:rsidR="00544F0F">
          <w:rPr>
            <w:noProof/>
            <w:webHidden/>
          </w:rPr>
          <w:fldChar w:fldCharType="begin"/>
        </w:r>
        <w:r w:rsidR="00544F0F">
          <w:rPr>
            <w:noProof/>
            <w:webHidden/>
          </w:rPr>
          <w:instrText xml:space="preserve"> PAGEREF _Toc511656266 \h </w:instrText>
        </w:r>
        <w:r w:rsidR="00544F0F">
          <w:rPr>
            <w:noProof/>
            <w:webHidden/>
          </w:rPr>
        </w:r>
        <w:r w:rsidR="00544F0F">
          <w:rPr>
            <w:noProof/>
            <w:webHidden/>
          </w:rPr>
          <w:fldChar w:fldCharType="separate"/>
        </w:r>
        <w:r w:rsidR="008078F6">
          <w:rPr>
            <w:noProof/>
            <w:webHidden/>
          </w:rPr>
          <w:t>12</w:t>
        </w:r>
        <w:r w:rsidR="00544F0F">
          <w:rPr>
            <w:noProof/>
            <w:webHidden/>
          </w:rPr>
          <w:fldChar w:fldCharType="end"/>
        </w:r>
      </w:hyperlink>
    </w:p>
    <w:p w:rsidR="00544F0F" w:rsidRDefault="008957BE">
      <w:pPr>
        <w:pStyle w:val="TOC3"/>
        <w:tabs>
          <w:tab w:val="right" w:leader="dot" w:pos="9040"/>
        </w:tabs>
        <w:rPr>
          <w:rFonts w:asciiTheme="minorHAnsi" w:eastAsiaTheme="minorEastAsia" w:hAnsiTheme="minorHAnsi"/>
          <w:noProof/>
          <w:color w:val="auto"/>
          <w:sz w:val="22"/>
          <w:lang w:val="nl-BE" w:eastAsia="nl-BE"/>
        </w:rPr>
      </w:pPr>
      <w:hyperlink w:anchor="_Toc511656267" w:history="1">
        <w:r w:rsidR="00544F0F" w:rsidRPr="000C2C4E">
          <w:rPr>
            <w:rStyle w:val="Hyperlink"/>
            <w:noProof/>
          </w:rPr>
          <w:t>1.2.2</w:t>
        </w:r>
        <w:r w:rsidR="00544F0F">
          <w:rPr>
            <w:rFonts w:asciiTheme="minorHAnsi" w:eastAsiaTheme="minorEastAsia" w:hAnsiTheme="minorHAnsi"/>
            <w:noProof/>
            <w:color w:val="auto"/>
            <w:sz w:val="22"/>
            <w:lang w:val="nl-BE" w:eastAsia="nl-BE"/>
          </w:rPr>
          <w:tab/>
        </w:r>
        <w:r w:rsidR="00544F0F" w:rsidRPr="000C2C4E">
          <w:rPr>
            <w:rStyle w:val="Hyperlink"/>
            <w:noProof/>
          </w:rPr>
          <w:t>De gemeenschappelijke evaluatie-elementen voor innovatie</w:t>
        </w:r>
        <w:r w:rsidR="00544F0F">
          <w:rPr>
            <w:noProof/>
            <w:webHidden/>
          </w:rPr>
          <w:tab/>
        </w:r>
        <w:r w:rsidR="00544F0F">
          <w:rPr>
            <w:noProof/>
            <w:webHidden/>
          </w:rPr>
          <w:fldChar w:fldCharType="begin"/>
        </w:r>
        <w:r w:rsidR="00544F0F">
          <w:rPr>
            <w:noProof/>
            <w:webHidden/>
          </w:rPr>
          <w:instrText xml:space="preserve"> PAGEREF _Toc511656267 \h </w:instrText>
        </w:r>
        <w:r w:rsidR="00544F0F">
          <w:rPr>
            <w:noProof/>
            <w:webHidden/>
          </w:rPr>
        </w:r>
        <w:r w:rsidR="00544F0F">
          <w:rPr>
            <w:noProof/>
            <w:webHidden/>
          </w:rPr>
          <w:fldChar w:fldCharType="separate"/>
        </w:r>
        <w:r w:rsidR="008078F6">
          <w:rPr>
            <w:noProof/>
            <w:webHidden/>
          </w:rPr>
          <w:t>15</w:t>
        </w:r>
        <w:r w:rsidR="00544F0F">
          <w:rPr>
            <w:noProof/>
            <w:webHidden/>
          </w:rPr>
          <w:fldChar w:fldCharType="end"/>
        </w:r>
      </w:hyperlink>
    </w:p>
    <w:p w:rsidR="00544F0F" w:rsidRDefault="008957BE">
      <w:pPr>
        <w:pStyle w:val="TOC2"/>
        <w:tabs>
          <w:tab w:val="right" w:leader="dot" w:pos="9040"/>
        </w:tabs>
        <w:rPr>
          <w:rFonts w:asciiTheme="minorHAnsi" w:eastAsiaTheme="minorEastAsia" w:hAnsiTheme="minorHAnsi"/>
          <w:noProof/>
          <w:color w:val="auto"/>
          <w:sz w:val="22"/>
          <w:lang w:val="nl-BE" w:eastAsia="nl-BE"/>
        </w:rPr>
      </w:pPr>
      <w:hyperlink w:anchor="_Toc511656268" w:history="1">
        <w:r w:rsidR="00544F0F" w:rsidRPr="000C2C4E">
          <w:rPr>
            <w:rStyle w:val="Hyperlink"/>
            <w:noProof/>
          </w:rPr>
          <w:t>1.3</w:t>
        </w:r>
        <w:r w:rsidR="00544F0F">
          <w:rPr>
            <w:rFonts w:asciiTheme="minorHAnsi" w:eastAsiaTheme="minorEastAsia" w:hAnsiTheme="minorHAnsi"/>
            <w:noProof/>
            <w:color w:val="auto"/>
            <w:sz w:val="22"/>
            <w:lang w:val="nl-BE" w:eastAsia="nl-BE"/>
          </w:rPr>
          <w:tab/>
        </w:r>
        <w:r w:rsidR="00544F0F" w:rsidRPr="000C2C4E">
          <w:rPr>
            <w:rStyle w:val="Hyperlink"/>
            <w:noProof/>
          </w:rPr>
          <w:t>Uitdagingen bij het evalueren van innovatie</w:t>
        </w:r>
        <w:r w:rsidR="00544F0F">
          <w:rPr>
            <w:noProof/>
            <w:webHidden/>
          </w:rPr>
          <w:tab/>
        </w:r>
        <w:r w:rsidR="00544F0F">
          <w:rPr>
            <w:noProof/>
            <w:webHidden/>
          </w:rPr>
          <w:fldChar w:fldCharType="begin"/>
        </w:r>
        <w:r w:rsidR="00544F0F">
          <w:rPr>
            <w:noProof/>
            <w:webHidden/>
          </w:rPr>
          <w:instrText xml:space="preserve"> PAGEREF _Toc511656268 \h </w:instrText>
        </w:r>
        <w:r w:rsidR="00544F0F">
          <w:rPr>
            <w:noProof/>
            <w:webHidden/>
          </w:rPr>
        </w:r>
        <w:r w:rsidR="00544F0F">
          <w:rPr>
            <w:noProof/>
            <w:webHidden/>
          </w:rPr>
          <w:fldChar w:fldCharType="separate"/>
        </w:r>
        <w:r w:rsidR="008078F6">
          <w:rPr>
            <w:noProof/>
            <w:webHidden/>
          </w:rPr>
          <w:t>18</w:t>
        </w:r>
        <w:r w:rsidR="00544F0F">
          <w:rPr>
            <w:noProof/>
            <w:webHidden/>
          </w:rPr>
          <w:fldChar w:fldCharType="end"/>
        </w:r>
      </w:hyperlink>
    </w:p>
    <w:p w:rsidR="00544F0F" w:rsidRDefault="008957BE">
      <w:pPr>
        <w:pStyle w:val="TOC1"/>
        <w:tabs>
          <w:tab w:val="right" w:leader="dot" w:pos="9040"/>
        </w:tabs>
        <w:rPr>
          <w:rFonts w:asciiTheme="minorHAnsi" w:eastAsiaTheme="minorEastAsia" w:hAnsiTheme="minorHAnsi"/>
          <w:b w:val="0"/>
          <w:caps w:val="0"/>
          <w:noProof/>
          <w:color w:val="auto"/>
          <w:sz w:val="22"/>
          <w:lang w:val="nl-BE" w:eastAsia="nl-BE"/>
        </w:rPr>
      </w:pPr>
      <w:hyperlink w:anchor="_Toc511656269" w:history="1">
        <w:r w:rsidR="00544F0F" w:rsidRPr="000C2C4E">
          <w:rPr>
            <w:rStyle w:val="Hyperlink"/>
            <w:noProof/>
          </w:rPr>
          <w:t>2.</w:t>
        </w:r>
        <w:r w:rsidR="00544F0F">
          <w:rPr>
            <w:rFonts w:asciiTheme="minorHAnsi" w:eastAsiaTheme="minorEastAsia" w:hAnsiTheme="minorHAnsi"/>
            <w:b w:val="0"/>
            <w:caps w:val="0"/>
            <w:noProof/>
            <w:color w:val="auto"/>
            <w:sz w:val="22"/>
            <w:lang w:val="nl-BE" w:eastAsia="nl-BE"/>
          </w:rPr>
          <w:tab/>
        </w:r>
        <w:r w:rsidR="00544F0F" w:rsidRPr="000C2C4E">
          <w:rPr>
            <w:rStyle w:val="Hyperlink"/>
            <w:noProof/>
          </w:rPr>
          <w:t>Hoe innovatie in POP's te evalueren?</w:t>
        </w:r>
        <w:r w:rsidR="00544F0F">
          <w:rPr>
            <w:noProof/>
            <w:webHidden/>
          </w:rPr>
          <w:tab/>
        </w:r>
        <w:r w:rsidR="00544F0F">
          <w:rPr>
            <w:noProof/>
            <w:webHidden/>
          </w:rPr>
          <w:fldChar w:fldCharType="begin"/>
        </w:r>
        <w:r w:rsidR="00544F0F">
          <w:rPr>
            <w:noProof/>
            <w:webHidden/>
          </w:rPr>
          <w:instrText xml:space="preserve"> PAGEREF _Toc511656269 \h </w:instrText>
        </w:r>
        <w:r w:rsidR="00544F0F">
          <w:rPr>
            <w:noProof/>
            <w:webHidden/>
          </w:rPr>
        </w:r>
        <w:r w:rsidR="00544F0F">
          <w:rPr>
            <w:noProof/>
            <w:webHidden/>
          </w:rPr>
          <w:fldChar w:fldCharType="separate"/>
        </w:r>
        <w:r w:rsidR="008078F6">
          <w:rPr>
            <w:noProof/>
            <w:webHidden/>
          </w:rPr>
          <w:t>20</w:t>
        </w:r>
        <w:r w:rsidR="00544F0F">
          <w:rPr>
            <w:noProof/>
            <w:webHidden/>
          </w:rPr>
          <w:fldChar w:fldCharType="end"/>
        </w:r>
      </w:hyperlink>
    </w:p>
    <w:p w:rsidR="00544F0F" w:rsidRDefault="008957BE">
      <w:pPr>
        <w:pStyle w:val="TOC2"/>
        <w:tabs>
          <w:tab w:val="right" w:leader="dot" w:pos="9040"/>
        </w:tabs>
        <w:rPr>
          <w:rFonts w:asciiTheme="minorHAnsi" w:eastAsiaTheme="minorEastAsia" w:hAnsiTheme="minorHAnsi"/>
          <w:noProof/>
          <w:color w:val="auto"/>
          <w:sz w:val="22"/>
          <w:lang w:val="nl-BE" w:eastAsia="nl-BE"/>
        </w:rPr>
      </w:pPr>
      <w:hyperlink w:anchor="_Toc511656270" w:history="1">
        <w:r w:rsidR="00544F0F" w:rsidRPr="000C2C4E">
          <w:rPr>
            <w:rStyle w:val="Hyperlink"/>
            <w:noProof/>
          </w:rPr>
          <w:t>2.1</w:t>
        </w:r>
        <w:r w:rsidR="00544F0F">
          <w:rPr>
            <w:rFonts w:asciiTheme="minorHAnsi" w:eastAsiaTheme="minorEastAsia" w:hAnsiTheme="minorHAnsi"/>
            <w:noProof/>
            <w:color w:val="auto"/>
            <w:sz w:val="22"/>
            <w:lang w:val="nl-BE" w:eastAsia="nl-BE"/>
          </w:rPr>
          <w:tab/>
        </w:r>
        <w:r w:rsidR="00544F0F" w:rsidRPr="000C2C4E">
          <w:rPr>
            <w:rStyle w:val="Hyperlink"/>
            <w:noProof/>
          </w:rPr>
          <w:t>Voorgestelde aanpak ter evaluatie van innovatie in POP's 2014-2020 (overzicht)</w:t>
        </w:r>
        <w:r w:rsidR="00544F0F">
          <w:rPr>
            <w:noProof/>
            <w:webHidden/>
          </w:rPr>
          <w:tab/>
        </w:r>
        <w:r w:rsidR="00544F0F">
          <w:rPr>
            <w:noProof/>
            <w:webHidden/>
          </w:rPr>
          <w:fldChar w:fldCharType="begin"/>
        </w:r>
        <w:r w:rsidR="00544F0F">
          <w:rPr>
            <w:noProof/>
            <w:webHidden/>
          </w:rPr>
          <w:instrText xml:space="preserve"> PAGEREF _Toc511656270 \h </w:instrText>
        </w:r>
        <w:r w:rsidR="00544F0F">
          <w:rPr>
            <w:noProof/>
            <w:webHidden/>
          </w:rPr>
        </w:r>
        <w:r w:rsidR="00544F0F">
          <w:rPr>
            <w:noProof/>
            <w:webHidden/>
          </w:rPr>
          <w:fldChar w:fldCharType="separate"/>
        </w:r>
        <w:r w:rsidR="008078F6">
          <w:rPr>
            <w:noProof/>
            <w:webHidden/>
          </w:rPr>
          <w:t>20</w:t>
        </w:r>
        <w:r w:rsidR="00544F0F">
          <w:rPr>
            <w:noProof/>
            <w:webHidden/>
          </w:rPr>
          <w:fldChar w:fldCharType="end"/>
        </w:r>
      </w:hyperlink>
    </w:p>
    <w:p w:rsidR="00544F0F" w:rsidRDefault="008957BE">
      <w:pPr>
        <w:pStyle w:val="TOC2"/>
        <w:tabs>
          <w:tab w:val="right" w:leader="dot" w:pos="9040"/>
        </w:tabs>
        <w:rPr>
          <w:rFonts w:asciiTheme="minorHAnsi" w:eastAsiaTheme="minorEastAsia" w:hAnsiTheme="minorHAnsi"/>
          <w:noProof/>
          <w:color w:val="auto"/>
          <w:sz w:val="22"/>
          <w:lang w:val="nl-BE" w:eastAsia="nl-BE"/>
        </w:rPr>
      </w:pPr>
      <w:hyperlink w:anchor="_Toc511656271" w:history="1">
        <w:r w:rsidR="00544F0F" w:rsidRPr="000C2C4E">
          <w:rPr>
            <w:rStyle w:val="Hyperlink"/>
            <w:noProof/>
          </w:rPr>
          <w:t>2.2</w:t>
        </w:r>
        <w:r w:rsidR="00544F0F">
          <w:rPr>
            <w:rFonts w:asciiTheme="minorHAnsi" w:eastAsiaTheme="minorEastAsia" w:hAnsiTheme="minorHAnsi"/>
            <w:noProof/>
            <w:color w:val="auto"/>
            <w:sz w:val="22"/>
            <w:lang w:val="nl-BE" w:eastAsia="nl-BE"/>
          </w:rPr>
          <w:tab/>
        </w:r>
        <w:r w:rsidR="00544F0F" w:rsidRPr="000C2C4E">
          <w:rPr>
            <w:rStyle w:val="Hyperlink"/>
            <w:noProof/>
          </w:rPr>
          <w:t>Het innovatiepotentieel van POP-maatregelen/-submaatregelen screenen (aanbevolen)</w:t>
        </w:r>
        <w:r w:rsidR="00544F0F">
          <w:rPr>
            <w:noProof/>
            <w:webHidden/>
          </w:rPr>
          <w:tab/>
        </w:r>
        <w:r w:rsidR="00544F0F">
          <w:rPr>
            <w:noProof/>
            <w:webHidden/>
          </w:rPr>
          <w:fldChar w:fldCharType="begin"/>
        </w:r>
        <w:r w:rsidR="00544F0F">
          <w:rPr>
            <w:noProof/>
            <w:webHidden/>
          </w:rPr>
          <w:instrText xml:space="preserve"> PAGEREF _Toc511656271 \h </w:instrText>
        </w:r>
        <w:r w:rsidR="00544F0F">
          <w:rPr>
            <w:noProof/>
            <w:webHidden/>
          </w:rPr>
        </w:r>
        <w:r w:rsidR="00544F0F">
          <w:rPr>
            <w:noProof/>
            <w:webHidden/>
          </w:rPr>
          <w:fldChar w:fldCharType="separate"/>
        </w:r>
        <w:r w:rsidR="008078F6">
          <w:rPr>
            <w:noProof/>
            <w:webHidden/>
          </w:rPr>
          <w:t>24</w:t>
        </w:r>
        <w:r w:rsidR="00544F0F">
          <w:rPr>
            <w:noProof/>
            <w:webHidden/>
          </w:rPr>
          <w:fldChar w:fldCharType="end"/>
        </w:r>
      </w:hyperlink>
    </w:p>
    <w:p w:rsidR="00544F0F" w:rsidRDefault="008957BE">
      <w:pPr>
        <w:pStyle w:val="TOC2"/>
        <w:tabs>
          <w:tab w:val="right" w:leader="dot" w:pos="9040"/>
        </w:tabs>
        <w:rPr>
          <w:rFonts w:asciiTheme="minorHAnsi" w:eastAsiaTheme="minorEastAsia" w:hAnsiTheme="minorHAnsi"/>
          <w:noProof/>
          <w:color w:val="auto"/>
          <w:sz w:val="22"/>
          <w:lang w:val="nl-BE" w:eastAsia="nl-BE"/>
        </w:rPr>
      </w:pPr>
      <w:hyperlink w:anchor="_Toc511656272" w:history="1">
        <w:r w:rsidR="00544F0F" w:rsidRPr="000C2C4E">
          <w:rPr>
            <w:rStyle w:val="Hyperlink"/>
            <w:noProof/>
          </w:rPr>
          <w:t>2.3</w:t>
        </w:r>
        <w:r w:rsidR="00544F0F">
          <w:rPr>
            <w:rFonts w:asciiTheme="minorHAnsi" w:eastAsiaTheme="minorEastAsia" w:hAnsiTheme="minorHAnsi"/>
            <w:noProof/>
            <w:color w:val="auto"/>
            <w:sz w:val="22"/>
            <w:lang w:val="nl-BE" w:eastAsia="nl-BE"/>
          </w:rPr>
          <w:tab/>
        </w:r>
        <w:r w:rsidR="00544F0F" w:rsidRPr="000C2C4E">
          <w:rPr>
            <w:rStyle w:val="Hyperlink"/>
            <w:noProof/>
          </w:rPr>
          <w:t>De gemeenschappelijke evaluatie-elementen voor innovatie aanvullen (aanbevolen)</w:t>
        </w:r>
        <w:r w:rsidR="00544F0F">
          <w:rPr>
            <w:noProof/>
            <w:webHidden/>
          </w:rPr>
          <w:tab/>
        </w:r>
        <w:r w:rsidR="00544F0F">
          <w:rPr>
            <w:noProof/>
            <w:webHidden/>
          </w:rPr>
          <w:fldChar w:fldCharType="begin"/>
        </w:r>
        <w:r w:rsidR="00544F0F">
          <w:rPr>
            <w:noProof/>
            <w:webHidden/>
          </w:rPr>
          <w:instrText xml:space="preserve"> PAGEREF _Toc511656272 \h </w:instrText>
        </w:r>
        <w:r w:rsidR="00544F0F">
          <w:rPr>
            <w:noProof/>
            <w:webHidden/>
          </w:rPr>
        </w:r>
        <w:r w:rsidR="00544F0F">
          <w:rPr>
            <w:noProof/>
            <w:webHidden/>
          </w:rPr>
          <w:fldChar w:fldCharType="separate"/>
        </w:r>
        <w:r w:rsidR="008078F6">
          <w:rPr>
            <w:noProof/>
            <w:webHidden/>
          </w:rPr>
          <w:t>27</w:t>
        </w:r>
        <w:r w:rsidR="00544F0F">
          <w:rPr>
            <w:noProof/>
            <w:webHidden/>
          </w:rPr>
          <w:fldChar w:fldCharType="end"/>
        </w:r>
      </w:hyperlink>
    </w:p>
    <w:p w:rsidR="00544F0F" w:rsidRDefault="008957BE">
      <w:pPr>
        <w:pStyle w:val="TOC2"/>
        <w:tabs>
          <w:tab w:val="right" w:leader="dot" w:pos="9040"/>
        </w:tabs>
        <w:rPr>
          <w:rFonts w:asciiTheme="minorHAnsi" w:eastAsiaTheme="minorEastAsia" w:hAnsiTheme="minorHAnsi"/>
          <w:noProof/>
          <w:color w:val="auto"/>
          <w:sz w:val="22"/>
          <w:lang w:val="nl-BE" w:eastAsia="nl-BE"/>
        </w:rPr>
      </w:pPr>
      <w:hyperlink w:anchor="_Toc511656273" w:history="1">
        <w:r w:rsidR="00544F0F" w:rsidRPr="000C2C4E">
          <w:rPr>
            <w:rStyle w:val="Hyperlink"/>
            <w:noProof/>
            <w:snapToGrid w:val="0"/>
          </w:rPr>
          <w:t>2.4</w:t>
        </w:r>
        <w:r w:rsidR="00544F0F">
          <w:rPr>
            <w:rFonts w:asciiTheme="minorHAnsi" w:eastAsiaTheme="minorEastAsia" w:hAnsiTheme="minorHAnsi"/>
            <w:noProof/>
            <w:color w:val="auto"/>
            <w:sz w:val="22"/>
            <w:lang w:val="nl-BE" w:eastAsia="nl-BE"/>
          </w:rPr>
          <w:tab/>
        </w:r>
        <w:r w:rsidR="00544F0F" w:rsidRPr="000C2C4E">
          <w:rPr>
            <w:rStyle w:val="Hyperlink"/>
            <w:noProof/>
          </w:rPr>
          <w:t>De relevante gemeenschappelijke evaluatievragen beantwoorden (verplicht)</w:t>
        </w:r>
        <w:r w:rsidR="00544F0F">
          <w:rPr>
            <w:noProof/>
            <w:webHidden/>
          </w:rPr>
          <w:tab/>
        </w:r>
        <w:r w:rsidR="00544F0F">
          <w:rPr>
            <w:noProof/>
            <w:webHidden/>
          </w:rPr>
          <w:fldChar w:fldCharType="begin"/>
        </w:r>
        <w:r w:rsidR="00544F0F">
          <w:rPr>
            <w:noProof/>
            <w:webHidden/>
          </w:rPr>
          <w:instrText xml:space="preserve"> PAGEREF _Toc511656273 \h </w:instrText>
        </w:r>
        <w:r w:rsidR="00544F0F">
          <w:rPr>
            <w:noProof/>
            <w:webHidden/>
          </w:rPr>
        </w:r>
        <w:r w:rsidR="00544F0F">
          <w:rPr>
            <w:noProof/>
            <w:webHidden/>
          </w:rPr>
          <w:fldChar w:fldCharType="separate"/>
        </w:r>
        <w:r w:rsidR="008078F6">
          <w:rPr>
            <w:noProof/>
            <w:webHidden/>
          </w:rPr>
          <w:t>28</w:t>
        </w:r>
        <w:r w:rsidR="00544F0F">
          <w:rPr>
            <w:noProof/>
            <w:webHidden/>
          </w:rPr>
          <w:fldChar w:fldCharType="end"/>
        </w:r>
      </w:hyperlink>
    </w:p>
    <w:p w:rsidR="00544F0F" w:rsidRDefault="008957BE">
      <w:pPr>
        <w:pStyle w:val="TOC3"/>
        <w:tabs>
          <w:tab w:val="right" w:leader="dot" w:pos="9040"/>
        </w:tabs>
        <w:rPr>
          <w:rFonts w:asciiTheme="minorHAnsi" w:eastAsiaTheme="minorEastAsia" w:hAnsiTheme="minorHAnsi"/>
          <w:noProof/>
          <w:color w:val="auto"/>
          <w:sz w:val="22"/>
          <w:lang w:val="nl-BE" w:eastAsia="nl-BE"/>
        </w:rPr>
      </w:pPr>
      <w:hyperlink w:anchor="_Toc511656274" w:history="1">
        <w:r w:rsidR="00544F0F" w:rsidRPr="000C2C4E">
          <w:rPr>
            <w:rStyle w:val="Hyperlink"/>
            <w:noProof/>
          </w:rPr>
          <w:t>2.4.1</w:t>
        </w:r>
        <w:r w:rsidR="00544F0F">
          <w:rPr>
            <w:rFonts w:asciiTheme="minorHAnsi" w:eastAsiaTheme="minorEastAsia" w:hAnsiTheme="minorHAnsi"/>
            <w:noProof/>
            <w:color w:val="auto"/>
            <w:sz w:val="22"/>
            <w:lang w:val="nl-BE" w:eastAsia="nl-BE"/>
          </w:rPr>
          <w:tab/>
        </w:r>
        <w:r w:rsidR="00544F0F" w:rsidRPr="000C2C4E">
          <w:rPr>
            <w:rStyle w:val="Hyperlink"/>
            <w:noProof/>
          </w:rPr>
          <w:t>CEQ nr. 1: "In hoeverre hebben de steunmaatregelen in het kader van het POP innovatie, samenwerking en de ontwikkeling van de kennisbasis in plattelandsgebieden ondersteund?"</w:t>
        </w:r>
        <w:r w:rsidR="00544F0F">
          <w:rPr>
            <w:noProof/>
            <w:webHidden/>
          </w:rPr>
          <w:tab/>
        </w:r>
        <w:r w:rsidR="00544F0F">
          <w:rPr>
            <w:noProof/>
            <w:webHidden/>
          </w:rPr>
          <w:fldChar w:fldCharType="begin"/>
        </w:r>
        <w:r w:rsidR="00544F0F">
          <w:rPr>
            <w:noProof/>
            <w:webHidden/>
          </w:rPr>
          <w:instrText xml:space="preserve"> PAGEREF _Toc511656274 \h </w:instrText>
        </w:r>
        <w:r w:rsidR="00544F0F">
          <w:rPr>
            <w:noProof/>
            <w:webHidden/>
          </w:rPr>
        </w:r>
        <w:r w:rsidR="00544F0F">
          <w:rPr>
            <w:noProof/>
            <w:webHidden/>
          </w:rPr>
          <w:fldChar w:fldCharType="separate"/>
        </w:r>
        <w:r w:rsidR="008078F6">
          <w:rPr>
            <w:noProof/>
            <w:webHidden/>
          </w:rPr>
          <w:t>29</w:t>
        </w:r>
        <w:r w:rsidR="00544F0F">
          <w:rPr>
            <w:noProof/>
            <w:webHidden/>
          </w:rPr>
          <w:fldChar w:fldCharType="end"/>
        </w:r>
      </w:hyperlink>
    </w:p>
    <w:p w:rsidR="00544F0F" w:rsidRDefault="008957BE">
      <w:pPr>
        <w:pStyle w:val="TOC3"/>
        <w:tabs>
          <w:tab w:val="right" w:leader="dot" w:pos="9040"/>
        </w:tabs>
        <w:rPr>
          <w:rFonts w:asciiTheme="minorHAnsi" w:eastAsiaTheme="minorEastAsia" w:hAnsiTheme="minorHAnsi"/>
          <w:noProof/>
          <w:color w:val="auto"/>
          <w:sz w:val="22"/>
          <w:lang w:val="nl-BE" w:eastAsia="nl-BE"/>
        </w:rPr>
      </w:pPr>
      <w:hyperlink w:anchor="_Toc511656275" w:history="1">
        <w:r w:rsidR="00544F0F" w:rsidRPr="000C2C4E">
          <w:rPr>
            <w:rStyle w:val="Hyperlink"/>
            <w:noProof/>
          </w:rPr>
          <w:t>2.4.2</w:t>
        </w:r>
        <w:r w:rsidR="00544F0F">
          <w:rPr>
            <w:rFonts w:asciiTheme="minorHAnsi" w:eastAsiaTheme="minorEastAsia" w:hAnsiTheme="minorHAnsi"/>
            <w:noProof/>
            <w:color w:val="auto"/>
            <w:sz w:val="22"/>
            <w:lang w:val="nl-BE" w:eastAsia="nl-BE"/>
          </w:rPr>
          <w:tab/>
        </w:r>
        <w:r w:rsidR="00544F0F" w:rsidRPr="000C2C4E">
          <w:rPr>
            <w:rStyle w:val="Hyperlink"/>
            <w:noProof/>
          </w:rPr>
          <w:t>CEQ nr. 2: "In hoeverre hebben steunmaatregelen in het kader van het POP bijgedragen aan het verstevigen van de banden tussen landbouw, voedselproductie en bosbouw en onderzoek en innovatie, waaronder met het oog op beter milieubeheer en betere milieuprestaties?"</w:t>
        </w:r>
        <w:r w:rsidR="00544F0F">
          <w:rPr>
            <w:noProof/>
            <w:webHidden/>
          </w:rPr>
          <w:tab/>
        </w:r>
        <w:r w:rsidR="00544F0F">
          <w:rPr>
            <w:noProof/>
            <w:webHidden/>
          </w:rPr>
          <w:fldChar w:fldCharType="begin"/>
        </w:r>
        <w:r w:rsidR="00544F0F">
          <w:rPr>
            <w:noProof/>
            <w:webHidden/>
          </w:rPr>
          <w:instrText xml:space="preserve"> PAGEREF _Toc511656275 \h </w:instrText>
        </w:r>
        <w:r w:rsidR="00544F0F">
          <w:rPr>
            <w:noProof/>
            <w:webHidden/>
          </w:rPr>
        </w:r>
        <w:r w:rsidR="00544F0F">
          <w:rPr>
            <w:noProof/>
            <w:webHidden/>
          </w:rPr>
          <w:fldChar w:fldCharType="separate"/>
        </w:r>
        <w:r w:rsidR="008078F6">
          <w:rPr>
            <w:noProof/>
            <w:webHidden/>
          </w:rPr>
          <w:t>39</w:t>
        </w:r>
        <w:r w:rsidR="00544F0F">
          <w:rPr>
            <w:noProof/>
            <w:webHidden/>
          </w:rPr>
          <w:fldChar w:fldCharType="end"/>
        </w:r>
      </w:hyperlink>
    </w:p>
    <w:p w:rsidR="00544F0F" w:rsidRDefault="008957BE">
      <w:pPr>
        <w:pStyle w:val="TOC3"/>
        <w:tabs>
          <w:tab w:val="right" w:leader="dot" w:pos="9040"/>
        </w:tabs>
        <w:rPr>
          <w:rFonts w:asciiTheme="minorHAnsi" w:eastAsiaTheme="minorEastAsia" w:hAnsiTheme="minorHAnsi"/>
          <w:noProof/>
          <w:color w:val="auto"/>
          <w:sz w:val="22"/>
          <w:lang w:val="nl-BE" w:eastAsia="nl-BE"/>
        </w:rPr>
      </w:pPr>
      <w:hyperlink w:anchor="_Toc511656276" w:history="1">
        <w:r w:rsidR="00544F0F" w:rsidRPr="000C2C4E">
          <w:rPr>
            <w:rStyle w:val="Hyperlink"/>
            <w:noProof/>
          </w:rPr>
          <w:t>2.4.3</w:t>
        </w:r>
        <w:r w:rsidR="00544F0F">
          <w:rPr>
            <w:rFonts w:asciiTheme="minorHAnsi" w:eastAsiaTheme="minorEastAsia" w:hAnsiTheme="minorHAnsi"/>
            <w:noProof/>
            <w:color w:val="auto"/>
            <w:sz w:val="22"/>
            <w:lang w:val="nl-BE" w:eastAsia="nl-BE"/>
          </w:rPr>
          <w:tab/>
        </w:r>
        <w:r w:rsidR="00544F0F" w:rsidRPr="000C2C4E">
          <w:rPr>
            <w:rStyle w:val="Hyperlink"/>
            <w:noProof/>
          </w:rPr>
          <w:t>CEQ nr. 21: "In welke mate heeft het nationale netwerk voor het platteland bijgedragen aan het verwezenlijken van de doelstellingen die in artikel 54, lid 2, van Verordening (EU) nr. 1305/2013 zijn vastgelegd?"</w:t>
        </w:r>
        <w:r w:rsidR="00544F0F">
          <w:rPr>
            <w:noProof/>
            <w:webHidden/>
          </w:rPr>
          <w:tab/>
        </w:r>
        <w:r w:rsidR="00544F0F">
          <w:rPr>
            <w:noProof/>
            <w:webHidden/>
          </w:rPr>
          <w:fldChar w:fldCharType="begin"/>
        </w:r>
        <w:r w:rsidR="00544F0F">
          <w:rPr>
            <w:noProof/>
            <w:webHidden/>
          </w:rPr>
          <w:instrText xml:space="preserve"> PAGEREF _Toc511656276 \h </w:instrText>
        </w:r>
        <w:r w:rsidR="00544F0F">
          <w:rPr>
            <w:noProof/>
            <w:webHidden/>
          </w:rPr>
        </w:r>
        <w:r w:rsidR="00544F0F">
          <w:rPr>
            <w:noProof/>
            <w:webHidden/>
          </w:rPr>
          <w:fldChar w:fldCharType="separate"/>
        </w:r>
        <w:r w:rsidR="008078F6">
          <w:rPr>
            <w:noProof/>
            <w:webHidden/>
          </w:rPr>
          <w:t>48</w:t>
        </w:r>
        <w:r w:rsidR="00544F0F">
          <w:rPr>
            <w:noProof/>
            <w:webHidden/>
          </w:rPr>
          <w:fldChar w:fldCharType="end"/>
        </w:r>
      </w:hyperlink>
    </w:p>
    <w:p w:rsidR="00544F0F" w:rsidRDefault="008957BE">
      <w:pPr>
        <w:pStyle w:val="TOC3"/>
        <w:tabs>
          <w:tab w:val="right" w:leader="dot" w:pos="9040"/>
        </w:tabs>
        <w:rPr>
          <w:rFonts w:asciiTheme="minorHAnsi" w:eastAsiaTheme="minorEastAsia" w:hAnsiTheme="minorHAnsi"/>
          <w:noProof/>
          <w:color w:val="auto"/>
          <w:sz w:val="22"/>
          <w:lang w:val="nl-BE" w:eastAsia="nl-BE"/>
        </w:rPr>
      </w:pPr>
      <w:hyperlink w:anchor="_Toc511656277" w:history="1">
        <w:r w:rsidR="00544F0F" w:rsidRPr="000C2C4E">
          <w:rPr>
            <w:rStyle w:val="Hyperlink"/>
            <w:noProof/>
          </w:rPr>
          <w:t>2.4.4</w:t>
        </w:r>
        <w:r w:rsidR="00544F0F">
          <w:rPr>
            <w:rFonts w:asciiTheme="minorHAnsi" w:eastAsiaTheme="minorEastAsia" w:hAnsiTheme="minorHAnsi"/>
            <w:noProof/>
            <w:color w:val="auto"/>
            <w:sz w:val="22"/>
            <w:lang w:val="nl-BE" w:eastAsia="nl-BE"/>
          </w:rPr>
          <w:tab/>
        </w:r>
        <w:r w:rsidR="00544F0F" w:rsidRPr="000C2C4E">
          <w:rPr>
            <w:rStyle w:val="Hyperlink"/>
            <w:noProof/>
          </w:rPr>
          <w:t>CEQ nr. 23: "In hoeverre heeft het POP bijgedragen aan het verwezenlijken van de Europa 2020-kerndoelstelling om 3 % van het bbp van de EU te investeren in onderzoek en ontwikkeling en innovatie?"</w:t>
        </w:r>
        <w:r w:rsidR="00544F0F">
          <w:rPr>
            <w:noProof/>
            <w:webHidden/>
          </w:rPr>
          <w:tab/>
        </w:r>
        <w:r w:rsidR="00544F0F">
          <w:rPr>
            <w:noProof/>
            <w:webHidden/>
          </w:rPr>
          <w:fldChar w:fldCharType="begin"/>
        </w:r>
        <w:r w:rsidR="00544F0F">
          <w:rPr>
            <w:noProof/>
            <w:webHidden/>
          </w:rPr>
          <w:instrText xml:space="preserve"> PAGEREF _Toc511656277 \h </w:instrText>
        </w:r>
        <w:r w:rsidR="00544F0F">
          <w:rPr>
            <w:noProof/>
            <w:webHidden/>
          </w:rPr>
        </w:r>
        <w:r w:rsidR="00544F0F">
          <w:rPr>
            <w:noProof/>
            <w:webHidden/>
          </w:rPr>
          <w:fldChar w:fldCharType="separate"/>
        </w:r>
        <w:r w:rsidR="008078F6">
          <w:rPr>
            <w:noProof/>
            <w:webHidden/>
          </w:rPr>
          <w:t>61</w:t>
        </w:r>
        <w:r w:rsidR="00544F0F">
          <w:rPr>
            <w:noProof/>
            <w:webHidden/>
          </w:rPr>
          <w:fldChar w:fldCharType="end"/>
        </w:r>
      </w:hyperlink>
    </w:p>
    <w:p w:rsidR="00544F0F" w:rsidRDefault="008957BE">
      <w:pPr>
        <w:pStyle w:val="TOC3"/>
        <w:tabs>
          <w:tab w:val="right" w:leader="dot" w:pos="9040"/>
        </w:tabs>
        <w:rPr>
          <w:rFonts w:asciiTheme="minorHAnsi" w:eastAsiaTheme="minorEastAsia" w:hAnsiTheme="minorHAnsi"/>
          <w:noProof/>
          <w:color w:val="auto"/>
          <w:sz w:val="22"/>
          <w:lang w:val="nl-BE" w:eastAsia="nl-BE"/>
        </w:rPr>
      </w:pPr>
      <w:hyperlink w:anchor="_Toc511656278" w:history="1">
        <w:r w:rsidR="00544F0F" w:rsidRPr="000C2C4E">
          <w:rPr>
            <w:rStyle w:val="Hyperlink"/>
            <w:noProof/>
          </w:rPr>
          <w:t>2.4.5</w:t>
        </w:r>
        <w:r w:rsidR="00544F0F">
          <w:rPr>
            <w:rFonts w:asciiTheme="minorHAnsi" w:eastAsiaTheme="minorEastAsia" w:hAnsiTheme="minorHAnsi"/>
            <w:noProof/>
            <w:color w:val="auto"/>
            <w:sz w:val="22"/>
            <w:lang w:val="nl-BE" w:eastAsia="nl-BE"/>
          </w:rPr>
          <w:tab/>
        </w:r>
        <w:r w:rsidR="00544F0F" w:rsidRPr="000C2C4E">
          <w:rPr>
            <w:rStyle w:val="Hyperlink"/>
            <w:noProof/>
          </w:rPr>
          <w:t>CEQ nr. 30: "In hoeverre hebben de steunmaatregelen in het kader van het POP bijgedragen aan het bevorderen van innovatie?"</w:t>
        </w:r>
        <w:r w:rsidR="00544F0F">
          <w:rPr>
            <w:noProof/>
            <w:webHidden/>
          </w:rPr>
          <w:tab/>
        </w:r>
        <w:r w:rsidR="00544F0F">
          <w:rPr>
            <w:noProof/>
            <w:webHidden/>
          </w:rPr>
          <w:fldChar w:fldCharType="begin"/>
        </w:r>
        <w:r w:rsidR="00544F0F">
          <w:rPr>
            <w:noProof/>
            <w:webHidden/>
          </w:rPr>
          <w:instrText xml:space="preserve"> PAGEREF _Toc511656278 \h </w:instrText>
        </w:r>
        <w:r w:rsidR="00544F0F">
          <w:rPr>
            <w:noProof/>
            <w:webHidden/>
          </w:rPr>
        </w:r>
        <w:r w:rsidR="00544F0F">
          <w:rPr>
            <w:noProof/>
            <w:webHidden/>
          </w:rPr>
          <w:fldChar w:fldCharType="separate"/>
        </w:r>
        <w:r w:rsidR="008078F6">
          <w:rPr>
            <w:noProof/>
            <w:webHidden/>
          </w:rPr>
          <w:t>69</w:t>
        </w:r>
        <w:r w:rsidR="00544F0F">
          <w:rPr>
            <w:noProof/>
            <w:webHidden/>
          </w:rPr>
          <w:fldChar w:fldCharType="end"/>
        </w:r>
      </w:hyperlink>
    </w:p>
    <w:p w:rsidR="00544F0F" w:rsidRDefault="008957BE">
      <w:pPr>
        <w:pStyle w:val="TOC1"/>
        <w:tabs>
          <w:tab w:val="right" w:leader="dot" w:pos="9040"/>
        </w:tabs>
        <w:rPr>
          <w:rFonts w:asciiTheme="minorHAnsi" w:eastAsiaTheme="minorEastAsia" w:hAnsiTheme="minorHAnsi"/>
          <w:b w:val="0"/>
          <w:caps w:val="0"/>
          <w:noProof/>
          <w:color w:val="auto"/>
          <w:sz w:val="22"/>
          <w:lang w:val="nl-BE" w:eastAsia="nl-BE"/>
        </w:rPr>
      </w:pPr>
      <w:hyperlink w:anchor="_Toc511656279" w:history="1">
        <w:r w:rsidR="00544F0F" w:rsidRPr="000C2C4E">
          <w:rPr>
            <w:rStyle w:val="Hyperlink"/>
            <w:noProof/>
          </w:rPr>
          <w:t>3.</w:t>
        </w:r>
        <w:r w:rsidR="00544F0F">
          <w:rPr>
            <w:rFonts w:asciiTheme="minorHAnsi" w:eastAsiaTheme="minorEastAsia" w:hAnsiTheme="minorHAnsi"/>
            <w:b w:val="0"/>
            <w:caps w:val="0"/>
            <w:noProof/>
            <w:color w:val="auto"/>
            <w:sz w:val="22"/>
            <w:lang w:val="nl-BE" w:eastAsia="nl-BE"/>
          </w:rPr>
          <w:tab/>
        </w:r>
        <w:r w:rsidR="00544F0F" w:rsidRPr="000C2C4E">
          <w:rPr>
            <w:rStyle w:val="Hyperlink"/>
            <w:noProof/>
          </w:rPr>
          <w:t>BIJLAGEN</w:t>
        </w:r>
        <w:r w:rsidR="00544F0F">
          <w:rPr>
            <w:noProof/>
            <w:webHidden/>
          </w:rPr>
          <w:tab/>
        </w:r>
        <w:r w:rsidR="00544F0F">
          <w:rPr>
            <w:noProof/>
            <w:webHidden/>
          </w:rPr>
          <w:fldChar w:fldCharType="begin"/>
        </w:r>
        <w:r w:rsidR="00544F0F">
          <w:rPr>
            <w:noProof/>
            <w:webHidden/>
          </w:rPr>
          <w:instrText xml:space="preserve"> PAGEREF _Toc511656279 \h </w:instrText>
        </w:r>
        <w:r w:rsidR="00544F0F">
          <w:rPr>
            <w:noProof/>
            <w:webHidden/>
          </w:rPr>
        </w:r>
        <w:r w:rsidR="00544F0F">
          <w:rPr>
            <w:noProof/>
            <w:webHidden/>
          </w:rPr>
          <w:fldChar w:fldCharType="separate"/>
        </w:r>
        <w:r w:rsidR="008078F6">
          <w:rPr>
            <w:noProof/>
            <w:webHidden/>
          </w:rPr>
          <w:t>83</w:t>
        </w:r>
        <w:r w:rsidR="00544F0F">
          <w:rPr>
            <w:noProof/>
            <w:webHidden/>
          </w:rPr>
          <w:fldChar w:fldCharType="end"/>
        </w:r>
      </w:hyperlink>
    </w:p>
    <w:p w:rsidR="00544F0F" w:rsidRDefault="008957BE">
      <w:pPr>
        <w:pStyle w:val="TOC2"/>
        <w:tabs>
          <w:tab w:val="right" w:leader="dot" w:pos="9040"/>
        </w:tabs>
        <w:rPr>
          <w:rFonts w:asciiTheme="minorHAnsi" w:eastAsiaTheme="minorEastAsia" w:hAnsiTheme="minorHAnsi"/>
          <w:noProof/>
          <w:color w:val="auto"/>
          <w:sz w:val="22"/>
          <w:lang w:val="nl-BE" w:eastAsia="nl-BE"/>
        </w:rPr>
      </w:pPr>
      <w:hyperlink w:anchor="_Toc511656280" w:history="1">
        <w:r w:rsidR="00544F0F" w:rsidRPr="000C2C4E">
          <w:rPr>
            <w:rStyle w:val="Hyperlink"/>
            <w:noProof/>
          </w:rPr>
          <w:t>3.1</w:t>
        </w:r>
        <w:r w:rsidR="00544F0F">
          <w:rPr>
            <w:rFonts w:asciiTheme="minorHAnsi" w:eastAsiaTheme="minorEastAsia" w:hAnsiTheme="minorHAnsi"/>
            <w:noProof/>
            <w:color w:val="auto"/>
            <w:sz w:val="22"/>
            <w:lang w:val="nl-BE" w:eastAsia="nl-BE"/>
          </w:rPr>
          <w:tab/>
        </w:r>
        <w:r w:rsidR="00544F0F" w:rsidRPr="000C2C4E">
          <w:rPr>
            <w:rStyle w:val="Hyperlink"/>
            <w:noProof/>
          </w:rPr>
          <w:t>Verklarende woordenlijst</w:t>
        </w:r>
        <w:r w:rsidR="00544F0F">
          <w:rPr>
            <w:noProof/>
            <w:webHidden/>
          </w:rPr>
          <w:tab/>
        </w:r>
        <w:r w:rsidR="00544F0F">
          <w:rPr>
            <w:noProof/>
            <w:webHidden/>
          </w:rPr>
          <w:fldChar w:fldCharType="begin"/>
        </w:r>
        <w:r w:rsidR="00544F0F">
          <w:rPr>
            <w:noProof/>
            <w:webHidden/>
          </w:rPr>
          <w:instrText xml:space="preserve"> PAGEREF _Toc511656280 \h </w:instrText>
        </w:r>
        <w:r w:rsidR="00544F0F">
          <w:rPr>
            <w:noProof/>
            <w:webHidden/>
          </w:rPr>
        </w:r>
        <w:r w:rsidR="00544F0F">
          <w:rPr>
            <w:noProof/>
            <w:webHidden/>
          </w:rPr>
          <w:fldChar w:fldCharType="separate"/>
        </w:r>
        <w:r w:rsidR="008078F6">
          <w:rPr>
            <w:noProof/>
            <w:webHidden/>
          </w:rPr>
          <w:t>83</w:t>
        </w:r>
        <w:r w:rsidR="00544F0F">
          <w:rPr>
            <w:noProof/>
            <w:webHidden/>
          </w:rPr>
          <w:fldChar w:fldCharType="end"/>
        </w:r>
      </w:hyperlink>
    </w:p>
    <w:p w:rsidR="00544F0F" w:rsidRDefault="008957BE">
      <w:pPr>
        <w:pStyle w:val="TOC2"/>
        <w:tabs>
          <w:tab w:val="right" w:leader="dot" w:pos="9040"/>
        </w:tabs>
        <w:rPr>
          <w:rFonts w:asciiTheme="minorHAnsi" w:eastAsiaTheme="minorEastAsia" w:hAnsiTheme="minorHAnsi"/>
          <w:noProof/>
          <w:color w:val="auto"/>
          <w:sz w:val="22"/>
          <w:lang w:val="nl-BE" w:eastAsia="nl-BE"/>
        </w:rPr>
      </w:pPr>
      <w:hyperlink w:anchor="_Toc511656281" w:history="1">
        <w:r w:rsidR="00544F0F" w:rsidRPr="000C2C4E">
          <w:rPr>
            <w:rStyle w:val="Hyperlink"/>
            <w:noProof/>
          </w:rPr>
          <w:t>3.2</w:t>
        </w:r>
        <w:r w:rsidR="00544F0F">
          <w:rPr>
            <w:rFonts w:asciiTheme="minorHAnsi" w:eastAsiaTheme="minorEastAsia" w:hAnsiTheme="minorHAnsi"/>
            <w:noProof/>
            <w:color w:val="auto"/>
            <w:sz w:val="22"/>
            <w:lang w:val="nl-BE" w:eastAsia="nl-BE"/>
          </w:rPr>
          <w:tab/>
        </w:r>
        <w:r w:rsidR="00544F0F" w:rsidRPr="000C2C4E">
          <w:rPr>
            <w:rStyle w:val="Hyperlink"/>
            <w:noProof/>
          </w:rPr>
          <w:t>Het innovatiepotentieel van het POP vaststellen: stapsgewijze procedure</w:t>
        </w:r>
        <w:r w:rsidR="00544F0F">
          <w:rPr>
            <w:noProof/>
            <w:webHidden/>
          </w:rPr>
          <w:tab/>
        </w:r>
        <w:r w:rsidR="00544F0F">
          <w:rPr>
            <w:noProof/>
            <w:webHidden/>
          </w:rPr>
          <w:fldChar w:fldCharType="begin"/>
        </w:r>
        <w:r w:rsidR="00544F0F">
          <w:rPr>
            <w:noProof/>
            <w:webHidden/>
          </w:rPr>
          <w:instrText xml:space="preserve"> PAGEREF _Toc511656281 \h </w:instrText>
        </w:r>
        <w:r w:rsidR="00544F0F">
          <w:rPr>
            <w:noProof/>
            <w:webHidden/>
          </w:rPr>
        </w:r>
        <w:r w:rsidR="00544F0F">
          <w:rPr>
            <w:noProof/>
            <w:webHidden/>
          </w:rPr>
          <w:fldChar w:fldCharType="separate"/>
        </w:r>
        <w:r w:rsidR="008078F6">
          <w:rPr>
            <w:noProof/>
            <w:webHidden/>
          </w:rPr>
          <w:t>85</w:t>
        </w:r>
        <w:r w:rsidR="00544F0F">
          <w:rPr>
            <w:noProof/>
            <w:webHidden/>
          </w:rPr>
          <w:fldChar w:fldCharType="end"/>
        </w:r>
      </w:hyperlink>
    </w:p>
    <w:p w:rsidR="00501827" w:rsidRDefault="009837FF" w:rsidP="00E05D08">
      <w:pPr>
        <w:tabs>
          <w:tab w:val="left" w:pos="454"/>
          <w:tab w:val="right" w:leader="dot" w:pos="9072"/>
        </w:tabs>
        <w:suppressAutoHyphens/>
        <w:ind w:left="454" w:hanging="454"/>
        <w:rPr>
          <w:rFonts w:ascii="Helvetica LT Pro" w:eastAsia="Times New Roman" w:hAnsi="Helvetica LT Pro" w:cs="Times New Roman"/>
          <w:b/>
          <w:color w:val="000000" w:themeColor="text1"/>
          <w:szCs w:val="20"/>
        </w:rPr>
      </w:pPr>
      <w:r>
        <w:rPr>
          <w:rFonts w:ascii="Helvetica LT Pro" w:eastAsia="Times New Roman" w:hAnsi="Helvetica LT Pro" w:cs="Times New Roman"/>
          <w:caps/>
          <w:color w:val="000000" w:themeColor="text1"/>
          <w:szCs w:val="20"/>
        </w:rPr>
        <w:fldChar w:fldCharType="end"/>
      </w:r>
    </w:p>
    <w:p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b/>
          <w:bCs/>
          <w:caps/>
          <w:color w:val="F07E31"/>
          <w:szCs w:val="32"/>
        </w:rPr>
        <w:lastRenderedPageBreak/>
        <w:t>Tabellen en figuren</w:t>
      </w:r>
    </w:p>
    <w:p w:rsidR="00544F0F" w:rsidRDefault="00E05D08">
      <w:pPr>
        <w:pStyle w:val="TOC2"/>
        <w:tabs>
          <w:tab w:val="left" w:pos="1100"/>
          <w:tab w:val="right" w:leader="dot" w:pos="9040"/>
        </w:tabs>
        <w:rPr>
          <w:rFonts w:asciiTheme="minorHAnsi" w:eastAsiaTheme="minorEastAsia" w:hAnsiTheme="minorHAnsi"/>
          <w:noProof/>
          <w:color w:val="auto"/>
          <w:sz w:val="22"/>
          <w:lang w:val="nl-BE" w:eastAsia="nl-BE"/>
        </w:rPr>
      </w:pPr>
      <w:r>
        <w:rPr>
          <w:rStyle w:val="Hyperlink"/>
          <w14:scene3d>
            <w14:camera w14:prst="orthographicFront"/>
            <w14:lightRig w14:rig="threePt" w14:dir="t">
              <w14:rot w14:lat="0" w14:lon="0" w14:rev="0"/>
            </w14:lightRig>
          </w14:scene3d>
        </w:rPr>
        <w:fldChar w:fldCharType="begin"/>
      </w:r>
      <w:r>
        <w:rPr>
          <w:rStyle w:val="Hyperlink"/>
          <w14:scene3d>
            <w14:camera w14:prst="orthographicFront"/>
            <w14:lightRig w14:rig="threePt" w14:dir="t">
              <w14:rot w14:lat="0" w14:lon="0" w14:rev="0"/>
            </w14:lightRig>
          </w14:scene3d>
        </w:rPr>
        <w:instrText xml:space="preserve"> TOC \h \z \t "H_Heading_tables;2" </w:instrText>
      </w:r>
      <w:r>
        <w:rPr>
          <w:rStyle w:val="Hyperlink"/>
          <w14:scene3d>
            <w14:camera w14:prst="orthographicFront"/>
            <w14:lightRig w14:rig="threePt" w14:dir="t">
              <w14:rot w14:lat="0" w14:lon="0" w14:rev="0"/>
            </w14:lightRig>
          </w14:scene3d>
        </w:rPr>
        <w:fldChar w:fldCharType="separate"/>
      </w:r>
      <w:hyperlink w:anchor="_Toc511656282" w:history="1">
        <w:r w:rsidR="00544F0F" w:rsidRPr="00912117">
          <w:rPr>
            <w:rStyle w:val="Hyperlink"/>
            <w:noProof/>
            <w14:scene3d>
              <w14:camera w14:prst="orthographicFront"/>
              <w14:lightRig w14:rig="threePt" w14:dir="t">
                <w14:rot w14:lat="0" w14:lon="0" w14:rev="0"/>
              </w14:lightRig>
            </w14:scene3d>
          </w:rPr>
          <w:t>Tabel 1.</w:t>
        </w:r>
        <w:r w:rsidR="00544F0F">
          <w:rPr>
            <w:rFonts w:asciiTheme="minorHAnsi" w:eastAsiaTheme="minorEastAsia" w:hAnsiTheme="minorHAnsi"/>
            <w:noProof/>
            <w:color w:val="auto"/>
            <w:sz w:val="22"/>
            <w:lang w:val="nl-BE" w:eastAsia="nl-BE"/>
          </w:rPr>
          <w:tab/>
        </w:r>
        <w:r w:rsidR="00544F0F" w:rsidRPr="00912117">
          <w:rPr>
            <w:rStyle w:val="Hyperlink"/>
            <w:noProof/>
          </w:rPr>
          <w:t>Evaluatie-elementen en informatiebronnen met betrekking tot CEQ nr. 1</w:t>
        </w:r>
        <w:r w:rsidR="00544F0F">
          <w:rPr>
            <w:noProof/>
            <w:webHidden/>
          </w:rPr>
          <w:tab/>
        </w:r>
        <w:r w:rsidR="00544F0F">
          <w:rPr>
            <w:noProof/>
            <w:webHidden/>
          </w:rPr>
          <w:fldChar w:fldCharType="begin"/>
        </w:r>
        <w:r w:rsidR="00544F0F">
          <w:rPr>
            <w:noProof/>
            <w:webHidden/>
          </w:rPr>
          <w:instrText xml:space="preserve"> PAGEREF _Toc511656282 \h </w:instrText>
        </w:r>
        <w:r w:rsidR="00544F0F">
          <w:rPr>
            <w:noProof/>
            <w:webHidden/>
          </w:rPr>
        </w:r>
        <w:r w:rsidR="00544F0F">
          <w:rPr>
            <w:noProof/>
            <w:webHidden/>
          </w:rPr>
          <w:fldChar w:fldCharType="separate"/>
        </w:r>
        <w:r w:rsidR="008078F6">
          <w:rPr>
            <w:noProof/>
            <w:webHidden/>
          </w:rPr>
          <w:t>33</w:t>
        </w:r>
        <w:r w:rsidR="00544F0F">
          <w:rPr>
            <w:noProof/>
            <w:webHidden/>
          </w:rPr>
          <w:fldChar w:fldCharType="end"/>
        </w:r>
      </w:hyperlink>
    </w:p>
    <w:p w:rsidR="00544F0F" w:rsidRDefault="008957BE">
      <w:pPr>
        <w:pStyle w:val="TOC2"/>
        <w:tabs>
          <w:tab w:val="left" w:pos="1100"/>
          <w:tab w:val="right" w:leader="dot" w:pos="9040"/>
        </w:tabs>
        <w:rPr>
          <w:rFonts w:asciiTheme="minorHAnsi" w:eastAsiaTheme="minorEastAsia" w:hAnsiTheme="minorHAnsi"/>
          <w:noProof/>
          <w:color w:val="auto"/>
          <w:sz w:val="22"/>
          <w:lang w:val="nl-BE" w:eastAsia="nl-BE"/>
        </w:rPr>
      </w:pPr>
      <w:hyperlink w:anchor="_Toc511656283" w:history="1">
        <w:r w:rsidR="00544F0F" w:rsidRPr="00912117">
          <w:rPr>
            <w:rStyle w:val="Hyperlink"/>
            <w:noProof/>
            <w14:scene3d>
              <w14:camera w14:prst="orthographicFront"/>
              <w14:lightRig w14:rig="threePt" w14:dir="t">
                <w14:rot w14:lat="0" w14:lon="0" w14:rev="0"/>
              </w14:lightRig>
            </w14:scene3d>
          </w:rPr>
          <w:t>Tabel 2.</w:t>
        </w:r>
        <w:r w:rsidR="00544F0F">
          <w:rPr>
            <w:rFonts w:asciiTheme="minorHAnsi" w:eastAsiaTheme="minorEastAsia" w:hAnsiTheme="minorHAnsi"/>
            <w:noProof/>
            <w:color w:val="auto"/>
            <w:sz w:val="22"/>
            <w:lang w:val="nl-BE" w:eastAsia="nl-BE"/>
          </w:rPr>
          <w:tab/>
        </w:r>
        <w:r w:rsidR="00544F0F" w:rsidRPr="00912117">
          <w:rPr>
            <w:rStyle w:val="Hyperlink"/>
            <w:noProof/>
          </w:rPr>
          <w:t>Aanbevolen methoden voor CEQ nr. 1</w:t>
        </w:r>
        <w:r w:rsidR="00544F0F">
          <w:rPr>
            <w:noProof/>
            <w:webHidden/>
          </w:rPr>
          <w:tab/>
        </w:r>
        <w:r w:rsidR="00544F0F">
          <w:rPr>
            <w:noProof/>
            <w:webHidden/>
          </w:rPr>
          <w:fldChar w:fldCharType="begin"/>
        </w:r>
        <w:r w:rsidR="00544F0F">
          <w:rPr>
            <w:noProof/>
            <w:webHidden/>
          </w:rPr>
          <w:instrText xml:space="preserve"> PAGEREF _Toc511656283 \h </w:instrText>
        </w:r>
        <w:r w:rsidR="00544F0F">
          <w:rPr>
            <w:noProof/>
            <w:webHidden/>
          </w:rPr>
        </w:r>
        <w:r w:rsidR="00544F0F">
          <w:rPr>
            <w:noProof/>
            <w:webHidden/>
          </w:rPr>
          <w:fldChar w:fldCharType="separate"/>
        </w:r>
        <w:r w:rsidR="008078F6">
          <w:rPr>
            <w:noProof/>
            <w:webHidden/>
          </w:rPr>
          <w:t>35</w:t>
        </w:r>
        <w:r w:rsidR="00544F0F">
          <w:rPr>
            <w:noProof/>
            <w:webHidden/>
          </w:rPr>
          <w:fldChar w:fldCharType="end"/>
        </w:r>
      </w:hyperlink>
    </w:p>
    <w:p w:rsidR="00544F0F" w:rsidRDefault="008957BE">
      <w:pPr>
        <w:pStyle w:val="TOC2"/>
        <w:tabs>
          <w:tab w:val="left" w:pos="1100"/>
          <w:tab w:val="right" w:leader="dot" w:pos="9040"/>
        </w:tabs>
        <w:rPr>
          <w:rFonts w:asciiTheme="minorHAnsi" w:eastAsiaTheme="minorEastAsia" w:hAnsiTheme="minorHAnsi"/>
          <w:noProof/>
          <w:color w:val="auto"/>
          <w:sz w:val="22"/>
          <w:lang w:val="nl-BE" w:eastAsia="nl-BE"/>
        </w:rPr>
      </w:pPr>
      <w:hyperlink w:anchor="_Toc511656284" w:history="1">
        <w:r w:rsidR="00544F0F" w:rsidRPr="00912117">
          <w:rPr>
            <w:rStyle w:val="Hyperlink"/>
            <w:noProof/>
            <w14:scene3d>
              <w14:camera w14:prst="orthographicFront"/>
              <w14:lightRig w14:rig="threePt" w14:dir="t">
                <w14:rot w14:lat="0" w14:lon="0" w14:rev="0"/>
              </w14:lightRig>
            </w14:scene3d>
          </w:rPr>
          <w:t>Tabel 3.</w:t>
        </w:r>
        <w:r w:rsidR="00544F0F">
          <w:rPr>
            <w:rFonts w:asciiTheme="minorHAnsi" w:eastAsiaTheme="minorEastAsia" w:hAnsiTheme="minorHAnsi"/>
            <w:noProof/>
            <w:color w:val="auto"/>
            <w:sz w:val="22"/>
            <w:lang w:val="nl-BE" w:eastAsia="nl-BE"/>
          </w:rPr>
          <w:tab/>
        </w:r>
        <w:r w:rsidR="00544F0F" w:rsidRPr="00912117">
          <w:rPr>
            <w:rStyle w:val="Hyperlink"/>
            <w:noProof/>
          </w:rPr>
          <w:t>Beoordelingscriteria, indicatoren, vereiste gegevens en gegevensbronnen</w:t>
        </w:r>
        <w:r w:rsidR="00544F0F">
          <w:rPr>
            <w:noProof/>
            <w:webHidden/>
          </w:rPr>
          <w:tab/>
        </w:r>
        <w:r w:rsidR="00544F0F">
          <w:rPr>
            <w:noProof/>
            <w:webHidden/>
          </w:rPr>
          <w:fldChar w:fldCharType="begin"/>
        </w:r>
        <w:r w:rsidR="00544F0F">
          <w:rPr>
            <w:noProof/>
            <w:webHidden/>
          </w:rPr>
          <w:instrText xml:space="preserve"> PAGEREF _Toc511656284 \h </w:instrText>
        </w:r>
        <w:r w:rsidR="00544F0F">
          <w:rPr>
            <w:noProof/>
            <w:webHidden/>
          </w:rPr>
        </w:r>
        <w:r w:rsidR="00544F0F">
          <w:rPr>
            <w:noProof/>
            <w:webHidden/>
          </w:rPr>
          <w:fldChar w:fldCharType="separate"/>
        </w:r>
        <w:r w:rsidR="008078F6">
          <w:rPr>
            <w:noProof/>
            <w:webHidden/>
          </w:rPr>
          <w:t>43</w:t>
        </w:r>
        <w:r w:rsidR="00544F0F">
          <w:rPr>
            <w:noProof/>
            <w:webHidden/>
          </w:rPr>
          <w:fldChar w:fldCharType="end"/>
        </w:r>
      </w:hyperlink>
    </w:p>
    <w:p w:rsidR="00544F0F" w:rsidRDefault="008957BE">
      <w:pPr>
        <w:pStyle w:val="TOC2"/>
        <w:tabs>
          <w:tab w:val="left" w:pos="1100"/>
          <w:tab w:val="right" w:leader="dot" w:pos="9040"/>
        </w:tabs>
        <w:rPr>
          <w:rFonts w:asciiTheme="minorHAnsi" w:eastAsiaTheme="minorEastAsia" w:hAnsiTheme="minorHAnsi"/>
          <w:noProof/>
          <w:color w:val="auto"/>
          <w:sz w:val="22"/>
          <w:lang w:val="nl-BE" w:eastAsia="nl-BE"/>
        </w:rPr>
      </w:pPr>
      <w:hyperlink w:anchor="_Toc511656285" w:history="1">
        <w:r w:rsidR="00544F0F" w:rsidRPr="00912117">
          <w:rPr>
            <w:rStyle w:val="Hyperlink"/>
            <w:noProof/>
            <w14:scene3d>
              <w14:camera w14:prst="orthographicFront"/>
              <w14:lightRig w14:rig="threePt" w14:dir="t">
                <w14:rot w14:lat="0" w14:lon="0" w14:rev="0"/>
              </w14:lightRig>
            </w14:scene3d>
          </w:rPr>
          <w:t>Tabel 4.</w:t>
        </w:r>
        <w:r w:rsidR="00544F0F">
          <w:rPr>
            <w:rFonts w:asciiTheme="minorHAnsi" w:eastAsiaTheme="minorEastAsia" w:hAnsiTheme="minorHAnsi"/>
            <w:noProof/>
            <w:color w:val="auto"/>
            <w:sz w:val="22"/>
            <w:lang w:val="nl-BE" w:eastAsia="nl-BE"/>
          </w:rPr>
          <w:tab/>
        </w:r>
        <w:r w:rsidR="00544F0F" w:rsidRPr="00912117">
          <w:rPr>
            <w:rStyle w:val="Hyperlink"/>
            <w:noProof/>
          </w:rPr>
          <w:t>Aanbevolen methoden voor CEQ nr. 2</w:t>
        </w:r>
        <w:r w:rsidR="00544F0F">
          <w:rPr>
            <w:noProof/>
            <w:webHidden/>
          </w:rPr>
          <w:tab/>
        </w:r>
        <w:r w:rsidR="00544F0F">
          <w:rPr>
            <w:noProof/>
            <w:webHidden/>
          </w:rPr>
          <w:fldChar w:fldCharType="begin"/>
        </w:r>
        <w:r w:rsidR="00544F0F">
          <w:rPr>
            <w:noProof/>
            <w:webHidden/>
          </w:rPr>
          <w:instrText xml:space="preserve"> PAGEREF _Toc511656285 \h </w:instrText>
        </w:r>
        <w:r w:rsidR="00544F0F">
          <w:rPr>
            <w:noProof/>
            <w:webHidden/>
          </w:rPr>
        </w:r>
        <w:r w:rsidR="00544F0F">
          <w:rPr>
            <w:noProof/>
            <w:webHidden/>
          </w:rPr>
          <w:fldChar w:fldCharType="separate"/>
        </w:r>
        <w:r w:rsidR="008078F6">
          <w:rPr>
            <w:noProof/>
            <w:webHidden/>
          </w:rPr>
          <w:t>45</w:t>
        </w:r>
        <w:r w:rsidR="00544F0F">
          <w:rPr>
            <w:noProof/>
            <w:webHidden/>
          </w:rPr>
          <w:fldChar w:fldCharType="end"/>
        </w:r>
      </w:hyperlink>
    </w:p>
    <w:p w:rsidR="00544F0F" w:rsidRDefault="008957BE">
      <w:pPr>
        <w:pStyle w:val="TOC2"/>
        <w:tabs>
          <w:tab w:val="left" w:pos="1100"/>
          <w:tab w:val="right" w:leader="dot" w:pos="9040"/>
        </w:tabs>
        <w:rPr>
          <w:rFonts w:asciiTheme="minorHAnsi" w:eastAsiaTheme="minorEastAsia" w:hAnsiTheme="minorHAnsi"/>
          <w:noProof/>
          <w:color w:val="auto"/>
          <w:sz w:val="22"/>
          <w:lang w:val="nl-BE" w:eastAsia="nl-BE"/>
        </w:rPr>
      </w:pPr>
      <w:hyperlink w:anchor="_Toc511656286" w:history="1">
        <w:r w:rsidR="00544F0F" w:rsidRPr="00912117">
          <w:rPr>
            <w:rStyle w:val="Hyperlink"/>
            <w:noProof/>
            <w14:scene3d>
              <w14:camera w14:prst="orthographicFront"/>
              <w14:lightRig w14:rig="threePt" w14:dir="t">
                <w14:rot w14:lat="0" w14:lon="0" w14:rev="0"/>
              </w14:lightRig>
            </w14:scene3d>
          </w:rPr>
          <w:t>Tabel 5.</w:t>
        </w:r>
        <w:r w:rsidR="00544F0F">
          <w:rPr>
            <w:rFonts w:asciiTheme="minorHAnsi" w:eastAsiaTheme="minorEastAsia" w:hAnsiTheme="minorHAnsi"/>
            <w:noProof/>
            <w:color w:val="auto"/>
            <w:sz w:val="22"/>
            <w:lang w:val="nl-BE" w:eastAsia="nl-BE"/>
          </w:rPr>
          <w:tab/>
        </w:r>
        <w:r w:rsidR="00544F0F" w:rsidRPr="00912117">
          <w:rPr>
            <w:rStyle w:val="Hyperlink"/>
            <w:noProof/>
          </w:rPr>
          <w:t>Voorgestelde aanvullende beoordelingscriteria, indicatoren en gegevens ter beantwoording van CEQ nr. 21</w:t>
        </w:r>
        <w:r w:rsidR="00544F0F">
          <w:rPr>
            <w:noProof/>
            <w:webHidden/>
          </w:rPr>
          <w:tab/>
        </w:r>
        <w:r w:rsidR="00544F0F">
          <w:rPr>
            <w:noProof/>
            <w:webHidden/>
          </w:rPr>
          <w:fldChar w:fldCharType="begin"/>
        </w:r>
        <w:r w:rsidR="00544F0F">
          <w:rPr>
            <w:noProof/>
            <w:webHidden/>
          </w:rPr>
          <w:instrText xml:space="preserve"> PAGEREF _Toc511656286 \h </w:instrText>
        </w:r>
        <w:r w:rsidR="00544F0F">
          <w:rPr>
            <w:noProof/>
            <w:webHidden/>
          </w:rPr>
        </w:r>
        <w:r w:rsidR="00544F0F">
          <w:rPr>
            <w:noProof/>
            <w:webHidden/>
          </w:rPr>
          <w:fldChar w:fldCharType="separate"/>
        </w:r>
        <w:r w:rsidR="008078F6">
          <w:rPr>
            <w:noProof/>
            <w:webHidden/>
          </w:rPr>
          <w:t>54</w:t>
        </w:r>
        <w:r w:rsidR="00544F0F">
          <w:rPr>
            <w:noProof/>
            <w:webHidden/>
          </w:rPr>
          <w:fldChar w:fldCharType="end"/>
        </w:r>
      </w:hyperlink>
    </w:p>
    <w:p w:rsidR="00544F0F" w:rsidRDefault="008957BE">
      <w:pPr>
        <w:pStyle w:val="TOC2"/>
        <w:tabs>
          <w:tab w:val="left" w:pos="1100"/>
          <w:tab w:val="right" w:leader="dot" w:pos="9040"/>
        </w:tabs>
        <w:rPr>
          <w:rFonts w:asciiTheme="minorHAnsi" w:eastAsiaTheme="minorEastAsia" w:hAnsiTheme="minorHAnsi"/>
          <w:noProof/>
          <w:color w:val="auto"/>
          <w:sz w:val="22"/>
          <w:lang w:val="nl-BE" w:eastAsia="nl-BE"/>
        </w:rPr>
      </w:pPr>
      <w:hyperlink w:anchor="_Toc511656287" w:history="1">
        <w:r w:rsidR="00544F0F" w:rsidRPr="00912117">
          <w:rPr>
            <w:rStyle w:val="Hyperlink"/>
            <w:noProof/>
            <w14:scene3d>
              <w14:camera w14:prst="orthographicFront"/>
              <w14:lightRig w14:rig="threePt" w14:dir="t">
                <w14:rot w14:lat="0" w14:lon="0" w14:rev="0"/>
              </w14:lightRig>
            </w14:scene3d>
          </w:rPr>
          <w:t>Tabel 6.</w:t>
        </w:r>
        <w:r w:rsidR="00544F0F">
          <w:rPr>
            <w:rFonts w:asciiTheme="minorHAnsi" w:eastAsiaTheme="minorEastAsia" w:hAnsiTheme="minorHAnsi"/>
            <w:noProof/>
            <w:color w:val="auto"/>
            <w:sz w:val="22"/>
            <w:lang w:val="nl-BE" w:eastAsia="nl-BE"/>
          </w:rPr>
          <w:tab/>
        </w:r>
        <w:r w:rsidR="00544F0F" w:rsidRPr="00912117">
          <w:rPr>
            <w:rStyle w:val="Hyperlink"/>
            <w:noProof/>
          </w:rPr>
          <w:t>Aanbevolen methoden voor CEQ nr. 21</w:t>
        </w:r>
        <w:r w:rsidR="00544F0F">
          <w:rPr>
            <w:noProof/>
            <w:webHidden/>
          </w:rPr>
          <w:tab/>
        </w:r>
        <w:r w:rsidR="00544F0F">
          <w:rPr>
            <w:noProof/>
            <w:webHidden/>
          </w:rPr>
          <w:fldChar w:fldCharType="begin"/>
        </w:r>
        <w:r w:rsidR="00544F0F">
          <w:rPr>
            <w:noProof/>
            <w:webHidden/>
          </w:rPr>
          <w:instrText xml:space="preserve"> PAGEREF _Toc511656287 \h </w:instrText>
        </w:r>
        <w:r w:rsidR="00544F0F">
          <w:rPr>
            <w:noProof/>
            <w:webHidden/>
          </w:rPr>
        </w:r>
        <w:r w:rsidR="00544F0F">
          <w:rPr>
            <w:noProof/>
            <w:webHidden/>
          </w:rPr>
          <w:fldChar w:fldCharType="separate"/>
        </w:r>
        <w:r w:rsidR="008078F6">
          <w:rPr>
            <w:noProof/>
            <w:webHidden/>
          </w:rPr>
          <w:t>59</w:t>
        </w:r>
        <w:r w:rsidR="00544F0F">
          <w:rPr>
            <w:noProof/>
            <w:webHidden/>
          </w:rPr>
          <w:fldChar w:fldCharType="end"/>
        </w:r>
      </w:hyperlink>
    </w:p>
    <w:p w:rsidR="00544F0F" w:rsidRDefault="008957BE">
      <w:pPr>
        <w:pStyle w:val="TOC2"/>
        <w:tabs>
          <w:tab w:val="left" w:pos="1100"/>
          <w:tab w:val="right" w:leader="dot" w:pos="9040"/>
        </w:tabs>
        <w:rPr>
          <w:rFonts w:asciiTheme="minorHAnsi" w:eastAsiaTheme="minorEastAsia" w:hAnsiTheme="minorHAnsi"/>
          <w:noProof/>
          <w:color w:val="auto"/>
          <w:sz w:val="22"/>
          <w:lang w:val="nl-BE" w:eastAsia="nl-BE"/>
        </w:rPr>
      </w:pPr>
      <w:hyperlink w:anchor="_Toc511656288" w:history="1">
        <w:r w:rsidR="00544F0F" w:rsidRPr="00912117">
          <w:rPr>
            <w:rStyle w:val="Hyperlink"/>
            <w:noProof/>
            <w14:scene3d>
              <w14:camera w14:prst="orthographicFront"/>
              <w14:lightRig w14:rig="threePt" w14:dir="t">
                <w14:rot w14:lat="0" w14:lon="0" w14:rev="0"/>
              </w14:lightRig>
            </w14:scene3d>
          </w:rPr>
          <w:t>Tabel 7.</w:t>
        </w:r>
        <w:r w:rsidR="00544F0F">
          <w:rPr>
            <w:rFonts w:asciiTheme="minorHAnsi" w:eastAsiaTheme="minorEastAsia" w:hAnsiTheme="minorHAnsi"/>
            <w:noProof/>
            <w:color w:val="auto"/>
            <w:sz w:val="22"/>
            <w:lang w:val="nl-BE" w:eastAsia="nl-BE"/>
          </w:rPr>
          <w:tab/>
        </w:r>
        <w:r w:rsidR="00544F0F" w:rsidRPr="00912117">
          <w:rPr>
            <w:rStyle w:val="Hyperlink"/>
            <w:noProof/>
          </w:rPr>
          <w:t>Beoordelingscriteria, indicatoren en gegevens die nodig zijn om CEQ nr. 23 te beantwoorden</w:t>
        </w:r>
        <w:r w:rsidR="00544F0F">
          <w:rPr>
            <w:noProof/>
            <w:webHidden/>
          </w:rPr>
          <w:tab/>
        </w:r>
        <w:r w:rsidR="00544F0F">
          <w:rPr>
            <w:noProof/>
            <w:webHidden/>
          </w:rPr>
          <w:fldChar w:fldCharType="begin"/>
        </w:r>
        <w:r w:rsidR="00544F0F">
          <w:rPr>
            <w:noProof/>
            <w:webHidden/>
          </w:rPr>
          <w:instrText xml:space="preserve"> PAGEREF _Toc511656288 \h </w:instrText>
        </w:r>
        <w:r w:rsidR="00544F0F">
          <w:rPr>
            <w:noProof/>
            <w:webHidden/>
          </w:rPr>
        </w:r>
        <w:r w:rsidR="00544F0F">
          <w:rPr>
            <w:noProof/>
            <w:webHidden/>
          </w:rPr>
          <w:fldChar w:fldCharType="separate"/>
        </w:r>
        <w:r w:rsidR="008078F6">
          <w:rPr>
            <w:noProof/>
            <w:webHidden/>
          </w:rPr>
          <w:t>65</w:t>
        </w:r>
        <w:r w:rsidR="00544F0F">
          <w:rPr>
            <w:noProof/>
            <w:webHidden/>
          </w:rPr>
          <w:fldChar w:fldCharType="end"/>
        </w:r>
      </w:hyperlink>
    </w:p>
    <w:p w:rsidR="00544F0F" w:rsidRDefault="008957BE">
      <w:pPr>
        <w:pStyle w:val="TOC2"/>
        <w:tabs>
          <w:tab w:val="left" w:pos="1100"/>
          <w:tab w:val="right" w:leader="dot" w:pos="9040"/>
        </w:tabs>
        <w:rPr>
          <w:rFonts w:asciiTheme="minorHAnsi" w:eastAsiaTheme="minorEastAsia" w:hAnsiTheme="minorHAnsi"/>
          <w:noProof/>
          <w:color w:val="auto"/>
          <w:sz w:val="22"/>
          <w:lang w:val="nl-BE" w:eastAsia="nl-BE"/>
        </w:rPr>
      </w:pPr>
      <w:hyperlink w:anchor="_Toc511656289" w:history="1">
        <w:r w:rsidR="00544F0F" w:rsidRPr="00912117">
          <w:rPr>
            <w:rStyle w:val="Hyperlink"/>
            <w:noProof/>
            <w14:scene3d>
              <w14:camera w14:prst="orthographicFront"/>
              <w14:lightRig w14:rig="threePt" w14:dir="t">
                <w14:rot w14:lat="0" w14:lon="0" w14:rev="0"/>
              </w14:lightRig>
            </w14:scene3d>
          </w:rPr>
          <w:t>Tabel 8.</w:t>
        </w:r>
        <w:r w:rsidR="00544F0F">
          <w:rPr>
            <w:rFonts w:asciiTheme="minorHAnsi" w:eastAsiaTheme="minorEastAsia" w:hAnsiTheme="minorHAnsi"/>
            <w:noProof/>
            <w:color w:val="auto"/>
            <w:sz w:val="22"/>
            <w:lang w:val="nl-BE" w:eastAsia="nl-BE"/>
          </w:rPr>
          <w:tab/>
        </w:r>
        <w:r w:rsidR="00544F0F" w:rsidRPr="00912117">
          <w:rPr>
            <w:rStyle w:val="Hyperlink"/>
            <w:noProof/>
          </w:rPr>
          <w:t>Voorbeeld van geplande en werkelijke waarden van gemeenschappelijke en aanvullende indicatoren</w:t>
        </w:r>
        <w:r w:rsidR="00544F0F">
          <w:rPr>
            <w:noProof/>
            <w:webHidden/>
          </w:rPr>
          <w:tab/>
        </w:r>
        <w:r w:rsidR="00544F0F">
          <w:rPr>
            <w:noProof/>
            <w:webHidden/>
          </w:rPr>
          <w:fldChar w:fldCharType="begin"/>
        </w:r>
        <w:r w:rsidR="00544F0F">
          <w:rPr>
            <w:noProof/>
            <w:webHidden/>
          </w:rPr>
          <w:instrText xml:space="preserve"> PAGEREF _Toc511656289 \h </w:instrText>
        </w:r>
        <w:r w:rsidR="00544F0F">
          <w:rPr>
            <w:noProof/>
            <w:webHidden/>
          </w:rPr>
        </w:r>
        <w:r w:rsidR="00544F0F">
          <w:rPr>
            <w:noProof/>
            <w:webHidden/>
          </w:rPr>
          <w:fldChar w:fldCharType="separate"/>
        </w:r>
        <w:r w:rsidR="008078F6">
          <w:rPr>
            <w:noProof/>
            <w:webHidden/>
          </w:rPr>
          <w:t>68</w:t>
        </w:r>
        <w:r w:rsidR="00544F0F">
          <w:rPr>
            <w:noProof/>
            <w:webHidden/>
          </w:rPr>
          <w:fldChar w:fldCharType="end"/>
        </w:r>
      </w:hyperlink>
    </w:p>
    <w:p w:rsidR="00544F0F" w:rsidRDefault="008957BE">
      <w:pPr>
        <w:pStyle w:val="TOC2"/>
        <w:tabs>
          <w:tab w:val="left" w:pos="1100"/>
          <w:tab w:val="right" w:leader="dot" w:pos="9040"/>
        </w:tabs>
        <w:rPr>
          <w:rFonts w:asciiTheme="minorHAnsi" w:eastAsiaTheme="minorEastAsia" w:hAnsiTheme="minorHAnsi"/>
          <w:noProof/>
          <w:color w:val="auto"/>
          <w:sz w:val="22"/>
          <w:lang w:val="nl-BE" w:eastAsia="nl-BE"/>
        </w:rPr>
      </w:pPr>
      <w:hyperlink w:anchor="_Toc511656290" w:history="1">
        <w:r w:rsidR="00544F0F" w:rsidRPr="00912117">
          <w:rPr>
            <w:rStyle w:val="Hyperlink"/>
            <w:noProof/>
            <w14:scene3d>
              <w14:camera w14:prst="orthographicFront"/>
              <w14:lightRig w14:rig="threePt" w14:dir="t">
                <w14:rot w14:lat="0" w14:lon="0" w14:rev="0"/>
              </w14:lightRig>
            </w14:scene3d>
          </w:rPr>
          <w:t>Tabel 9.</w:t>
        </w:r>
        <w:r w:rsidR="00544F0F">
          <w:rPr>
            <w:rFonts w:asciiTheme="minorHAnsi" w:eastAsiaTheme="minorEastAsia" w:hAnsiTheme="minorHAnsi"/>
            <w:noProof/>
            <w:color w:val="auto"/>
            <w:sz w:val="22"/>
            <w:lang w:val="nl-BE" w:eastAsia="nl-BE"/>
          </w:rPr>
          <w:tab/>
        </w:r>
        <w:r w:rsidR="00544F0F" w:rsidRPr="00912117">
          <w:rPr>
            <w:rStyle w:val="Hyperlink"/>
            <w:noProof/>
          </w:rPr>
          <w:t>Aan CEQ nr. 30 gekoppelde evaluatie-elementen</w:t>
        </w:r>
        <w:r w:rsidR="00544F0F">
          <w:rPr>
            <w:noProof/>
            <w:webHidden/>
          </w:rPr>
          <w:tab/>
        </w:r>
        <w:r w:rsidR="00544F0F">
          <w:rPr>
            <w:noProof/>
            <w:webHidden/>
          </w:rPr>
          <w:fldChar w:fldCharType="begin"/>
        </w:r>
        <w:r w:rsidR="00544F0F">
          <w:rPr>
            <w:noProof/>
            <w:webHidden/>
          </w:rPr>
          <w:instrText xml:space="preserve"> PAGEREF _Toc511656290 \h </w:instrText>
        </w:r>
        <w:r w:rsidR="00544F0F">
          <w:rPr>
            <w:noProof/>
            <w:webHidden/>
          </w:rPr>
        </w:r>
        <w:r w:rsidR="00544F0F">
          <w:rPr>
            <w:noProof/>
            <w:webHidden/>
          </w:rPr>
          <w:fldChar w:fldCharType="separate"/>
        </w:r>
        <w:r w:rsidR="008078F6">
          <w:rPr>
            <w:noProof/>
            <w:webHidden/>
          </w:rPr>
          <w:t>73</w:t>
        </w:r>
        <w:r w:rsidR="00544F0F">
          <w:rPr>
            <w:noProof/>
            <w:webHidden/>
          </w:rPr>
          <w:fldChar w:fldCharType="end"/>
        </w:r>
      </w:hyperlink>
    </w:p>
    <w:p w:rsidR="001A12C3" w:rsidRPr="00530DA6" w:rsidRDefault="00E05D08" w:rsidP="00530DA6">
      <w:pPr>
        <w:tabs>
          <w:tab w:val="left" w:pos="1540"/>
          <w:tab w:val="right" w:leader="dot" w:pos="9016"/>
        </w:tabs>
        <w:ind w:left="1560" w:hanging="1340"/>
        <w:rPr>
          <w:rStyle w:val="Hyperlink"/>
          <w14:scene3d>
            <w14:camera w14:prst="orthographicFront"/>
            <w14:lightRig w14:rig="threePt" w14:dir="t">
              <w14:rot w14:lat="0" w14:lon="0" w14:rev="0"/>
            </w14:lightRig>
          </w14:scene3d>
        </w:rPr>
      </w:pPr>
      <w:r>
        <w:rPr>
          <w:rStyle w:val="Hyperlink"/>
          <w14:scene3d>
            <w14:camera w14:prst="orthographicFront"/>
            <w14:lightRig w14:rig="threePt" w14:dir="t">
              <w14:rot w14:lat="0" w14:lon="0" w14:rev="0"/>
            </w14:lightRig>
          </w14:scene3d>
        </w:rPr>
        <w:fldChar w:fldCharType="end"/>
      </w:r>
    </w:p>
    <w:p w:rsidR="00544F0F" w:rsidRDefault="002F11D9">
      <w:pPr>
        <w:pStyle w:val="TOC4"/>
        <w:tabs>
          <w:tab w:val="left" w:pos="1540"/>
          <w:tab w:val="right" w:leader="dot" w:pos="9040"/>
        </w:tabs>
        <w:rPr>
          <w:rFonts w:asciiTheme="minorHAnsi" w:eastAsiaTheme="minorEastAsia" w:hAnsiTheme="minorHAnsi"/>
          <w:color w:val="auto"/>
          <w:sz w:val="22"/>
          <w:lang w:val="nl-BE" w:eastAsia="nl-BE"/>
        </w:rPr>
      </w:pPr>
      <w:r>
        <w:rPr>
          <w:rStyle w:val="Hyperlink"/>
          <w14:scene3d>
            <w14:camera w14:prst="orthographicFront"/>
            <w14:lightRig w14:rig="threePt" w14:dir="t">
              <w14:rot w14:lat="0" w14:lon="0" w14:rev="0"/>
            </w14:lightRig>
          </w14:scene3d>
        </w:rPr>
        <w:fldChar w:fldCharType="begin"/>
      </w:r>
      <w:r>
        <w:rPr>
          <w:rStyle w:val="Hyperlink"/>
          <w14:scene3d>
            <w14:camera w14:prst="orthographicFront"/>
            <w14:lightRig w14:rig="threePt" w14:dir="t">
              <w14:rot w14:lat="0" w14:lon="0" w14:rev="0"/>
            </w14:lightRig>
          </w14:scene3d>
        </w:rPr>
        <w:instrText xml:space="preserve"> TOC \h \z \t "H_Heading_figures;4" </w:instrText>
      </w:r>
      <w:r>
        <w:rPr>
          <w:rStyle w:val="Hyperlink"/>
          <w14:scene3d>
            <w14:camera w14:prst="orthographicFront"/>
            <w14:lightRig w14:rig="threePt" w14:dir="t">
              <w14:rot w14:lat="0" w14:lon="0" w14:rev="0"/>
            </w14:lightRig>
          </w14:scene3d>
        </w:rPr>
        <w:fldChar w:fldCharType="separate"/>
      </w:r>
      <w:hyperlink w:anchor="_Toc511656291" w:history="1">
        <w:r w:rsidR="00544F0F" w:rsidRPr="00146E23">
          <w:rPr>
            <w:rStyle w:val="Hyperlink"/>
          </w:rPr>
          <w:t>Figuur 1.</w:t>
        </w:r>
        <w:r w:rsidR="00544F0F">
          <w:rPr>
            <w:rFonts w:asciiTheme="minorHAnsi" w:eastAsiaTheme="minorEastAsia" w:hAnsiTheme="minorHAnsi"/>
            <w:color w:val="auto"/>
            <w:sz w:val="22"/>
            <w:lang w:val="nl-BE" w:eastAsia="nl-BE"/>
          </w:rPr>
          <w:tab/>
        </w:r>
        <w:r w:rsidR="00544F0F" w:rsidRPr="00146E23">
          <w:rPr>
            <w:rStyle w:val="Hyperlink"/>
          </w:rPr>
          <w:t xml:space="preserve">Vereenvoudigde figuur van innovatiebevordering door POP's </w:t>
        </w:r>
        <w:r w:rsidR="00544F0F">
          <w:rPr>
            <w:webHidden/>
          </w:rPr>
          <w:tab/>
        </w:r>
        <w:r w:rsidR="00544F0F">
          <w:rPr>
            <w:webHidden/>
          </w:rPr>
          <w:fldChar w:fldCharType="begin"/>
        </w:r>
        <w:r w:rsidR="00544F0F">
          <w:rPr>
            <w:webHidden/>
          </w:rPr>
          <w:instrText xml:space="preserve"> PAGEREF _Toc511656291 \h </w:instrText>
        </w:r>
        <w:r w:rsidR="00544F0F">
          <w:rPr>
            <w:webHidden/>
          </w:rPr>
        </w:r>
        <w:r w:rsidR="00544F0F">
          <w:rPr>
            <w:webHidden/>
          </w:rPr>
          <w:fldChar w:fldCharType="separate"/>
        </w:r>
        <w:r w:rsidR="008078F6">
          <w:rPr>
            <w:webHidden/>
          </w:rPr>
          <w:t>6</w:t>
        </w:r>
        <w:r w:rsidR="00544F0F">
          <w:rPr>
            <w:webHidden/>
          </w:rPr>
          <w:fldChar w:fldCharType="end"/>
        </w:r>
      </w:hyperlink>
    </w:p>
    <w:p w:rsidR="00544F0F" w:rsidRDefault="008957BE">
      <w:pPr>
        <w:pStyle w:val="TOC4"/>
        <w:tabs>
          <w:tab w:val="left" w:pos="1100"/>
          <w:tab w:val="right" w:leader="dot" w:pos="9040"/>
        </w:tabs>
        <w:rPr>
          <w:rFonts w:asciiTheme="minorHAnsi" w:eastAsiaTheme="minorEastAsia" w:hAnsiTheme="minorHAnsi"/>
          <w:color w:val="auto"/>
          <w:sz w:val="22"/>
          <w:lang w:val="nl-BE" w:eastAsia="nl-BE"/>
        </w:rPr>
      </w:pPr>
      <w:hyperlink w:anchor="_Toc511656292" w:history="1">
        <w:r w:rsidR="00544F0F" w:rsidRPr="00146E23">
          <w:rPr>
            <w:rStyle w:val="Hyperlink"/>
          </w:rPr>
          <w:t>Figuur 2.</w:t>
        </w:r>
        <w:r w:rsidR="00544F0F">
          <w:rPr>
            <w:rFonts w:asciiTheme="minorHAnsi" w:eastAsiaTheme="minorEastAsia" w:hAnsiTheme="minorHAnsi"/>
            <w:color w:val="auto"/>
            <w:sz w:val="22"/>
            <w:lang w:val="nl-BE" w:eastAsia="nl-BE"/>
          </w:rPr>
          <w:tab/>
        </w:r>
        <w:r w:rsidR="00544F0F" w:rsidRPr="00146E23">
          <w:rPr>
            <w:rStyle w:val="Hyperlink"/>
          </w:rPr>
          <w:t>Het beleidskader voor innovatie in EU- en plattelandsontwikkelingsbeleid</w:t>
        </w:r>
        <w:r w:rsidR="00544F0F">
          <w:rPr>
            <w:webHidden/>
          </w:rPr>
          <w:tab/>
        </w:r>
        <w:r w:rsidR="00544F0F">
          <w:rPr>
            <w:webHidden/>
          </w:rPr>
          <w:fldChar w:fldCharType="begin"/>
        </w:r>
        <w:r w:rsidR="00544F0F">
          <w:rPr>
            <w:webHidden/>
          </w:rPr>
          <w:instrText xml:space="preserve"> PAGEREF _Toc511656292 \h </w:instrText>
        </w:r>
        <w:r w:rsidR="00544F0F">
          <w:rPr>
            <w:webHidden/>
          </w:rPr>
        </w:r>
        <w:r w:rsidR="00544F0F">
          <w:rPr>
            <w:webHidden/>
          </w:rPr>
          <w:fldChar w:fldCharType="separate"/>
        </w:r>
        <w:r w:rsidR="008078F6">
          <w:rPr>
            <w:webHidden/>
          </w:rPr>
          <w:t>12</w:t>
        </w:r>
        <w:r w:rsidR="00544F0F">
          <w:rPr>
            <w:webHidden/>
          </w:rPr>
          <w:fldChar w:fldCharType="end"/>
        </w:r>
      </w:hyperlink>
    </w:p>
    <w:p w:rsidR="00544F0F" w:rsidRDefault="008957BE">
      <w:pPr>
        <w:pStyle w:val="TOC4"/>
        <w:tabs>
          <w:tab w:val="left" w:pos="1100"/>
          <w:tab w:val="right" w:leader="dot" w:pos="9040"/>
        </w:tabs>
        <w:rPr>
          <w:rFonts w:asciiTheme="minorHAnsi" w:eastAsiaTheme="minorEastAsia" w:hAnsiTheme="minorHAnsi"/>
          <w:color w:val="auto"/>
          <w:sz w:val="22"/>
          <w:lang w:val="nl-BE" w:eastAsia="nl-BE"/>
        </w:rPr>
      </w:pPr>
      <w:hyperlink w:anchor="_Toc511656293" w:history="1">
        <w:r w:rsidR="00544F0F" w:rsidRPr="00146E23">
          <w:rPr>
            <w:rStyle w:val="Hyperlink"/>
          </w:rPr>
          <w:t>Figuur 3.</w:t>
        </w:r>
        <w:r w:rsidR="00544F0F">
          <w:rPr>
            <w:rFonts w:asciiTheme="minorHAnsi" w:eastAsiaTheme="minorEastAsia" w:hAnsiTheme="minorHAnsi"/>
            <w:color w:val="auto"/>
            <w:sz w:val="22"/>
            <w:lang w:val="nl-BE" w:eastAsia="nl-BE"/>
          </w:rPr>
          <w:tab/>
        </w:r>
        <w:r w:rsidR="00544F0F" w:rsidRPr="00146E23">
          <w:rPr>
            <w:rStyle w:val="Hyperlink"/>
          </w:rPr>
          <w:t>De gemeenschappelijke evaluatie-elementen voor de evaluatie van innovatie</w:t>
        </w:r>
        <w:r w:rsidR="00544F0F">
          <w:rPr>
            <w:webHidden/>
          </w:rPr>
          <w:tab/>
        </w:r>
        <w:r w:rsidR="00544F0F">
          <w:rPr>
            <w:webHidden/>
          </w:rPr>
          <w:fldChar w:fldCharType="begin"/>
        </w:r>
        <w:r w:rsidR="00544F0F">
          <w:rPr>
            <w:webHidden/>
          </w:rPr>
          <w:instrText xml:space="preserve"> PAGEREF _Toc511656293 \h </w:instrText>
        </w:r>
        <w:r w:rsidR="00544F0F">
          <w:rPr>
            <w:webHidden/>
          </w:rPr>
        </w:r>
        <w:r w:rsidR="00544F0F">
          <w:rPr>
            <w:webHidden/>
          </w:rPr>
          <w:fldChar w:fldCharType="separate"/>
        </w:r>
        <w:r w:rsidR="008078F6">
          <w:rPr>
            <w:webHidden/>
          </w:rPr>
          <w:t>17</w:t>
        </w:r>
        <w:r w:rsidR="00544F0F">
          <w:rPr>
            <w:webHidden/>
          </w:rPr>
          <w:fldChar w:fldCharType="end"/>
        </w:r>
      </w:hyperlink>
    </w:p>
    <w:p w:rsidR="00544F0F" w:rsidRDefault="008957BE">
      <w:pPr>
        <w:pStyle w:val="TOC4"/>
        <w:tabs>
          <w:tab w:val="left" w:pos="1100"/>
          <w:tab w:val="right" w:leader="dot" w:pos="9040"/>
        </w:tabs>
        <w:rPr>
          <w:rFonts w:asciiTheme="minorHAnsi" w:eastAsiaTheme="minorEastAsia" w:hAnsiTheme="minorHAnsi"/>
          <w:color w:val="auto"/>
          <w:sz w:val="22"/>
          <w:lang w:val="nl-BE" w:eastAsia="nl-BE"/>
        </w:rPr>
      </w:pPr>
      <w:hyperlink w:anchor="_Toc511656295" w:history="1">
        <w:r w:rsidR="00544F0F" w:rsidRPr="00146E23">
          <w:rPr>
            <w:rStyle w:val="Hyperlink"/>
          </w:rPr>
          <w:t>Figuur 4.</w:t>
        </w:r>
        <w:r w:rsidR="00544F0F">
          <w:rPr>
            <w:rFonts w:asciiTheme="minorHAnsi" w:eastAsiaTheme="minorEastAsia" w:hAnsiTheme="minorHAnsi"/>
            <w:color w:val="auto"/>
            <w:sz w:val="22"/>
            <w:lang w:val="nl-BE" w:eastAsia="nl-BE"/>
          </w:rPr>
          <w:tab/>
        </w:r>
        <w:r w:rsidR="00544F0F" w:rsidRPr="00146E23">
          <w:rPr>
            <w:rStyle w:val="Hyperlink"/>
          </w:rPr>
          <w:t>De evaluatie van innovatie beheren in POP's 2014-2020</w:t>
        </w:r>
        <w:r w:rsidR="00544F0F">
          <w:rPr>
            <w:webHidden/>
          </w:rPr>
          <w:tab/>
        </w:r>
        <w:r w:rsidR="00544F0F">
          <w:rPr>
            <w:webHidden/>
          </w:rPr>
          <w:fldChar w:fldCharType="begin"/>
        </w:r>
        <w:r w:rsidR="00544F0F">
          <w:rPr>
            <w:webHidden/>
          </w:rPr>
          <w:instrText xml:space="preserve"> PAGEREF _Toc511656295 \h </w:instrText>
        </w:r>
        <w:r w:rsidR="00544F0F">
          <w:rPr>
            <w:webHidden/>
          </w:rPr>
        </w:r>
        <w:r w:rsidR="00544F0F">
          <w:rPr>
            <w:webHidden/>
          </w:rPr>
          <w:fldChar w:fldCharType="separate"/>
        </w:r>
        <w:r w:rsidR="008078F6">
          <w:rPr>
            <w:webHidden/>
          </w:rPr>
          <w:t>20</w:t>
        </w:r>
        <w:r w:rsidR="00544F0F">
          <w:rPr>
            <w:webHidden/>
          </w:rPr>
          <w:fldChar w:fldCharType="end"/>
        </w:r>
      </w:hyperlink>
    </w:p>
    <w:p w:rsidR="00544F0F" w:rsidRDefault="008957BE">
      <w:pPr>
        <w:pStyle w:val="TOC4"/>
        <w:tabs>
          <w:tab w:val="left" w:pos="1100"/>
          <w:tab w:val="right" w:leader="dot" w:pos="9040"/>
        </w:tabs>
        <w:rPr>
          <w:rFonts w:asciiTheme="minorHAnsi" w:eastAsiaTheme="minorEastAsia" w:hAnsiTheme="minorHAnsi"/>
          <w:color w:val="auto"/>
          <w:sz w:val="22"/>
          <w:lang w:val="nl-BE" w:eastAsia="nl-BE"/>
        </w:rPr>
      </w:pPr>
      <w:hyperlink w:anchor="_Toc511656296" w:history="1">
        <w:r w:rsidR="00544F0F" w:rsidRPr="00146E23">
          <w:rPr>
            <w:rStyle w:val="Hyperlink"/>
          </w:rPr>
          <w:t>Figuur 5.</w:t>
        </w:r>
        <w:r w:rsidR="00544F0F">
          <w:rPr>
            <w:rFonts w:asciiTheme="minorHAnsi" w:eastAsiaTheme="minorEastAsia" w:hAnsiTheme="minorHAnsi"/>
            <w:color w:val="auto"/>
            <w:sz w:val="22"/>
            <w:lang w:val="nl-BE" w:eastAsia="nl-BE"/>
          </w:rPr>
          <w:tab/>
        </w:r>
        <w:r w:rsidR="00544F0F" w:rsidRPr="00146E23">
          <w:rPr>
            <w:rStyle w:val="Hyperlink"/>
          </w:rPr>
          <w:t>Rapportagevereisten met betrekking tot innovatie</w:t>
        </w:r>
        <w:r w:rsidR="00544F0F">
          <w:rPr>
            <w:webHidden/>
          </w:rPr>
          <w:tab/>
        </w:r>
        <w:r w:rsidR="00544F0F">
          <w:rPr>
            <w:webHidden/>
          </w:rPr>
          <w:fldChar w:fldCharType="begin"/>
        </w:r>
        <w:r w:rsidR="00544F0F">
          <w:rPr>
            <w:webHidden/>
          </w:rPr>
          <w:instrText xml:space="preserve"> PAGEREF _Toc511656296 \h </w:instrText>
        </w:r>
        <w:r w:rsidR="00544F0F">
          <w:rPr>
            <w:webHidden/>
          </w:rPr>
        </w:r>
        <w:r w:rsidR="00544F0F">
          <w:rPr>
            <w:webHidden/>
          </w:rPr>
          <w:fldChar w:fldCharType="separate"/>
        </w:r>
        <w:r w:rsidR="008078F6">
          <w:rPr>
            <w:webHidden/>
          </w:rPr>
          <w:t>21</w:t>
        </w:r>
        <w:r w:rsidR="00544F0F">
          <w:rPr>
            <w:webHidden/>
          </w:rPr>
          <w:fldChar w:fldCharType="end"/>
        </w:r>
      </w:hyperlink>
    </w:p>
    <w:p w:rsidR="00544F0F" w:rsidRDefault="008957BE">
      <w:pPr>
        <w:pStyle w:val="TOC4"/>
        <w:tabs>
          <w:tab w:val="left" w:pos="1100"/>
          <w:tab w:val="right" w:leader="dot" w:pos="9040"/>
        </w:tabs>
        <w:rPr>
          <w:rFonts w:asciiTheme="minorHAnsi" w:eastAsiaTheme="minorEastAsia" w:hAnsiTheme="minorHAnsi"/>
          <w:color w:val="auto"/>
          <w:sz w:val="22"/>
          <w:lang w:val="nl-BE" w:eastAsia="nl-BE"/>
        </w:rPr>
      </w:pPr>
      <w:hyperlink w:anchor="_Toc511656298" w:history="1">
        <w:r w:rsidR="00544F0F" w:rsidRPr="00146E23">
          <w:rPr>
            <w:rStyle w:val="Hyperlink"/>
          </w:rPr>
          <w:t>Figuur 6.</w:t>
        </w:r>
        <w:r w:rsidR="00544F0F">
          <w:rPr>
            <w:rFonts w:asciiTheme="minorHAnsi" w:eastAsiaTheme="minorEastAsia" w:hAnsiTheme="minorHAnsi"/>
            <w:color w:val="auto"/>
            <w:sz w:val="22"/>
            <w:lang w:val="nl-BE" w:eastAsia="nl-BE"/>
          </w:rPr>
          <w:tab/>
        </w:r>
        <w:r w:rsidR="00544F0F" w:rsidRPr="00146E23">
          <w:rPr>
            <w:rStyle w:val="Hyperlink"/>
          </w:rPr>
          <w:t>Benadering voor de evaluatie van innovatie in POP's</w:t>
        </w:r>
        <w:r w:rsidR="00544F0F">
          <w:rPr>
            <w:webHidden/>
          </w:rPr>
          <w:tab/>
        </w:r>
        <w:r w:rsidR="00544F0F">
          <w:rPr>
            <w:webHidden/>
          </w:rPr>
          <w:fldChar w:fldCharType="begin"/>
        </w:r>
        <w:r w:rsidR="00544F0F">
          <w:rPr>
            <w:webHidden/>
          </w:rPr>
          <w:instrText xml:space="preserve"> PAGEREF _Toc511656298 \h </w:instrText>
        </w:r>
        <w:r w:rsidR="00544F0F">
          <w:rPr>
            <w:webHidden/>
          </w:rPr>
        </w:r>
        <w:r w:rsidR="00544F0F">
          <w:rPr>
            <w:webHidden/>
          </w:rPr>
          <w:fldChar w:fldCharType="separate"/>
        </w:r>
        <w:r w:rsidR="008078F6">
          <w:rPr>
            <w:webHidden/>
          </w:rPr>
          <w:t>23</w:t>
        </w:r>
        <w:r w:rsidR="00544F0F">
          <w:rPr>
            <w:webHidden/>
          </w:rPr>
          <w:fldChar w:fldCharType="end"/>
        </w:r>
      </w:hyperlink>
    </w:p>
    <w:p w:rsidR="00544F0F" w:rsidRDefault="008957BE">
      <w:pPr>
        <w:pStyle w:val="TOC4"/>
        <w:tabs>
          <w:tab w:val="left" w:pos="1100"/>
          <w:tab w:val="right" w:leader="dot" w:pos="9040"/>
        </w:tabs>
        <w:rPr>
          <w:rFonts w:asciiTheme="minorHAnsi" w:eastAsiaTheme="minorEastAsia" w:hAnsiTheme="minorHAnsi"/>
          <w:color w:val="auto"/>
          <w:sz w:val="22"/>
          <w:lang w:val="nl-BE" w:eastAsia="nl-BE"/>
        </w:rPr>
      </w:pPr>
      <w:hyperlink w:anchor="_Toc511656299" w:history="1">
        <w:r w:rsidR="00544F0F" w:rsidRPr="00146E23">
          <w:rPr>
            <w:rStyle w:val="Hyperlink"/>
          </w:rPr>
          <w:t>Figuur 7.</w:t>
        </w:r>
        <w:r w:rsidR="00544F0F">
          <w:rPr>
            <w:rFonts w:asciiTheme="minorHAnsi" w:eastAsiaTheme="minorEastAsia" w:hAnsiTheme="minorHAnsi"/>
            <w:color w:val="auto"/>
            <w:sz w:val="22"/>
            <w:lang w:val="nl-BE" w:eastAsia="nl-BE"/>
          </w:rPr>
          <w:tab/>
        </w:r>
        <w:r w:rsidR="00544F0F" w:rsidRPr="00146E23">
          <w:rPr>
            <w:rStyle w:val="Hyperlink"/>
          </w:rPr>
          <w:t>Stappen om POP-maatregelen/-submaatregelen te screenen op innovatiepotentieel</w:t>
        </w:r>
        <w:r w:rsidR="00544F0F">
          <w:rPr>
            <w:webHidden/>
          </w:rPr>
          <w:tab/>
        </w:r>
        <w:r w:rsidR="00544F0F">
          <w:rPr>
            <w:webHidden/>
          </w:rPr>
          <w:fldChar w:fldCharType="begin"/>
        </w:r>
        <w:r w:rsidR="00544F0F">
          <w:rPr>
            <w:webHidden/>
          </w:rPr>
          <w:instrText xml:space="preserve"> PAGEREF _Toc511656299 \h </w:instrText>
        </w:r>
        <w:r w:rsidR="00544F0F">
          <w:rPr>
            <w:webHidden/>
          </w:rPr>
        </w:r>
        <w:r w:rsidR="00544F0F">
          <w:rPr>
            <w:webHidden/>
          </w:rPr>
          <w:fldChar w:fldCharType="separate"/>
        </w:r>
        <w:r w:rsidR="008078F6">
          <w:rPr>
            <w:webHidden/>
          </w:rPr>
          <w:t>24</w:t>
        </w:r>
        <w:r w:rsidR="00544F0F">
          <w:rPr>
            <w:webHidden/>
          </w:rPr>
          <w:fldChar w:fldCharType="end"/>
        </w:r>
      </w:hyperlink>
    </w:p>
    <w:p w:rsidR="00544F0F" w:rsidRDefault="008957BE">
      <w:pPr>
        <w:pStyle w:val="TOC4"/>
        <w:tabs>
          <w:tab w:val="left" w:pos="1100"/>
          <w:tab w:val="right" w:leader="dot" w:pos="9040"/>
        </w:tabs>
        <w:rPr>
          <w:rFonts w:asciiTheme="minorHAnsi" w:eastAsiaTheme="minorEastAsia" w:hAnsiTheme="minorHAnsi"/>
          <w:color w:val="auto"/>
          <w:sz w:val="22"/>
          <w:lang w:val="nl-BE" w:eastAsia="nl-BE"/>
        </w:rPr>
      </w:pPr>
      <w:hyperlink w:anchor="_Toc511656300" w:history="1">
        <w:r w:rsidR="00544F0F" w:rsidRPr="00146E23">
          <w:rPr>
            <w:rStyle w:val="Hyperlink"/>
          </w:rPr>
          <w:t>Figuur 8.</w:t>
        </w:r>
        <w:r w:rsidR="00544F0F">
          <w:rPr>
            <w:rFonts w:asciiTheme="minorHAnsi" w:eastAsiaTheme="minorEastAsia" w:hAnsiTheme="minorHAnsi"/>
            <w:color w:val="auto"/>
            <w:sz w:val="22"/>
            <w:lang w:val="nl-BE" w:eastAsia="nl-BE"/>
          </w:rPr>
          <w:tab/>
        </w:r>
        <w:r w:rsidR="00544F0F" w:rsidRPr="00146E23">
          <w:rPr>
            <w:rStyle w:val="Hyperlink"/>
          </w:rPr>
          <w:t>Voorbeeld van aan CEQ nr. 1 gekoppelde interventielogica</w:t>
        </w:r>
        <w:r w:rsidR="00544F0F">
          <w:rPr>
            <w:webHidden/>
          </w:rPr>
          <w:tab/>
        </w:r>
        <w:r w:rsidR="00544F0F">
          <w:rPr>
            <w:webHidden/>
          </w:rPr>
          <w:fldChar w:fldCharType="begin"/>
        </w:r>
        <w:r w:rsidR="00544F0F">
          <w:rPr>
            <w:webHidden/>
          </w:rPr>
          <w:instrText xml:space="preserve"> PAGEREF _Toc511656300 \h </w:instrText>
        </w:r>
        <w:r w:rsidR="00544F0F">
          <w:rPr>
            <w:webHidden/>
          </w:rPr>
        </w:r>
        <w:r w:rsidR="00544F0F">
          <w:rPr>
            <w:webHidden/>
          </w:rPr>
          <w:fldChar w:fldCharType="separate"/>
        </w:r>
        <w:r w:rsidR="008078F6">
          <w:rPr>
            <w:webHidden/>
          </w:rPr>
          <w:t>32</w:t>
        </w:r>
        <w:r w:rsidR="00544F0F">
          <w:rPr>
            <w:webHidden/>
          </w:rPr>
          <w:fldChar w:fldCharType="end"/>
        </w:r>
      </w:hyperlink>
    </w:p>
    <w:p w:rsidR="00544F0F" w:rsidRDefault="008957BE">
      <w:pPr>
        <w:pStyle w:val="TOC4"/>
        <w:tabs>
          <w:tab w:val="left" w:pos="1100"/>
          <w:tab w:val="right" w:leader="dot" w:pos="9040"/>
        </w:tabs>
        <w:rPr>
          <w:rFonts w:asciiTheme="minorHAnsi" w:eastAsiaTheme="minorEastAsia" w:hAnsiTheme="minorHAnsi"/>
          <w:color w:val="auto"/>
          <w:sz w:val="22"/>
          <w:lang w:val="nl-BE" w:eastAsia="nl-BE"/>
        </w:rPr>
      </w:pPr>
      <w:hyperlink w:anchor="_Toc511656301" w:history="1">
        <w:r w:rsidR="00544F0F" w:rsidRPr="00146E23">
          <w:rPr>
            <w:rStyle w:val="Hyperlink"/>
          </w:rPr>
          <w:t>Figuur 9.</w:t>
        </w:r>
        <w:r w:rsidR="00544F0F">
          <w:rPr>
            <w:rFonts w:asciiTheme="minorHAnsi" w:eastAsiaTheme="minorEastAsia" w:hAnsiTheme="minorHAnsi"/>
            <w:color w:val="auto"/>
            <w:sz w:val="22"/>
            <w:lang w:val="nl-BE" w:eastAsia="nl-BE"/>
          </w:rPr>
          <w:tab/>
        </w:r>
        <w:r w:rsidR="00544F0F" w:rsidRPr="00146E23">
          <w:rPr>
            <w:rStyle w:val="Hyperlink"/>
          </w:rPr>
          <w:t>Voorbeeld van het innovatiepotentieel van elke submaatregel van M16</w:t>
        </w:r>
        <w:r w:rsidR="00544F0F">
          <w:rPr>
            <w:webHidden/>
          </w:rPr>
          <w:tab/>
        </w:r>
        <w:r w:rsidR="00544F0F">
          <w:rPr>
            <w:webHidden/>
          </w:rPr>
          <w:fldChar w:fldCharType="begin"/>
        </w:r>
        <w:r w:rsidR="00544F0F">
          <w:rPr>
            <w:webHidden/>
          </w:rPr>
          <w:instrText xml:space="preserve"> PAGEREF _Toc511656301 \h </w:instrText>
        </w:r>
        <w:r w:rsidR="00544F0F">
          <w:rPr>
            <w:webHidden/>
          </w:rPr>
        </w:r>
        <w:r w:rsidR="00544F0F">
          <w:rPr>
            <w:webHidden/>
          </w:rPr>
          <w:fldChar w:fldCharType="separate"/>
        </w:r>
        <w:r w:rsidR="008078F6">
          <w:rPr>
            <w:webHidden/>
          </w:rPr>
          <w:t>41</w:t>
        </w:r>
        <w:r w:rsidR="00544F0F">
          <w:rPr>
            <w:webHidden/>
          </w:rPr>
          <w:fldChar w:fldCharType="end"/>
        </w:r>
      </w:hyperlink>
    </w:p>
    <w:p w:rsidR="00544F0F" w:rsidRDefault="008957BE">
      <w:pPr>
        <w:pStyle w:val="TOC4"/>
        <w:tabs>
          <w:tab w:val="left" w:pos="1320"/>
          <w:tab w:val="right" w:leader="dot" w:pos="9040"/>
        </w:tabs>
        <w:rPr>
          <w:rFonts w:asciiTheme="minorHAnsi" w:eastAsiaTheme="minorEastAsia" w:hAnsiTheme="minorHAnsi"/>
          <w:color w:val="auto"/>
          <w:sz w:val="22"/>
          <w:lang w:val="nl-BE" w:eastAsia="nl-BE"/>
        </w:rPr>
      </w:pPr>
      <w:hyperlink w:anchor="_Toc511656302" w:history="1">
        <w:r w:rsidR="00544F0F" w:rsidRPr="00146E23">
          <w:rPr>
            <w:rStyle w:val="Hyperlink"/>
          </w:rPr>
          <w:t>Figuur 10.</w:t>
        </w:r>
        <w:r w:rsidR="00544F0F">
          <w:rPr>
            <w:rFonts w:asciiTheme="minorHAnsi" w:eastAsiaTheme="minorEastAsia" w:hAnsiTheme="minorHAnsi"/>
            <w:color w:val="auto"/>
            <w:sz w:val="22"/>
            <w:lang w:val="nl-BE" w:eastAsia="nl-BE"/>
          </w:rPr>
          <w:tab/>
        </w:r>
        <w:r w:rsidR="00544F0F" w:rsidRPr="00146E23">
          <w:rPr>
            <w:rStyle w:val="Hyperlink"/>
          </w:rPr>
          <w:t>Interventielogica van het NPN met betrekking tot innovatie</w:t>
        </w:r>
        <w:r w:rsidR="00544F0F">
          <w:rPr>
            <w:webHidden/>
          </w:rPr>
          <w:tab/>
        </w:r>
        <w:r w:rsidR="00544F0F">
          <w:rPr>
            <w:webHidden/>
          </w:rPr>
          <w:fldChar w:fldCharType="begin"/>
        </w:r>
        <w:r w:rsidR="00544F0F">
          <w:rPr>
            <w:webHidden/>
          </w:rPr>
          <w:instrText xml:space="preserve"> PAGEREF _Toc511656302 \h </w:instrText>
        </w:r>
        <w:r w:rsidR="00544F0F">
          <w:rPr>
            <w:webHidden/>
          </w:rPr>
        </w:r>
        <w:r w:rsidR="00544F0F">
          <w:rPr>
            <w:webHidden/>
          </w:rPr>
          <w:fldChar w:fldCharType="separate"/>
        </w:r>
        <w:r w:rsidR="008078F6">
          <w:rPr>
            <w:webHidden/>
          </w:rPr>
          <w:t>52</w:t>
        </w:r>
        <w:r w:rsidR="00544F0F">
          <w:rPr>
            <w:webHidden/>
          </w:rPr>
          <w:fldChar w:fldCharType="end"/>
        </w:r>
      </w:hyperlink>
    </w:p>
    <w:p w:rsidR="00544F0F" w:rsidRDefault="008957BE">
      <w:pPr>
        <w:pStyle w:val="TOC4"/>
        <w:tabs>
          <w:tab w:val="left" w:pos="1320"/>
          <w:tab w:val="right" w:leader="dot" w:pos="9040"/>
        </w:tabs>
        <w:rPr>
          <w:rFonts w:asciiTheme="minorHAnsi" w:eastAsiaTheme="minorEastAsia" w:hAnsiTheme="minorHAnsi"/>
          <w:color w:val="auto"/>
          <w:sz w:val="22"/>
          <w:lang w:val="nl-BE" w:eastAsia="nl-BE"/>
        </w:rPr>
      </w:pPr>
      <w:hyperlink w:anchor="_Toc511656303" w:history="1">
        <w:r w:rsidR="00544F0F" w:rsidRPr="00146E23">
          <w:rPr>
            <w:rStyle w:val="Hyperlink"/>
          </w:rPr>
          <w:t>Figuur 11.</w:t>
        </w:r>
        <w:r w:rsidR="00544F0F">
          <w:rPr>
            <w:rFonts w:asciiTheme="minorHAnsi" w:eastAsiaTheme="minorEastAsia" w:hAnsiTheme="minorHAnsi"/>
            <w:color w:val="auto"/>
            <w:sz w:val="22"/>
            <w:lang w:val="nl-BE" w:eastAsia="nl-BE"/>
          </w:rPr>
          <w:tab/>
        </w:r>
        <w:r w:rsidR="00544F0F" w:rsidRPr="00146E23">
          <w:rPr>
            <w:rStyle w:val="Hyperlink"/>
          </w:rPr>
          <w:t>Voorbeeld van interventielogica voor CEQ nr. 30</w:t>
        </w:r>
        <w:r w:rsidR="00544F0F">
          <w:rPr>
            <w:webHidden/>
          </w:rPr>
          <w:tab/>
        </w:r>
        <w:r w:rsidR="00544F0F">
          <w:rPr>
            <w:webHidden/>
          </w:rPr>
          <w:fldChar w:fldCharType="begin"/>
        </w:r>
        <w:r w:rsidR="00544F0F">
          <w:rPr>
            <w:webHidden/>
          </w:rPr>
          <w:instrText xml:space="preserve"> PAGEREF _Toc511656303 \h </w:instrText>
        </w:r>
        <w:r w:rsidR="00544F0F">
          <w:rPr>
            <w:webHidden/>
          </w:rPr>
        </w:r>
        <w:r w:rsidR="00544F0F">
          <w:rPr>
            <w:webHidden/>
          </w:rPr>
          <w:fldChar w:fldCharType="separate"/>
        </w:r>
        <w:r w:rsidR="008078F6">
          <w:rPr>
            <w:webHidden/>
          </w:rPr>
          <w:t>71</w:t>
        </w:r>
        <w:r w:rsidR="00544F0F">
          <w:rPr>
            <w:webHidden/>
          </w:rPr>
          <w:fldChar w:fldCharType="end"/>
        </w:r>
      </w:hyperlink>
    </w:p>
    <w:p w:rsidR="00E05D08" w:rsidRPr="00E05D08" w:rsidRDefault="002F11D9" w:rsidP="00530DA6">
      <w:pPr>
        <w:tabs>
          <w:tab w:val="left" w:pos="1540"/>
          <w:tab w:val="right" w:leader="dot" w:pos="9016"/>
        </w:tabs>
        <w:ind w:left="1560" w:hanging="1340"/>
        <w:rPr>
          <w:rFonts w:eastAsia="Times New Roman" w:cs="Times New Roman"/>
          <w:szCs w:val="20"/>
        </w:rPr>
      </w:pPr>
      <w:r>
        <w:rPr>
          <w:rStyle w:val="Hyperlink"/>
          <w14:scene3d>
            <w14:camera w14:prst="orthographicFront"/>
            <w14:lightRig w14:rig="threePt" w14:dir="t">
              <w14:rot w14:lat="0" w14:lon="0" w14:rev="0"/>
            </w14:lightRig>
          </w14:scene3d>
        </w:rPr>
        <w:fldChar w:fldCharType="end"/>
      </w:r>
    </w:p>
    <w:p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400064">
          <w:headerReference w:type="even" r:id="rId13"/>
          <w:footerReference w:type="even" r:id="rId14"/>
          <w:footerReference w:type="default" r:id="rId15"/>
          <w:headerReference w:type="first" r:id="rId16"/>
          <w:footerReference w:type="first" r:id="rId17"/>
          <w:endnotePr>
            <w:numFmt w:val="decimal"/>
          </w:endnotePr>
          <w:pgSz w:w="11906" w:h="16838" w:code="9"/>
          <w:pgMar w:top="1440" w:right="1416" w:bottom="1134" w:left="1440" w:header="567" w:footer="1021" w:gutter="0"/>
          <w:pgNumType w:start="3"/>
          <w:cols w:space="708"/>
          <w:titlePg/>
          <w:docGrid w:linePitch="360"/>
        </w:sectPr>
      </w:pPr>
    </w:p>
    <w:p w:rsidR="006D209F" w:rsidRDefault="006D209F" w:rsidP="00E05D08">
      <w:pPr>
        <w:keepNext/>
        <w:spacing w:before="360" w:after="360" w:line="280" w:lineRule="atLeast"/>
        <w:outlineLvl w:val="0"/>
        <w:rPr>
          <w:rFonts w:ascii="Helvetica" w:eastAsia="Times New Roman" w:hAnsi="Helvetica" w:cs="Times New Roman"/>
          <w:b/>
          <w:bCs/>
          <w:caps/>
          <w:color w:val="F07E31"/>
          <w:kern w:val="32"/>
          <w:sz w:val="24"/>
          <w:szCs w:val="24"/>
        </w:rPr>
      </w:pPr>
      <w:r>
        <w:lastRenderedPageBreak/>
        <w:br w:type="page"/>
      </w:r>
    </w:p>
    <w:p w:rsidR="00E05D08" w:rsidRPr="00E05D08" w:rsidRDefault="00E05D08" w:rsidP="00E05D08">
      <w:pPr>
        <w:keepNext/>
        <w:spacing w:before="360" w:after="360" w:line="280" w:lineRule="atLeast"/>
        <w:outlineLvl w:val="0"/>
        <w:rPr>
          <w:rFonts w:ascii="Helvetica" w:eastAsia="Times New Roman" w:hAnsi="Helvetica" w:cs="Times New Roman"/>
          <w:b/>
          <w:bCs/>
          <w:caps/>
          <w:color w:val="F07E31"/>
          <w:kern w:val="32"/>
          <w:sz w:val="24"/>
          <w:szCs w:val="24"/>
        </w:rPr>
      </w:pPr>
      <w:r>
        <w:rPr>
          <w:rFonts w:ascii="Helvetica" w:hAnsi="Helvetica"/>
          <w:b/>
          <w:bCs/>
          <w:caps/>
          <w:color w:val="F07E31"/>
          <w:sz w:val="24"/>
          <w:szCs w:val="24"/>
        </w:rPr>
        <w:lastRenderedPageBreak/>
        <w:t>Dankwoord</w:t>
      </w:r>
    </w:p>
    <w:p w:rsidR="00E05D08" w:rsidRPr="00E05D08" w:rsidRDefault="00E05D08" w:rsidP="00E05D08">
      <w:pPr>
        <w:spacing w:after="120" w:line="280" w:lineRule="atLeast"/>
        <w:mirrorIndents/>
        <w:rPr>
          <w:rFonts w:eastAsia="Times New Roman" w:cs="Times New Roman"/>
          <w:i/>
          <w:szCs w:val="20"/>
        </w:rPr>
      </w:pPr>
      <w:r>
        <w:rPr>
          <w:i/>
          <w:szCs w:val="20"/>
        </w:rPr>
        <w:t xml:space="preserve">De richtsnoeren zijn opgesteld door een team van deskundigen van de Europese evaluatiehelpdesk voor plattelandsontwikkeling, onder </w:t>
      </w:r>
      <w:r w:rsidR="007E3DBC">
        <w:rPr>
          <w:i/>
          <w:szCs w:val="20"/>
        </w:rPr>
        <w:t xml:space="preserve">wie </w:t>
      </w:r>
      <w:r>
        <w:rPr>
          <w:i/>
          <w:szCs w:val="20"/>
        </w:rPr>
        <w:t>Boru Douthwaite, Marili Parissaki, Andreas Resch, Jela Tvrdonova, Valérie Dumont, Matteo Metta, Myles Stiffler</w:t>
      </w:r>
      <w:r w:rsidR="007E3DBC">
        <w:rPr>
          <w:i/>
          <w:szCs w:val="20"/>
        </w:rPr>
        <w:t xml:space="preserve"> en</w:t>
      </w:r>
      <w:r>
        <w:rPr>
          <w:i/>
          <w:szCs w:val="20"/>
        </w:rPr>
        <w:t xml:space="preserve"> Hannes Wimmer. </w:t>
      </w:r>
    </w:p>
    <w:p w:rsidR="00E05D08" w:rsidRPr="00E05D08" w:rsidRDefault="007E3DBC" w:rsidP="00E05D08">
      <w:pPr>
        <w:spacing w:after="120" w:line="280" w:lineRule="atLeast"/>
        <w:mirrorIndents/>
        <w:rPr>
          <w:rFonts w:eastAsia="Times New Roman" w:cs="Times New Roman"/>
          <w:i/>
          <w:szCs w:val="20"/>
        </w:rPr>
      </w:pPr>
      <w:r>
        <w:rPr>
          <w:i/>
          <w:szCs w:val="20"/>
        </w:rPr>
        <w:t xml:space="preserve">Diverse </w:t>
      </w:r>
      <w:r w:rsidR="00E05D08">
        <w:rPr>
          <w:i/>
          <w:szCs w:val="20"/>
        </w:rPr>
        <w:t xml:space="preserve">deskundigen hebben </w:t>
      </w:r>
      <w:r>
        <w:rPr>
          <w:i/>
          <w:szCs w:val="20"/>
        </w:rPr>
        <w:t>gefungeerd als peer reviewer</w:t>
      </w:r>
      <w:r w:rsidR="00E05D08">
        <w:rPr>
          <w:i/>
          <w:szCs w:val="20"/>
        </w:rPr>
        <w:t xml:space="preserve"> (Anna Maria Augustyn, Simona Cristiano, Anikó Juhász, Bill Slee) of </w:t>
      </w:r>
      <w:r>
        <w:rPr>
          <w:i/>
          <w:szCs w:val="20"/>
        </w:rPr>
        <w:t xml:space="preserve">hebben </w:t>
      </w:r>
      <w:r w:rsidR="00E05D08">
        <w:rPr>
          <w:i/>
          <w:szCs w:val="20"/>
        </w:rPr>
        <w:t xml:space="preserve">hun kennis </w:t>
      </w:r>
      <w:r>
        <w:rPr>
          <w:i/>
          <w:szCs w:val="20"/>
        </w:rPr>
        <w:t>over</w:t>
      </w:r>
      <w:r w:rsidR="00E05D08">
        <w:rPr>
          <w:i/>
          <w:szCs w:val="20"/>
        </w:rPr>
        <w:t xml:space="preserve"> evaluatiepraktijken</w:t>
      </w:r>
      <w:r>
        <w:rPr>
          <w:i/>
          <w:szCs w:val="20"/>
        </w:rPr>
        <w:t xml:space="preserve"> ingebracht</w:t>
      </w:r>
      <w:r w:rsidR="00E05D08">
        <w:rPr>
          <w:i/>
          <w:szCs w:val="20"/>
        </w:rPr>
        <w:t xml:space="preserve"> (Bart Van Herck, Dimitris Skuras). </w:t>
      </w:r>
    </w:p>
    <w:p w:rsidR="00E05D08" w:rsidRPr="00E05D08" w:rsidRDefault="00E05D08" w:rsidP="00E05D08">
      <w:pPr>
        <w:spacing w:after="120" w:line="280" w:lineRule="atLeast"/>
        <w:mirrorIndents/>
        <w:rPr>
          <w:rFonts w:eastAsia="Times New Roman" w:cs="Times New Roman"/>
          <w:i/>
          <w:szCs w:val="20"/>
        </w:rPr>
      </w:pPr>
      <w:r>
        <w:rPr>
          <w:i/>
          <w:szCs w:val="20"/>
        </w:rPr>
        <w:t xml:space="preserve">Vertegenwoordigers van het DG </w:t>
      </w:r>
      <w:r w:rsidR="007E3DBC">
        <w:rPr>
          <w:i/>
          <w:szCs w:val="20"/>
        </w:rPr>
        <w:t>AGRI</w:t>
      </w:r>
      <w:r>
        <w:rPr>
          <w:i/>
          <w:szCs w:val="20"/>
        </w:rPr>
        <w:t xml:space="preserve"> hebben</w:t>
      </w:r>
      <w:r w:rsidR="007E3DBC">
        <w:rPr>
          <w:i/>
          <w:szCs w:val="20"/>
        </w:rPr>
        <w:t xml:space="preserve"> gezorgd voor</w:t>
      </w:r>
      <w:r>
        <w:rPr>
          <w:i/>
          <w:szCs w:val="20"/>
        </w:rPr>
        <w:t xml:space="preserve"> de samenhang van de richtsnoeren met het beleidskader van de EU.</w:t>
      </w:r>
    </w:p>
    <w:p w:rsidR="00E05D08" w:rsidRPr="00E05D08" w:rsidRDefault="00E05D08" w:rsidP="00E05D08">
      <w:pPr>
        <w:spacing w:after="120" w:line="280" w:lineRule="atLeast"/>
        <w:mirrorIndents/>
        <w:rPr>
          <w:rFonts w:eastAsia="Times New Roman" w:cs="Times New Roman"/>
          <w:i/>
          <w:szCs w:val="20"/>
        </w:rPr>
      </w:pPr>
      <w:r>
        <w:rPr>
          <w:i/>
          <w:szCs w:val="20"/>
        </w:rPr>
        <w:t>Vertegenwoordigers van de lidstaten hebben op</w:t>
      </w:r>
      <w:r w:rsidR="007E3DBC">
        <w:rPr>
          <w:i/>
          <w:szCs w:val="20"/>
        </w:rPr>
        <w:t>- en aan</w:t>
      </w:r>
      <w:r>
        <w:rPr>
          <w:i/>
          <w:szCs w:val="20"/>
        </w:rPr>
        <w:t>merkingen over de ontwerpversies van de richtsnoeren gemaakt</w:t>
      </w:r>
      <w:r w:rsidR="007E3DBC">
        <w:rPr>
          <w:i/>
          <w:szCs w:val="20"/>
        </w:rPr>
        <w:t>, en wel tijdens</w:t>
      </w:r>
      <w:r>
        <w:rPr>
          <w:i/>
          <w:szCs w:val="20"/>
        </w:rPr>
        <w:t xml:space="preserve"> de klankbordbijeenkomst op 22 maart 2017 en tijdens de elfde bijeenkomst van de deskundigengroep </w:t>
      </w:r>
      <w:r w:rsidR="007E3DBC">
        <w:rPr>
          <w:i/>
          <w:szCs w:val="20"/>
        </w:rPr>
        <w:t xml:space="preserve">voor de </w:t>
      </w:r>
      <w:r>
        <w:rPr>
          <w:i/>
          <w:szCs w:val="20"/>
        </w:rPr>
        <w:t xml:space="preserve">monitoring en evaluatie van het GLB op 10 mei 2017.  </w:t>
      </w:r>
    </w:p>
    <w:p w:rsidR="00E05D08" w:rsidRPr="00E05D08" w:rsidRDefault="00E05D08" w:rsidP="00E05D08">
      <w:pPr>
        <w:spacing w:after="120" w:line="280" w:lineRule="atLeast"/>
        <w:mirrorIndents/>
        <w:rPr>
          <w:rFonts w:eastAsia="Times New Roman" w:cs="Times New Roman"/>
          <w:i/>
          <w:szCs w:val="20"/>
        </w:rPr>
      </w:pPr>
      <w:r>
        <w:rPr>
          <w:i/>
          <w:szCs w:val="20"/>
        </w:rPr>
        <w:t xml:space="preserve">Het </w:t>
      </w:r>
      <w:r w:rsidR="007E3DBC">
        <w:rPr>
          <w:i/>
          <w:szCs w:val="20"/>
        </w:rPr>
        <w:t>ENPO-</w:t>
      </w:r>
      <w:r>
        <w:rPr>
          <w:i/>
          <w:szCs w:val="20"/>
        </w:rPr>
        <w:t xml:space="preserve">contactpunt en het </w:t>
      </w:r>
      <w:r w:rsidR="007E3DBC">
        <w:rPr>
          <w:i/>
          <w:szCs w:val="20"/>
        </w:rPr>
        <w:t>EIP-</w:t>
      </w:r>
      <w:r>
        <w:rPr>
          <w:i/>
          <w:szCs w:val="20"/>
        </w:rPr>
        <w:t xml:space="preserve">servicepunt </w:t>
      </w:r>
      <w:r w:rsidR="007E3DBC">
        <w:rPr>
          <w:i/>
          <w:szCs w:val="20"/>
        </w:rPr>
        <w:t xml:space="preserve">hebben </w:t>
      </w:r>
      <w:r>
        <w:rPr>
          <w:i/>
          <w:szCs w:val="20"/>
        </w:rPr>
        <w:t xml:space="preserve">eveneens commentaar </w:t>
      </w:r>
      <w:r w:rsidR="007E3DBC">
        <w:rPr>
          <w:i/>
          <w:szCs w:val="20"/>
        </w:rPr>
        <w:t xml:space="preserve">kunnen leveren </w:t>
      </w:r>
      <w:r>
        <w:rPr>
          <w:i/>
          <w:szCs w:val="20"/>
        </w:rPr>
        <w:t>op de richtsnoeren.</w:t>
      </w:r>
    </w:p>
    <w:p w:rsidR="00E05D08" w:rsidRPr="00E05D08" w:rsidRDefault="00E05D08" w:rsidP="00E05D08">
      <w:pPr>
        <w:spacing w:after="0" w:line="240" w:lineRule="auto"/>
        <w:rPr>
          <w:rFonts w:eastAsia="Times New Roman" w:cs="Times New Roman"/>
          <w:szCs w:val="20"/>
        </w:rPr>
      </w:pPr>
      <w:r>
        <w:br w:type="page"/>
      </w:r>
    </w:p>
    <w:p w:rsidR="00E05D08" w:rsidRPr="000D7890" w:rsidRDefault="00E05D08" w:rsidP="00E05D08">
      <w:pPr>
        <w:spacing w:after="120" w:line="280" w:lineRule="atLeast"/>
        <w:mirrorIndents/>
        <w:rPr>
          <w:rFonts w:eastAsia="Times New Roman" w:cs="Arial"/>
          <w:smallCaps/>
          <w:color w:val="F07E31"/>
          <w:sz w:val="36"/>
          <w:szCs w:val="60"/>
          <w:lang w:val="nl-BE" w:eastAsia="de-DE"/>
        </w:rPr>
        <w:sectPr w:rsidR="00E05D08" w:rsidRPr="000D7890" w:rsidSect="006D209F">
          <w:headerReference w:type="default" r:id="rId18"/>
          <w:footerReference w:type="default" r:id="rId19"/>
          <w:headerReference w:type="first" r:id="rId20"/>
          <w:footerReference w:type="first" r:id="rId21"/>
          <w:endnotePr>
            <w:numFmt w:val="decimal"/>
          </w:endnotePr>
          <w:pgSz w:w="11906" w:h="16838" w:code="9"/>
          <w:pgMar w:top="1440" w:right="1440" w:bottom="1134" w:left="1440" w:header="567" w:footer="1021" w:gutter="0"/>
          <w:cols w:space="708"/>
          <w:noEndnote/>
          <w:titlePg/>
          <w:docGrid w:linePitch="360"/>
        </w:sectPr>
      </w:pPr>
    </w:p>
    <w:p w:rsidR="00E05D08" w:rsidRPr="00E05D08" w:rsidRDefault="00E05D08" w:rsidP="00E05D08">
      <w:pPr>
        <w:spacing w:after="120" w:line="280" w:lineRule="atLeast"/>
        <w:mirrorIndents/>
        <w:rPr>
          <w:rFonts w:eastAsia="Times New Roman" w:cs="Arial"/>
          <w:smallCaps/>
          <w:color w:val="F07E31"/>
          <w:sz w:val="36"/>
          <w:szCs w:val="60"/>
        </w:rPr>
      </w:pPr>
      <w:r>
        <w:rPr>
          <w:smallCaps/>
          <w:color w:val="F07E31"/>
          <w:sz w:val="36"/>
          <w:szCs w:val="60"/>
        </w:rPr>
        <w:lastRenderedPageBreak/>
        <w:t xml:space="preserve">INLEIDING </w:t>
      </w:r>
    </w:p>
    <w:p w:rsidR="00E05D08" w:rsidRPr="00E05D08" w:rsidRDefault="00E05D08" w:rsidP="00E05D08">
      <w:pPr>
        <w:keepNext/>
        <w:spacing w:before="240" w:after="240" w:line="280" w:lineRule="atLeast"/>
        <w:outlineLvl w:val="3"/>
        <w:rPr>
          <w:rFonts w:eastAsia="Times New Roman" w:cs="Times New Roman"/>
          <w:b/>
          <w:bCs/>
          <w:color w:val="57825E"/>
          <w:kern w:val="32"/>
          <w:szCs w:val="24"/>
        </w:rPr>
      </w:pPr>
      <w:r>
        <w:rPr>
          <w:b/>
          <w:bCs/>
          <w:color w:val="57825E"/>
          <w:szCs w:val="24"/>
        </w:rPr>
        <w:t xml:space="preserve">Waarom innovatie in POP's evalueren? </w:t>
      </w:r>
    </w:p>
    <w:p w:rsidR="00A45935" w:rsidRPr="00E05D08" w:rsidRDefault="00E05D08" w:rsidP="00E05D08">
      <w:pPr>
        <w:spacing w:after="120" w:line="280" w:lineRule="atLeast"/>
        <w:mirrorIndents/>
        <w:rPr>
          <w:rFonts w:eastAsia="Times New Roman" w:cs="Times New Roman"/>
          <w:bCs/>
          <w:iCs/>
          <w:color w:val="000000"/>
          <w:szCs w:val="20"/>
        </w:rPr>
      </w:pPr>
      <w:r>
        <w:rPr>
          <w:b/>
          <w:bCs/>
          <w:i/>
          <w:iCs/>
          <w:szCs w:val="20"/>
        </w:rPr>
        <w:t>Innovatie is een van de drie horizontale doelstellingen van plattelandsbeleid</w:t>
      </w:r>
      <w:r>
        <w:rPr>
          <w:rFonts w:eastAsia="Times New Roman" w:cs="Arial"/>
          <w:b/>
          <w:bCs/>
          <w:iCs/>
          <w:color w:val="000000"/>
          <w:szCs w:val="20"/>
          <w:vertAlign w:val="superscript"/>
          <w:lang w:eastAsia="de-DE"/>
        </w:rPr>
        <w:footnoteReference w:id="1"/>
      </w:r>
      <w:r>
        <w:rPr>
          <w:b/>
          <w:bCs/>
          <w:i/>
          <w:iCs/>
          <w:szCs w:val="20"/>
        </w:rPr>
        <w:t>, die bereikt kan worden met de interventies die worden uitgevoerd in het kader van de maatregelen en aandachtsgebieden (AG's) van de plattelandsontwikkelingsprogramma's (POP's) voor 2014-2020</w:t>
      </w:r>
      <w:r>
        <w:rPr>
          <w:rFonts w:eastAsia="Times New Roman" w:cs="Arial"/>
          <w:b/>
          <w:i/>
          <w:iCs/>
          <w:szCs w:val="20"/>
          <w:vertAlign w:val="superscript"/>
          <w:lang w:eastAsia="de-DE"/>
        </w:rPr>
        <w:footnoteReference w:id="2"/>
      </w:r>
      <w:r>
        <w:rPr>
          <w:b/>
          <w:bCs/>
          <w:i/>
          <w:iCs/>
          <w:szCs w:val="20"/>
        </w:rPr>
        <w:t>.</w:t>
      </w:r>
      <w:r>
        <w:rPr>
          <w:b/>
          <w:bCs/>
          <w:i/>
          <w:iCs/>
          <w:color w:val="000000"/>
          <w:szCs w:val="20"/>
        </w:rPr>
        <w:t xml:space="preserve"> </w:t>
      </w:r>
    </w:p>
    <w:p w:rsidR="00A45935" w:rsidRPr="00E05D08" w:rsidRDefault="00A45935" w:rsidP="00E05D08">
      <w:pPr>
        <w:spacing w:after="120" w:line="280" w:lineRule="atLeast"/>
        <w:mirrorIndents/>
        <w:rPr>
          <w:rFonts w:eastAsia="Times New Roman" w:cs="Times New Roman"/>
          <w:szCs w:val="20"/>
        </w:rPr>
      </w:pPr>
      <w:r>
        <w:rPr>
          <w:b/>
          <w:szCs w:val="20"/>
        </w:rPr>
        <w:t>De evaluatie van innovatie is gericht op de resultaten voor deze horizontale doelstelling</w:t>
      </w:r>
      <w:r>
        <w:rPr>
          <w:rFonts w:eastAsia="Times New Roman" w:cs="Arial"/>
          <w:bCs/>
          <w:iCs/>
          <w:color w:val="000000"/>
          <w:szCs w:val="20"/>
          <w:vertAlign w:val="superscript"/>
          <w:lang w:eastAsia="de-DE"/>
        </w:rPr>
        <w:footnoteReference w:id="3"/>
      </w:r>
      <w:r>
        <w:t>. In deze context worden de door het Europees Landbouwfonds voor plattelandsontwikkeling (Elfpo) gesteunde bijdragen van innovatie aan de POP's en de EU-beleidsdoelstellingen beoordeeld om gemeenschappelijke evaluatievragen in verband met innovatie te beantwoorden.</w:t>
      </w:r>
    </w:p>
    <w:p w:rsidR="00A45935" w:rsidRPr="00E05D08" w:rsidRDefault="00A45935" w:rsidP="00E05D08">
      <w:pPr>
        <w:spacing w:after="120" w:line="280" w:lineRule="atLeast"/>
        <w:mirrorIndents/>
        <w:rPr>
          <w:rFonts w:eastAsia="Times New Roman" w:cs="Times New Roman"/>
          <w:szCs w:val="20"/>
        </w:rPr>
      </w:pPr>
      <w:r>
        <w:t>Er zijn verschillende redenen waarom innovatie geëvalueerd moet worden:</w:t>
      </w:r>
    </w:p>
    <w:p w:rsidR="00A45935" w:rsidRPr="00B05B45" w:rsidRDefault="00A45935" w:rsidP="00D77B96">
      <w:pPr>
        <w:pStyle w:val="Hlistbullet"/>
      </w:pPr>
      <w:r>
        <w:rPr>
          <w:b/>
        </w:rPr>
        <w:t>Om verantwoording voor plattelandsontwikkelingsinterventies af te leggen</w:t>
      </w:r>
      <w:r>
        <w:t xml:space="preserve"> en aan te tonen hoe ze innovatie in plattelandsgebieden hebben bevorderd en hebben bijgedragen aan programmaresultaten en gevolgen voor plattelandsbeleid en de strategische EU-doelstellingen voor 2020. </w:t>
      </w:r>
    </w:p>
    <w:p w:rsidR="00A45935" w:rsidRPr="00B05B45" w:rsidRDefault="00A45935" w:rsidP="00D77B96">
      <w:pPr>
        <w:pStyle w:val="Hlistbullet"/>
      </w:pPr>
      <w:r>
        <w:rPr>
          <w:b/>
        </w:rPr>
        <w:t>Om de Elfpo-ondersteuning van innovatie doelgerichter te maken</w:t>
      </w:r>
      <w:r>
        <w:t xml:space="preserve"> door de relevantste programmabegunstigden en gebieden, alsmede de meest geschikte en wenselijke acties te selecteren. </w:t>
      </w:r>
    </w:p>
    <w:p w:rsidR="00A45935" w:rsidRPr="00B05B45" w:rsidRDefault="00A45935" w:rsidP="00D77B96">
      <w:pPr>
        <w:pStyle w:val="Hlistbullet"/>
      </w:pPr>
      <w:r>
        <w:rPr>
          <w:b/>
        </w:rPr>
        <w:t>Om het gemeenschappelijke leerproces onder belanghebbenden te versterken</w:t>
      </w:r>
      <w:r>
        <w:t xml:space="preserve"> met betrekking tot de beste manier om innovatieve projecten te ondersteunen en uit te voeren, namelijk door te leren van eerdere ervaringen en de voorwaarden voor succes te doorgronden. </w:t>
      </w:r>
    </w:p>
    <w:p w:rsidR="00A45935" w:rsidRPr="00E05D08" w:rsidRDefault="00D66182" w:rsidP="00E05D08">
      <w:pPr>
        <w:keepNext/>
        <w:keepLines/>
        <w:tabs>
          <w:tab w:val="left" w:pos="680"/>
        </w:tabs>
        <w:spacing w:before="240" w:after="240" w:line="280" w:lineRule="atLeast"/>
        <w:mirrorIndents/>
        <w:outlineLvl w:val="3"/>
        <w:rPr>
          <w:rFonts w:eastAsia="Times New Roman" w:cs="Arial"/>
          <w:b/>
          <w:color w:val="57825E"/>
          <w:szCs w:val="20"/>
          <w14:textFill>
            <w14:solidFill>
              <w14:srgbClr w14:val="57825E">
                <w14:lumMod w14:val="75000"/>
              </w14:srgbClr>
            </w14:solidFill>
          </w14:textFill>
        </w:rPr>
      </w:pPr>
      <w:r>
        <w:rPr>
          <w:b/>
          <w:noProof/>
          <w:lang w:val="en-GB" w:eastAsia="en-GB"/>
        </w:rPr>
        <mc:AlternateContent>
          <mc:Choice Requires="wps">
            <w:drawing>
              <wp:anchor distT="0" distB="0" distL="114300" distR="114300" simplePos="0" relativeHeight="251644928" behindDoc="0" locked="0" layoutInCell="1" allowOverlap="1" wp14:anchorId="08BFDDFD" wp14:editId="43B3EBDB">
                <wp:simplePos x="0" y="0"/>
                <wp:positionH relativeFrom="column">
                  <wp:posOffset>3114675</wp:posOffset>
                </wp:positionH>
                <wp:positionV relativeFrom="paragraph">
                  <wp:posOffset>191135</wp:posOffset>
                </wp:positionV>
                <wp:extent cx="2872105" cy="3314700"/>
                <wp:effectExtent l="0" t="0" r="23495" b="19050"/>
                <wp:wrapSquare wrapText="bothSides"/>
                <wp:docPr id="90" name="Rectangle: Diagonal Corners Rounded 90"/>
                <wp:cNvGraphicFramePr/>
                <a:graphic xmlns:a="http://schemas.openxmlformats.org/drawingml/2006/main">
                  <a:graphicData uri="http://schemas.microsoft.com/office/word/2010/wordprocessingShape">
                    <wps:wsp>
                      <wps:cNvSpPr/>
                      <wps:spPr>
                        <a:xfrm>
                          <a:off x="0" y="0"/>
                          <a:ext cx="2872105" cy="3314700"/>
                        </a:xfrm>
                        <a:prstGeom prst="round2DiagRect">
                          <a:avLst>
                            <a:gd name="adj1" fmla="val 8733"/>
                            <a:gd name="adj2" fmla="val 0"/>
                          </a:avLst>
                        </a:prstGeom>
                        <a:noFill/>
                        <a:ln w="25400" cap="flat" cmpd="sng" algn="ctr">
                          <a:solidFill>
                            <a:srgbClr val="BE4A35"/>
                          </a:solidFill>
                          <a:prstDash val="solid"/>
                        </a:ln>
                        <a:effectLst/>
                      </wps:spPr>
                      <wps:txbx>
                        <w:txbxContent>
                          <w:p w:rsidR="00891EED" w:rsidRPr="00D74B10" w:rsidRDefault="00891EED" w:rsidP="00E05D08">
                            <w:pPr>
                              <w:pStyle w:val="HBox"/>
                            </w:pPr>
                            <w:r>
                              <w:rPr>
                                <w:noProof/>
                                <w:lang w:val="en-GB" w:eastAsia="en-GB"/>
                              </w:rPr>
                              <w:drawing>
                                <wp:inline distT="0" distB="0" distL="0" distR="0" wp14:anchorId="728B1BDB" wp14:editId="5DB89166">
                                  <wp:extent cx="664845" cy="487680"/>
                                  <wp:effectExtent l="0" t="0" r="0" b="7620"/>
                                  <wp:docPr id="72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Het document dient voornamelijk om andere richtsnoeren aan te vullen en belanghebbenden van POP-evaluatie advies te geven over de manier waarop de evaluatieactiviteiten moeten worden uitgevoerd om </w:t>
                            </w:r>
                            <w:r>
                              <w:rPr>
                                <w:b/>
                              </w:rPr>
                              <w:t xml:space="preserve">de gemeenschappelijke evaluatievragen in verband met innovatie te beantwoorden. </w:t>
                            </w:r>
                            <w:r>
                              <w:t xml:space="preserve">Aangezien verwacht kan worden dat de effecten van POP's op innovatie in plattelandsgebieden zich hoogstwaarschijnlijk </w:t>
                            </w:r>
                            <w:r>
                              <w:rPr>
                                <w:b/>
                              </w:rPr>
                              <w:t>op lange termijn</w:t>
                            </w:r>
                            <w:r>
                              <w:t xml:space="preserve"> zullen voordoen, zijn de richtsnoeren met name gericht op de evaluatiegerelateerde activiteiten die in het in 2019 in te dienen jaarlijks uitvoeringsverslag (JUV) en in de evaluatie achteraf gerapporteerd zullen worden.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FDDFD" id="Rectangle: Diagonal Corners Rounded 90" o:spid="_x0000_s1029" style="position:absolute;left:0;text-align:left;margin-left:245.25pt;margin-top:15.05pt;width:226.15pt;height:26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72105,3314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" adj="-11796480,,5400" path="m250821,l2872105,r,l2872105,3063879v,138525,-112296,250821,-250821,250821l,3314700r,l,250821c,112296,112296,,250821,xe" filled="f" strokecolor="#be4a35" strokeweight="2pt">
                <v:stroke joinstyle="miter"/>
                <v:formulas/>
                <v:path arrowok="t" o:connecttype="custom" o:connectlocs="250821,0;2872105,0;2872105,0;2872105,3063879;2621284,3314700;0,3314700;0,3314700;0,250821;250821,0" o:connectangles="0,0,0,0,0,0,0,0,0" textboxrect="0,0,2872105,3314700"/>
                <v:textbox>
                  <w:txbxContent>
                    <w:p w:rsidR="00891EED" w:rsidRPr="00D74B10" w:rsidRDefault="00891EED" w:rsidP="00E05D08">
                      <w:pPr>
                        <w:pStyle w:val="HBox"/>
                      </w:pPr>
                      <w:r>
                        <w:rPr>
                          <w:noProof/>
                          <w:lang w:val="en-GB" w:eastAsia="en-GB"/>
                        </w:rPr>
                        <w:drawing>
                          <wp:inline distT="0" distB="0" distL="0" distR="0" wp14:anchorId="728B1BDB" wp14:editId="5DB89166">
                            <wp:extent cx="664845" cy="487680"/>
                            <wp:effectExtent l="0" t="0" r="0" b="7620"/>
                            <wp:docPr id="72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Het document dient voornamelijk om andere richtsnoeren aan te vullen en belanghebbenden van POP-evaluatie advies te geven over de manier waarop de evaluatieactiviteiten moeten worden uitgevoerd om </w:t>
                      </w:r>
                      <w:r>
                        <w:rPr>
                          <w:b/>
                        </w:rPr>
                        <w:t xml:space="preserve">de gemeenschappelijke evaluatievragen in verband met innovatie te beantwoorden. </w:t>
                      </w:r>
                      <w:r>
                        <w:t xml:space="preserve">Aangezien verwacht kan worden dat de effecten van POP's op innovatie in plattelandsgebieden zich hoogstwaarschijnlijk </w:t>
                      </w:r>
                      <w:r>
                        <w:rPr>
                          <w:b/>
                        </w:rPr>
                        <w:t>op lange termijn</w:t>
                      </w:r>
                      <w:r>
                        <w:t xml:space="preserve"> zullen voordoen, zijn de richtsnoeren met name gericht op de evaluatiegerelateerde activiteiten die in het in 2019 in te dienen jaarlijks uitvoeringsverslag (JUV) en in de evaluatie achteraf gerapporteerd zullen worden.</w:t>
                      </w:r>
                    </w:p>
                  </w:txbxContent>
                </v:textbox>
                <w10:wrap type="square"/>
              </v:shape>
            </w:pict>
          </mc:Fallback>
        </mc:AlternateContent>
      </w:r>
      <w:r>
        <w:rPr>
          <w:b/>
          <w:color w:val="57825E"/>
          <w:szCs w:val="20"/>
        </w:rPr>
        <w:t>Waarom zijn deze richtsnoeren nodig?</w:t>
      </w:r>
    </w:p>
    <w:p w:rsidR="00A45935" w:rsidRPr="00E05D08" w:rsidRDefault="00A45935" w:rsidP="00E05D08">
      <w:pPr>
        <w:spacing w:after="120" w:line="280" w:lineRule="atLeast"/>
        <w:mirrorIndents/>
        <w:rPr>
          <w:rFonts w:eastAsia="Times New Roman" w:cs="Times New Roman"/>
          <w:szCs w:val="20"/>
        </w:rPr>
      </w:pPr>
      <w:r>
        <w:t xml:space="preserve">Tijdens de programmeringsperiode 2014-2020 </w:t>
      </w:r>
      <w:r>
        <w:rPr>
          <w:b/>
          <w:szCs w:val="20"/>
        </w:rPr>
        <w:t>heeft de evaluatie van innovatie aan belang gewonnen</w:t>
      </w:r>
      <w:r>
        <w:t xml:space="preserve"> door de prominente plaats die het onderwerp heeft ingenomen op de algemene politieke agenda. Programma's voor plattelandsontwikkeling kunnen de innovatieprocessen ondersteunen en verschillende materiële en immateriële resultaten hebben in het programmagebied en in het innovatiesysteem als geheel. </w:t>
      </w:r>
    </w:p>
    <w:p w:rsidR="00A45935" w:rsidRPr="00E05D08" w:rsidRDefault="00A45935" w:rsidP="00E05D08">
      <w:pPr>
        <w:spacing w:after="120" w:line="280" w:lineRule="atLeast"/>
        <w:mirrorIndents/>
        <w:rPr>
          <w:rFonts w:eastAsia="Times New Roman" w:cs="Times New Roman"/>
          <w:szCs w:val="20"/>
        </w:rPr>
      </w:pPr>
      <w:r>
        <w:rPr>
          <w:b/>
          <w:szCs w:val="20"/>
        </w:rPr>
        <w:t>Registratie van deze effecten brengt verschillende methodologische uitdagingen</w:t>
      </w:r>
      <w:r>
        <w:t xml:space="preserve"> voor de evaluatie met zich mee:</w:t>
      </w:r>
      <w:r>
        <w:rPr>
          <w:b/>
          <w:szCs w:val="20"/>
        </w:rPr>
        <w:t xml:space="preserve"> </w:t>
      </w:r>
      <w:r>
        <w:t xml:space="preserve">Hoe moet het onderwerp van de evaluatie bepaald worden? Welke effecten die aan de innovatieprocessen in plattelandsgebieden bijdragen kunnen aan het POP worden toegerekend? Hoe kunnen de uit de </w:t>
      </w:r>
      <w:r>
        <w:lastRenderedPageBreak/>
        <w:t>ondersteuning van het Elfpo voortvloeiende bijdragen van innovatie aan de POP-resultaten en -effecten in ruimer verband worden vastgesteld? Hoe kunnen de resultaten van regionale/nationale/EU-beleidsdoelstellingen worden gemeten?</w:t>
      </w:r>
    </w:p>
    <w:p w:rsidR="00055039" w:rsidRDefault="00A45935" w:rsidP="00A6785E">
      <w:r>
        <w:t xml:space="preserve">De </w:t>
      </w:r>
      <w:r>
        <w:rPr>
          <w:b/>
        </w:rPr>
        <w:t>vierde thematische werkgroep "Evaluatie van innovatie in POP's 2014-2020"</w:t>
      </w:r>
      <w:r>
        <w:t xml:space="preserve"> van de evaluatiehelpdesk was erop gericht: 1) de voornaamste uitdagingen bij de evaluatie van innovatie te onderzoeken en aan te pakken; 2) bestaande evaluatie-ervaringen ter plaatse te beoordelen; 3) praktische oplossingen voor de evaluatie in het POP aan te wijzen en uit te werken; 4) </w:t>
      </w:r>
      <w:r>
        <w:rPr>
          <w:b/>
        </w:rPr>
        <w:t>niet-bindende richtlijnen voor beantwoording van de gemeenschappelijke innovatiegerelateerde evaluatievragen</w:t>
      </w:r>
      <w:r>
        <w:t xml:space="preserve"> te ontwikkelen door de bestaande richtsnoeren en het gemeenschappelijke monitoring- en evaluatiesysteem (GMES) aan te vullen. </w:t>
      </w:r>
    </w:p>
    <w:p w:rsidR="00A45935" w:rsidRPr="00E05D08" w:rsidRDefault="00A45935" w:rsidP="00055039">
      <w:pPr>
        <w:spacing w:after="120" w:line="280" w:lineRule="atLeast"/>
        <w:mirrorIndents/>
        <w:rPr>
          <w:rFonts w:eastAsia="Times New Roman" w:cs="Times New Roman"/>
          <w:b/>
          <w:color w:val="57825E"/>
          <w:szCs w:val="20"/>
        </w:rPr>
      </w:pPr>
      <w:r>
        <w:rPr>
          <w:b/>
          <w:color w:val="57825E"/>
          <w:szCs w:val="20"/>
        </w:rPr>
        <w:t>Voor welke doelgroepen zijn deze richtsnoeren bedoeld?</w:t>
      </w:r>
    </w:p>
    <w:p w:rsidR="00A45935" w:rsidRPr="00E05D08" w:rsidRDefault="00A45935" w:rsidP="00E05D08">
      <w:pPr>
        <w:spacing w:after="120" w:line="280" w:lineRule="atLeast"/>
        <w:mirrorIndents/>
        <w:rPr>
          <w:rFonts w:eastAsia="Times New Roman" w:cs="Times New Roman"/>
          <w:szCs w:val="20"/>
        </w:rPr>
      </w:pPr>
      <w:r>
        <w:t xml:space="preserve">De richtsnoeren </w:t>
      </w:r>
      <w:r>
        <w:rPr>
          <w:i/>
          <w:szCs w:val="20"/>
        </w:rPr>
        <w:t>"Evaluatie van innovatie in POP's 2014-2020"</w:t>
      </w:r>
      <w:r>
        <w:t xml:space="preserve"> zijn opgesteld voor verschillende groepen belanghebbenden van plattelandsontwikkeling:</w:t>
      </w:r>
    </w:p>
    <w:p w:rsidR="00A45935" w:rsidRPr="00E16522" w:rsidRDefault="00A45935" w:rsidP="00D77B96">
      <w:r>
        <w:rPr>
          <w:b/>
        </w:rPr>
        <w:t>Beheersautoriteiten</w:t>
      </w:r>
      <w:r>
        <w:t xml:space="preserve"> vinden er informatie in over de evaluatie van innovatie op POP-niveau: het concept, het beleidskader en de focus op de innovatiegerelateerde evaluatievragen. Er worden praktische richtsnoeren gegeven voor de manier waarop de evaluatie voorbereid, beheerd en gecoördineerd moet worden en hoe de bijdragen van innovatie aan het bereiken van de POP-doelstellingen beoordeeld moeten worden. </w:t>
      </w:r>
    </w:p>
    <w:p w:rsidR="00A45935" w:rsidRPr="00C37C7A" w:rsidRDefault="00A45935" w:rsidP="00C37C7A">
      <w:r>
        <w:rPr>
          <w:b/>
        </w:rPr>
        <w:t>Evaluatiedeskundigen</w:t>
      </w:r>
      <w:r>
        <w:t xml:space="preserve"> zullen oplossingen vinden voor verschillende uitdagingen die verband houden met innovatie (bv. hoe het innovatiepotentieel van het POP gescreend moet worden tijdens het omschrijven van de innovatie-interventielogica voor het POP, hoe de bijdragen van innovaties aan de verwezenlijking van de POP-doelstellingen en de resultaten en effecten van het POP geanalyseerd moeten worden). Beoordelaars zullen ook aanwijzingen vinden om de beste evaluatie-aanpak te selecteren en het bewijsmateriaal te verzamelen om de evaluatievragen te beantwoorden. </w:t>
      </w:r>
    </w:p>
    <w:p w:rsidR="00A45935" w:rsidRPr="00E16522" w:rsidRDefault="00A45935" w:rsidP="00AA5817">
      <w:pPr>
        <w:pStyle w:val="HStandard"/>
      </w:pPr>
      <w:r>
        <w:rPr>
          <w:b/>
        </w:rPr>
        <w:t>Andere belanghebbenden</w:t>
      </w:r>
      <w:r>
        <w:t xml:space="preserve"> kunnen de richtsnoeren eveneens als referentiedocument gebruiken: </w:t>
      </w:r>
      <w:r>
        <w:rPr>
          <w:b/>
        </w:rPr>
        <w:t>Ambtenaren van de Europese Commissie (EC)</w:t>
      </w:r>
      <w:r>
        <w:t xml:space="preserve"> (voor vragen over de evaluatie van innovatie); </w:t>
      </w:r>
      <w:r>
        <w:rPr>
          <w:b/>
        </w:rPr>
        <w:t>Operationele groepen (OG) van het Europees innovatiepartnerschap (EIP)</w:t>
      </w:r>
      <w:r>
        <w:t xml:space="preserve"> (als achtergrondinformatie bij het opzetten van projecten en om het innovatiepotentieel daarvan te doorzien); </w:t>
      </w:r>
      <w:r>
        <w:rPr>
          <w:b/>
        </w:rPr>
        <w:t>leden van plaatselijke actiegroepen (local action groups - LAG's)</w:t>
      </w:r>
      <w:r>
        <w:t xml:space="preserve"> (bij het uitvoeren van een evaluatie/zelfbeoordeling van innovatieve kenmerken in hun strategieën voor vanuit de gemeenschap geleide lokale ontwikkeling (GGLO) en de effecten ervan op de innovatie in plattelandsgebieden; </w:t>
      </w:r>
      <w:r>
        <w:rPr>
          <w:b/>
        </w:rPr>
        <w:t>nationale netwerken voor het platteland (NPN's)</w:t>
      </w:r>
      <w:r>
        <w:t xml:space="preserve"> bij het voorbereiden en ondersteunen van LAG's en operationele groepen van het EIP.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Hoe zijn de richtsnoeren opgebouwd?</w:t>
      </w:r>
    </w:p>
    <w:p w:rsidR="00A45935" w:rsidRPr="00E05D08" w:rsidRDefault="00A45935" w:rsidP="00E05D08">
      <w:pPr>
        <w:spacing w:after="120" w:line="280" w:lineRule="atLeast"/>
        <w:mirrorIndents/>
        <w:rPr>
          <w:rFonts w:eastAsia="Times New Roman" w:cs="Times New Roman"/>
          <w:szCs w:val="20"/>
        </w:rPr>
      </w:pPr>
      <w:r>
        <w:t xml:space="preserve">De richtsnoeren bestaan uit drie delen: </w:t>
      </w:r>
    </w:p>
    <w:p w:rsidR="00A45935" w:rsidRPr="00E05D08" w:rsidRDefault="00A45935" w:rsidP="00E05D08">
      <w:pPr>
        <w:spacing w:after="120" w:line="280" w:lineRule="atLeast"/>
        <w:mirrorIndents/>
        <w:rPr>
          <w:rFonts w:eastAsia="Times New Roman" w:cs="Times New Roman"/>
          <w:szCs w:val="20"/>
        </w:rPr>
      </w:pPr>
      <w:r>
        <w:rPr>
          <w:b/>
          <w:color w:val="F07E31"/>
          <w:szCs w:val="20"/>
        </w:rPr>
        <w:t>Hoofdstuk 1</w:t>
      </w:r>
      <w:r>
        <w:t xml:space="preserve"> gaat in op het innovatiesysteem in plattelandsgebieden en het concept van de evaluatie van innovatie in plattelandsontwikkeling. Het concept introduceert het beleidskader voor de EU en het POP en de manier waarop ze met elkaar in verband staan, en geeft een overzicht van de gemeenschappelijke evaluatie-elementen. In paragraaf 1.3 worden ook de uitdagingen behandeld die verband houden met de evaluatie van innovatie in het plattelandsontwikkelingsbeleid. </w:t>
      </w:r>
    </w:p>
    <w:p w:rsidR="00A45935" w:rsidRPr="00E05D08" w:rsidRDefault="00A45935" w:rsidP="00E05D08">
      <w:pPr>
        <w:spacing w:after="120" w:line="280" w:lineRule="atLeast"/>
        <w:mirrorIndents/>
        <w:rPr>
          <w:rFonts w:eastAsia="Times New Roman" w:cs="Times New Roman"/>
          <w:szCs w:val="20"/>
        </w:rPr>
      </w:pPr>
      <w:r>
        <w:rPr>
          <w:b/>
          <w:color w:val="F07E31"/>
          <w:szCs w:val="20"/>
        </w:rPr>
        <w:t>Hoofdstuk 2</w:t>
      </w:r>
      <w:r>
        <w:t xml:space="preserve"> geeft beheersautoriteiten informatie over de bijzonderheden in verband met het beheren van de evaluatie van innovatie en de rapportagevereisten. In paragraaf 2.2 worden de methoden voor het beantwoorden van innovatiegerelateerde evaluatievragen uitgelegd en worden voor elk van de gemeenschappelijke evaluatievragen specifieke aanwijzingen gegeven: nummers 1, 2, 21, 23 en 30 met betrekking tot de aspecten die verband houden met innovatie. Hieronder valt ook de beschrijving van geschikte methoden voor de evaluatie van innovatie. </w:t>
      </w:r>
    </w:p>
    <w:p w:rsidR="00A45935" w:rsidRPr="00E05D08" w:rsidRDefault="00A45935" w:rsidP="00E05D08">
      <w:pPr>
        <w:spacing w:after="120" w:line="280" w:lineRule="atLeast"/>
        <w:mirrorIndents/>
        <w:rPr>
          <w:rFonts w:eastAsia="Times New Roman" w:cs="Times New Roman"/>
          <w:szCs w:val="20"/>
        </w:rPr>
      </w:pPr>
      <w:r>
        <w:rPr>
          <w:b/>
          <w:color w:val="F07E31"/>
          <w:szCs w:val="20"/>
        </w:rPr>
        <w:lastRenderedPageBreak/>
        <w:t>Hoofdstuk 3</w:t>
      </w:r>
      <w:r>
        <w:t xml:space="preserve"> (bijlagen) bevat de verklarende woordenlijst en de stappen om het innovatiepotentieel van het POP vast te stellen. </w:t>
      </w:r>
    </w:p>
    <w:p w:rsidR="00A45935" w:rsidRPr="00E05D08" w:rsidRDefault="00A45935" w:rsidP="00E05D08">
      <w:pPr>
        <w:spacing w:after="0" w:line="240" w:lineRule="auto"/>
        <w:rPr>
          <w:rFonts w:eastAsia="Calibri" w:cs="Arial"/>
          <w:szCs w:val="18"/>
          <w14:textFill>
            <w14:solidFill>
              <w14:srgbClr w14:val="373737">
                <w14:lumMod w14:val="75000"/>
              </w14:srgbClr>
            </w14:solidFill>
          </w14:textFill>
        </w:rPr>
      </w:pPr>
      <w:r>
        <w:br w:type="page"/>
      </w:r>
    </w:p>
    <w:p w:rsidR="00A45935" w:rsidRPr="00E05D08" w:rsidRDefault="00A45935" w:rsidP="00E05D08">
      <w:pPr>
        <w:keepNext/>
        <w:keepLines/>
        <w:pageBreakBefore/>
        <w:tabs>
          <w:tab w:val="left" w:pos="567"/>
        </w:tabs>
        <w:spacing w:before="360" w:after="360" w:line="280" w:lineRule="atLeast"/>
        <w:ind w:left="567" w:hanging="567"/>
        <w:mirrorIndents/>
        <w:outlineLvl w:val="0"/>
        <w:rPr>
          <w:rFonts w:eastAsia="Times New Roman" w:cs="Times New Roman"/>
          <w:b/>
          <w:caps/>
          <w:color w:val="F07E31"/>
          <w:szCs w:val="20"/>
        </w:rPr>
        <w:sectPr w:rsidR="00A45935" w:rsidRPr="00E05D08" w:rsidSect="00055039">
          <w:footerReference w:type="default" r:id="rId23"/>
          <w:endnotePr>
            <w:numFmt w:val="decimal"/>
          </w:endnotePr>
          <w:type w:val="continuous"/>
          <w:pgSz w:w="11906" w:h="16838" w:code="9"/>
          <w:pgMar w:top="1440" w:right="1440" w:bottom="1134" w:left="1440" w:header="567" w:footer="1021" w:gutter="0"/>
          <w:pgNumType w:start="1"/>
          <w:cols w:space="708"/>
          <w:noEndnote/>
          <w:docGrid w:linePitch="360"/>
        </w:sectPr>
      </w:pPr>
      <w:bookmarkStart w:id="4" w:name="_Toc501382120"/>
    </w:p>
    <w:p w:rsidR="00A45935" w:rsidRPr="00967CFD" w:rsidRDefault="00A45935" w:rsidP="00582F60">
      <w:pPr>
        <w:pStyle w:val="HHeading1"/>
        <w:tabs>
          <w:tab w:val="clear" w:pos="567"/>
        </w:tabs>
      </w:pPr>
      <w:bookmarkStart w:id="5" w:name="_Toc511656263"/>
      <w:r>
        <w:lastRenderedPageBreak/>
        <w:t>BEGRIPPENKADER</w:t>
      </w:r>
      <w:bookmarkEnd w:id="4"/>
      <w:bookmarkEnd w:id="5"/>
    </w:p>
    <w:p w:rsidR="00A45935" w:rsidRPr="00967CFD" w:rsidRDefault="00405B0B" w:rsidP="00C37C7A">
      <w:pPr>
        <w:pStyle w:val="HHeading2"/>
      </w:pPr>
      <w:bookmarkStart w:id="6" w:name="Innovation_RD"/>
      <w:bookmarkStart w:id="7" w:name="_Toc501382121"/>
      <w:bookmarkStart w:id="8" w:name="_Toc511656264"/>
      <w:bookmarkStart w:id="9" w:name="_Toc493151895"/>
      <w:bookmarkEnd w:id="6"/>
      <w:r>
        <w:rPr>
          <w:noProof/>
          <w:lang w:val="en-GB" w:eastAsia="en-GB"/>
        </w:rPr>
        <mc:AlternateContent>
          <mc:Choice Requires="wps">
            <w:drawing>
              <wp:anchor distT="0" distB="0" distL="114300" distR="114300" simplePos="0" relativeHeight="251645952" behindDoc="0" locked="0" layoutInCell="1" allowOverlap="1" wp14:anchorId="686C0C32" wp14:editId="141CB9A0">
                <wp:simplePos x="0" y="0"/>
                <wp:positionH relativeFrom="column">
                  <wp:posOffset>3028950</wp:posOffset>
                </wp:positionH>
                <wp:positionV relativeFrom="paragraph">
                  <wp:posOffset>241300</wp:posOffset>
                </wp:positionV>
                <wp:extent cx="2932430" cy="3009900"/>
                <wp:effectExtent l="0" t="0" r="20320" b="19050"/>
                <wp:wrapSquare wrapText="bothSides"/>
                <wp:docPr id="32" name="Rectangle: Diagonal Corners Rounded 32"/>
                <wp:cNvGraphicFramePr/>
                <a:graphic xmlns:a="http://schemas.openxmlformats.org/drawingml/2006/main">
                  <a:graphicData uri="http://schemas.microsoft.com/office/word/2010/wordprocessingShape">
                    <wps:wsp>
                      <wps:cNvSpPr/>
                      <wps:spPr>
                        <a:xfrm>
                          <a:off x="0" y="0"/>
                          <a:ext cx="2932430" cy="3009900"/>
                        </a:xfrm>
                        <a:prstGeom prst="round2DiagRect">
                          <a:avLst>
                            <a:gd name="adj1" fmla="val 6695"/>
                            <a:gd name="adj2" fmla="val 0"/>
                          </a:avLst>
                        </a:prstGeom>
                        <a:noFill/>
                        <a:ln w="25400" cap="flat" cmpd="sng" algn="ctr">
                          <a:solidFill>
                            <a:srgbClr val="BE4A35"/>
                          </a:solidFill>
                          <a:prstDash val="solid"/>
                        </a:ln>
                        <a:effectLst/>
                      </wps:spPr>
                      <wps:txbx>
                        <w:txbxContent>
                          <w:p w:rsidR="00891EED" w:rsidRDefault="00891EED" w:rsidP="00E05D08">
                            <w:pPr>
                              <w:pStyle w:val="HStandard"/>
                            </w:pPr>
                            <w:r>
                              <w:rPr>
                                <w:noProof/>
                                <w:lang w:val="en-GB" w:eastAsia="en-GB"/>
                              </w:rPr>
                              <w:drawing>
                                <wp:inline distT="0" distB="0" distL="0" distR="0" wp14:anchorId="68FD7DD7" wp14:editId="5FD18C40">
                                  <wp:extent cx="664845" cy="487680"/>
                                  <wp:effectExtent l="0" t="0" r="0" b="7620"/>
                                  <wp:docPr id="42"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rPr>
                              <w:t xml:space="preserve">"Innovatie wordt vaak omschreven als </w:t>
                            </w:r>
                            <w:r>
                              <w:rPr>
                                <w:b/>
                                <w:color w:val="BE4A35"/>
                                <w:sz w:val="18"/>
                              </w:rPr>
                              <w:t>een nieuw idee dat in de praktijk succesvol blijkt.</w:t>
                            </w:r>
                            <w:r>
                              <w:rPr>
                                <w:sz w:val="18"/>
                              </w:rPr>
                              <w:t xml:space="preserve"> Innovatie kan technologisch zijn, maar ook niet-technologisch, organisatorisch of sociaal. Innovatie kan gebaseerd zijn op nieuwe praktijken, maar ook op traditionele praktijken in een nieuwe geografische of milieucontext. Het nieuwe idee kan betrekking hebben op een nieuw product, een nieuwe praktijk, een nieuwe dienst, een nieuw productieproces, een nieuwe manier om dingen te organiseren enz. Dit nieuwe idee wordt alleen een innovatie als het breed wordt toegepast en in de praktijk succesvol blijkt."</w:t>
                            </w:r>
                            <w:r>
                              <w:rPr>
                                <w:sz w:val="18"/>
                                <w:vertAlign w:val="superscript"/>
                              </w:rPr>
                              <w:t>4</w:t>
                            </w:r>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C0C32" id="Rectangle: Diagonal Corners Rounded 32" o:spid="_x0000_s1030" style="position:absolute;left:0;text-align:left;margin-left:238.5pt;margin-top:19pt;width:230.9pt;height:23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32430,3009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" adj="-11796480,,5400" path="m196326,l2932430,r,l2932430,2813574v,108428,-87898,196326,-196326,196326l,3009900r,l,196326c,87898,87898,,196326,xe" filled="f" strokecolor="#be4a35" strokeweight="2pt">
                <v:stroke joinstyle="miter"/>
                <v:formulas/>
                <v:path arrowok="t" o:connecttype="custom" o:connectlocs="196326,0;2932430,0;2932430,0;2932430,2813574;2736104,3009900;0,3009900;0,3009900;0,196326;196326,0" o:connectangles="0,0,0,0,0,0,0,0,0" textboxrect="0,0,2932430,3009900"/>
                <v:textbox>
                  <w:txbxContent>
                    <w:p w:rsidR="00891EED" w:rsidRDefault="00891EED" w:rsidP="00E05D08">
                      <w:pPr>
                        <w:pStyle w:val="HStandard"/>
                      </w:pPr>
                      <w:r>
                        <w:rPr>
                          <w:noProof/>
                          <w:lang w:val="en-GB" w:eastAsia="en-GB"/>
                        </w:rPr>
                        <w:drawing>
                          <wp:inline distT="0" distB="0" distL="0" distR="0" wp14:anchorId="68FD7DD7" wp14:editId="5FD18C40">
                            <wp:extent cx="664845" cy="487680"/>
                            <wp:effectExtent l="0" t="0" r="0" b="7620"/>
                            <wp:docPr id="42"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rPr>
                        <w:t xml:space="preserve">"Innovatie wordt vaak omschreven als </w:t>
                      </w:r>
                      <w:r>
                        <w:rPr>
                          <w:b/>
                          <w:color w:val="BE4A35"/>
                          <w:sz w:val="18"/>
                        </w:rPr>
                        <w:t>een nieuw idee dat in de praktijk succesvol blijkt.</w:t>
                      </w:r>
                      <w:r>
                        <w:rPr>
                          <w:sz w:val="18"/>
                        </w:rPr>
                        <w:t xml:space="preserve"> Innovatie kan technologisch zijn, maar ook niet-technologisch, organisatorisch of sociaal. Innovatie kan gebaseerd zijn op nieuwe praktijken, maar ook op traditionele praktijken in een nieuwe geografische of milieucontext. Het nieuwe idee kan betrekking hebben op een nieuw product, een nieuwe praktijk, een nieuwe dienst, een nieuw productieproces, een nieuwe manier om dingen te organiseren enz. Dit nieuwe idee wordt alleen een innovatie als het breed wordt toegepast en in de praktijk succesvol blijkt."</w:t>
                      </w:r>
                      <w:r>
                        <w:rPr>
                          <w:sz w:val="18"/>
                          <w:vertAlign w:val="superscript"/>
                        </w:rPr>
                        <w:t>4</w:t>
                      </w:r>
                      <w:r>
                        <w:rPr>
                          <w:sz w:val="18"/>
                        </w:rPr>
                        <w:t xml:space="preserve"> </w:t>
                      </w:r>
                    </w:p>
                  </w:txbxContent>
                </v:textbox>
                <w10:wrap type="square"/>
              </v:shape>
            </w:pict>
          </mc:Fallback>
        </mc:AlternateContent>
      </w:r>
      <w:r>
        <w:t>Innovatie en plattelandsontwikkeling</w:t>
      </w:r>
      <w:bookmarkEnd w:id="7"/>
      <w:bookmarkEnd w:id="8"/>
      <w:r>
        <w:t xml:space="preserve"> </w:t>
      </w:r>
      <w:bookmarkEnd w:id="9"/>
    </w:p>
    <w:p w:rsidR="00A45935" w:rsidRPr="00E05D08" w:rsidRDefault="00A45935" w:rsidP="00230C31">
      <w:pPr>
        <w:pStyle w:val="HHeading4"/>
      </w:pPr>
      <w:r>
        <w:t>Hoe moeten we innovatie opvatten?</w:t>
      </w:r>
    </w:p>
    <w:p w:rsidR="00A45935" w:rsidRPr="00E05D08" w:rsidRDefault="00A45935" w:rsidP="00E05D08">
      <w:pPr>
        <w:spacing w:after="120" w:line="280" w:lineRule="atLeast"/>
        <w:mirrorIndents/>
        <w:rPr>
          <w:rFonts w:eastAsia="Times New Roman" w:cs="Times New Roman"/>
          <w:szCs w:val="20"/>
        </w:rPr>
      </w:pPr>
      <w:r>
        <w:rPr>
          <w:b/>
          <w:szCs w:val="20"/>
        </w:rPr>
        <w:t>In de context van de plattelandsontwikkeling in de EU</w:t>
      </w:r>
      <w:r>
        <w:t xml:space="preserve"> is innovatie tamelijk ruim opgevat</w:t>
      </w:r>
      <w:r>
        <w:rPr>
          <w:rStyle w:val="FootnoteReference"/>
          <w:rFonts w:eastAsia="Times New Roman" w:cs="Times New Roman"/>
          <w:color w:val="FFFFFF" w:themeColor="background1"/>
          <w:szCs w:val="20"/>
          <w:lang w:eastAsia="de-DE"/>
        </w:rPr>
        <w:footnoteReference w:id="4"/>
      </w:r>
      <w:r>
        <w:t>:</w:t>
      </w:r>
      <w:bookmarkStart w:id="10" w:name="_Hlk501370282"/>
      <w:r>
        <w:t xml:space="preserve">Deze </w:t>
      </w:r>
      <w:r>
        <w:rPr>
          <w:b/>
          <w:szCs w:val="20"/>
        </w:rPr>
        <w:t>ruime definitie van innovatie</w:t>
      </w:r>
      <w:r>
        <w:t xml:space="preserve"> kan aan verschillende sociaal-economische en milieusituaties in de hele EU worden aangepast. Innovatie houdt verband met de POP-architectuur, het vermogen om interactie met de bestaande context aan te gaan en nieuwe oplossingen voor plattelandsuitdagingen en -behoeften te waarborgen. Dergelijke oplossingen hoeven niet radicaal en ingrijpend te zijn, maar kunnen ook kleinere veranderingen met zich meebrengen die soms de weg bereiden voor grotere dingen. </w:t>
      </w:r>
    </w:p>
    <w:p w:rsidR="00A45935" w:rsidRPr="00E05D08" w:rsidRDefault="00A45935" w:rsidP="00230C31">
      <w:pPr>
        <w:pStyle w:val="HHeading4"/>
      </w:pPr>
      <w:r>
        <w:t>Hoe dragen steunmaatregelen in het kader van het POP bij aan innovatie?</w:t>
      </w:r>
    </w:p>
    <w:p w:rsidR="00A45935" w:rsidRPr="00E05D08" w:rsidRDefault="00A45935" w:rsidP="00E05D08">
      <w:pPr>
        <w:spacing w:after="120" w:line="280" w:lineRule="atLeast"/>
        <w:mirrorIndents/>
        <w:rPr>
          <w:rFonts w:eastAsia="Times New Roman" w:cs="Times New Roman"/>
          <w:szCs w:val="20"/>
        </w:rPr>
      </w:pPr>
      <w:r>
        <w:rPr>
          <w:b/>
          <w:szCs w:val="20"/>
        </w:rPr>
        <w:t>Het plattelandsontwikkelingsbeleid is bedoeld om innovatie te bevorderen</w:t>
      </w:r>
      <w:r>
        <w:t xml:space="preserve"> (op technologisch, institutioneel en sociaal gebied), als basisvoorwaarde om de doelstellingen en prioriteiten voor plattelandsontwikkeling te bereiken en plattelandsuitdagingen aan te gaan. De POP-maatregelen/-submaatregelen en begunstigden (bv. operationele groepen van het EIP, LAG's, landbouwers enz.) produceren output, resultaten en effecten die bijdragen tot de verwezenlijking van de POP-doelstellingen, waarbij sprake is van een wisselwerking met het innovatiesysteem waarvan ze deel uitmaken. </w:t>
      </w:r>
    </w:p>
    <w:p w:rsidR="00C72FEC" w:rsidRPr="00C72FEC" w:rsidRDefault="00C72FEC" w:rsidP="00E05D08">
      <w:pPr>
        <w:spacing w:after="120" w:line="280" w:lineRule="atLeast"/>
        <w:mirrorIndents/>
      </w:pPr>
      <w:r>
        <w:rPr>
          <w:noProof/>
          <w:szCs w:val="20"/>
          <w:lang w:val="en-GB" w:eastAsia="en-GB"/>
        </w:rPr>
        <mc:AlternateContent>
          <mc:Choice Requires="wps">
            <w:drawing>
              <wp:anchor distT="0" distB="0" distL="114300" distR="114300" simplePos="0" relativeHeight="251667456" behindDoc="0" locked="0" layoutInCell="1" allowOverlap="1" wp14:anchorId="2D09F256" wp14:editId="71A2A475">
                <wp:simplePos x="0" y="0"/>
                <wp:positionH relativeFrom="column">
                  <wp:posOffset>-38100</wp:posOffset>
                </wp:positionH>
                <wp:positionV relativeFrom="paragraph">
                  <wp:posOffset>762000</wp:posOffset>
                </wp:positionV>
                <wp:extent cx="5868035" cy="2343150"/>
                <wp:effectExtent l="0" t="0" r="18415" b="19050"/>
                <wp:wrapSquare wrapText="bothSides"/>
                <wp:docPr id="53" name="Rectangle: Diagonal Corners Rounded 53"/>
                <wp:cNvGraphicFramePr/>
                <a:graphic xmlns:a="http://schemas.openxmlformats.org/drawingml/2006/main">
                  <a:graphicData uri="http://schemas.microsoft.com/office/word/2010/wordprocessingShape">
                    <wps:wsp>
                      <wps:cNvSpPr/>
                      <wps:spPr>
                        <a:xfrm>
                          <a:off x="0" y="0"/>
                          <a:ext cx="5868035" cy="2343150"/>
                        </a:xfrm>
                        <a:prstGeom prst="round2DiagRect">
                          <a:avLst>
                            <a:gd name="adj1" fmla="val 7093"/>
                            <a:gd name="adj2" fmla="val 0"/>
                          </a:avLst>
                        </a:prstGeom>
                        <a:noFill/>
                        <a:ln w="25400" cap="flat" cmpd="sng" algn="ctr">
                          <a:solidFill>
                            <a:srgbClr val="BE4A35"/>
                          </a:solidFill>
                          <a:prstDash val="solid"/>
                        </a:ln>
                        <a:effectLst/>
                      </wps:spPr>
                      <wps:txbx>
                        <w:txbxContent>
                          <w:p w:rsidR="00891EED" w:rsidRPr="00270814" w:rsidRDefault="00891EED" w:rsidP="00674A4B">
                            <w:pPr>
                              <w:pStyle w:val="HBox"/>
                            </w:pPr>
                            <w:r>
                              <w:rPr>
                                <w:noProof/>
                                <w:lang w:val="en-GB" w:eastAsia="en-GB"/>
                              </w:rPr>
                              <w:drawing>
                                <wp:inline distT="0" distB="0" distL="0" distR="0" wp14:anchorId="25336282" wp14:editId="3F56DE6F">
                                  <wp:extent cx="664845" cy="487680"/>
                                  <wp:effectExtent l="0" t="0" r="0" b="7620"/>
                                  <wp:docPr id="43"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Behalve van plattelandsontwikkelingsbeleid, kan </w:t>
                            </w:r>
                            <w:r>
                              <w:rPr>
                                <w:b/>
                                <w:color w:val="BE4A35"/>
                              </w:rPr>
                              <w:t>het innovatiesysteem invloed ondervinden van veel andere factoren</w:t>
                            </w:r>
                            <w:r>
                              <w:t xml:space="preserve"> in plattelandsgebieden, zoals onderzoek, onderwijs, fiscaal beleid en andere door de EU gefinancierde programma's (Horizon 2020, door ESI-fondsen gefinancierde operationele programma's), die innovatieve acties en processen ondersteunen. De marktvraag naar innovaties kan eveneens een doorslaggevende rol spelen.</w:t>
                            </w:r>
                          </w:p>
                          <w:p w:rsidR="00891EED" w:rsidRPr="00D74B10" w:rsidRDefault="00891EED" w:rsidP="00674A4B">
                            <w:pPr>
                              <w:pStyle w:val="HBox"/>
                            </w:pPr>
                            <w:r>
                              <w:t>Of een innovatie gemeengoed wordt, hangt niet alleen af van de kracht van een creatief idee, maar ook van de marktmogelijkheden, de bereidheid van de sector om de innovatie over te nemen, de kosteneffectiviteit, de kennis en perceptie, toevallige externe factoren enz. Het is onmogelijk te voorspellen hoe deze factoren op elkaar inwerken om van een nieuw idee een innovatie te maken. Bijgevolg kan alleen achteraf worden vastgesteld of een nieuw idee tot een echte innovatie heeft geleid.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9F256" id="Rectangle: Diagonal Corners Rounded 53" o:spid="_x0000_s1031" style="position:absolute;left:0;text-align:left;margin-left:-3pt;margin-top:60pt;width:462.05pt;height:1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8035,2343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" adj="-11796480,,5400" path="m166200,l5868035,r,l5868035,2176950v,91790,-74410,166200,-166200,166200l,2343150r,l,166200c,74410,74410,,166200,xe" filled="f" strokecolor="#be4a35" strokeweight="2pt">
                <v:stroke joinstyle="miter"/>
                <v:formulas/>
                <v:path arrowok="t" o:connecttype="custom" o:connectlocs="166200,0;5868035,0;5868035,0;5868035,2176950;5701835,2343150;0,2343150;0,2343150;0,166200;166200,0" o:connectangles="0,0,0,0,0,0,0,0,0" textboxrect="0,0,5868035,2343150"/>
                <v:textbox>
                  <w:txbxContent>
                    <w:p w:rsidR="00891EED" w:rsidRPr="00270814" w:rsidRDefault="00891EED" w:rsidP="00674A4B">
                      <w:pPr>
                        <w:pStyle w:val="HBox"/>
                      </w:pPr>
                      <w:r>
                        <w:rPr>
                          <w:noProof/>
                          <w:lang w:val="en-GB" w:eastAsia="en-GB"/>
                        </w:rPr>
                        <w:drawing>
                          <wp:inline distT="0" distB="0" distL="0" distR="0" wp14:anchorId="25336282" wp14:editId="3F56DE6F">
                            <wp:extent cx="664845" cy="487680"/>
                            <wp:effectExtent l="0" t="0" r="0" b="7620"/>
                            <wp:docPr id="43"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Behalve van plattelandsontwikkelingsbeleid, kan </w:t>
                      </w:r>
                      <w:r>
                        <w:rPr>
                          <w:b/>
                          <w:color w:val="BE4A35"/>
                        </w:rPr>
                        <w:t>het innovatiesysteem invloed ondervinden van veel andere factoren</w:t>
                      </w:r>
                      <w:r>
                        <w:t xml:space="preserve"> in plattelandsgebieden, zoals onderzoek, onderwijs, fiscaal beleid en andere door de EU gefinancierde programma's (Horizon 2020, door ESI-fondsen gefinancierde operationele programma's), die innovatieve acties en processen ondersteunen. De marktvraag naar innovaties kan eveneens een doorslaggevende rol spelen.</w:t>
                      </w:r>
                    </w:p>
                    <w:p w:rsidR="00891EED" w:rsidRPr="00D74B10" w:rsidRDefault="00891EED" w:rsidP="00674A4B">
                      <w:pPr>
                        <w:pStyle w:val="HBox"/>
                      </w:pPr>
                      <w:r>
                        <w:t>Of een innovatie gemeengoed wordt, hangt niet alleen af van de kracht van een creatief idee, maar ook van de marktmogelijkheden, de bereidheid van de sector om de innovatie over te nemen, de kosteneffectiviteit, de kennis en perceptie, toevallige externe factoren enz. Het is onmogelijk te voorspellen hoe deze factoren op elkaar inwerken om van een nieuw idee een innovatie te maken. Bijgevolg kan alleen achteraf worden vastgesteld of een nieuw idee tot een echte innovatie heeft geleid.</w:t>
                      </w:r>
                    </w:p>
                  </w:txbxContent>
                </v:textbox>
                <w10:wrap type="square"/>
              </v:shape>
            </w:pict>
          </mc:Fallback>
        </mc:AlternateContent>
      </w:r>
      <w:r w:rsidR="00674A4B">
        <w:rPr>
          <w:b/>
          <w:szCs w:val="20"/>
        </w:rPr>
        <w:t>Het innovatiesysteem</w:t>
      </w:r>
      <w:r w:rsidR="00674A4B">
        <w:t xml:space="preserve"> op lokaal, regionaal, nationaal of supranationaal niveau bestaat uit een tamelijk heterogene groep innovatieactoren, waaronder plattelandsondernemers (zoals landbouwers, bosbouwers), landbouw- en toerisme-industrie, verwerkers, handelaren, regelgevende instanties, onderzoekers, adviesdiensten, overheden en maatschappelijke organisaties. Interactief </w:t>
      </w:r>
      <w:r w:rsidR="00674A4B">
        <w:lastRenderedPageBreak/>
        <w:t xml:space="preserve">experimenteel leren van deze actoren vervult een cruciale rol in het innovatiesysteem omdat ze nieuwe ideeën (nieuw voor het systeem) in praktijk brengen. De stroom van technologie en informatie tussen actoren is van wezenlijk belang voor het innovatieproces in het innovatiesysteem. </w:t>
      </w:r>
    </w:p>
    <w:p w:rsidR="00405B0B" w:rsidRDefault="00405B0B">
      <w:pPr>
        <w:jc w:val="left"/>
        <w:rPr>
          <w:rFonts w:eastAsia="Times New Roman" w:cs="Times New Roman"/>
          <w:b/>
          <w:szCs w:val="20"/>
        </w:rPr>
      </w:pPr>
      <w:r>
        <w:br w:type="page"/>
      </w:r>
    </w:p>
    <w:p w:rsidR="00A45935" w:rsidRPr="00E05D08" w:rsidRDefault="00A45935" w:rsidP="00E05D08">
      <w:pPr>
        <w:spacing w:after="120" w:line="280" w:lineRule="atLeast"/>
        <w:mirrorIndents/>
        <w:rPr>
          <w:rFonts w:eastAsia="Times New Roman" w:cs="Times New Roman"/>
          <w:szCs w:val="20"/>
        </w:rPr>
      </w:pPr>
      <w:r>
        <w:rPr>
          <w:b/>
          <w:szCs w:val="20"/>
        </w:rPr>
        <w:lastRenderedPageBreak/>
        <w:t>Het innovatieproces kent drie trajecten</w:t>
      </w:r>
      <w:r>
        <w:t xml:space="preserve">: </w:t>
      </w:r>
    </w:p>
    <w:p w:rsidR="00A45935" w:rsidRPr="00987055" w:rsidRDefault="00A45935" w:rsidP="008C0B17">
      <w:pPr>
        <w:numPr>
          <w:ilvl w:val="0"/>
          <w:numId w:val="66"/>
        </w:numPr>
        <w:mirrorIndents/>
        <w:rPr>
          <w:szCs w:val="20"/>
        </w:rPr>
      </w:pPr>
      <w:r>
        <w:rPr>
          <w:b/>
          <w:color w:val="F07E31"/>
          <w:szCs w:val="20"/>
        </w:rPr>
        <w:t>Traject 1:</w:t>
      </w:r>
      <w:r>
        <w:t xml:space="preserve"> heeft betrekking op de registratie en ontwikkeling van nieuwe ideeën (bv. nieuwe zienswijzen, benaderingen, producten, praktijken, diensten, productieprocessen/-technologie, nieuwe manieren van organiseren of nieuwe vormen van samenwerking en leren); </w:t>
      </w:r>
    </w:p>
    <w:p w:rsidR="00A45935" w:rsidRDefault="00A45935" w:rsidP="008C0B17">
      <w:pPr>
        <w:numPr>
          <w:ilvl w:val="0"/>
          <w:numId w:val="66"/>
        </w:numPr>
        <w:mirrorIndents/>
        <w:rPr>
          <w:szCs w:val="20"/>
        </w:rPr>
      </w:pPr>
      <w:r>
        <w:rPr>
          <w:b/>
          <w:color w:val="F07E31"/>
          <w:szCs w:val="20"/>
        </w:rPr>
        <w:t>Traject 2:</w:t>
      </w:r>
      <w:r>
        <w:rPr>
          <w:b/>
          <w:szCs w:val="20"/>
        </w:rPr>
        <w:t xml:space="preserve"> </w:t>
      </w:r>
      <w:r>
        <w:t xml:space="preserve">heeft betrekking op het vermogen van individuen en van het kennis- en innovatiesysteem zelf om te experimenteren, zelf te organiseren en gebruik te maken van nieuwe ideeën en benaderingen; </w:t>
      </w:r>
    </w:p>
    <w:p w:rsidR="00A45935" w:rsidRPr="00987055" w:rsidRDefault="00A45935" w:rsidP="008C0B17">
      <w:pPr>
        <w:numPr>
          <w:ilvl w:val="0"/>
          <w:numId w:val="66"/>
        </w:numPr>
        <w:mirrorIndents/>
        <w:rPr>
          <w:szCs w:val="20"/>
        </w:rPr>
      </w:pPr>
      <w:r>
        <w:rPr>
          <w:b/>
          <w:color w:val="F07E31"/>
          <w:szCs w:val="20"/>
        </w:rPr>
        <w:t>Traject 3:</w:t>
      </w:r>
      <w:r>
        <w:t xml:space="preserve"> vereist facilitering van innovatieve processen door de institutionele en beleidsmatige omgeving. </w:t>
      </w:r>
      <w:bookmarkStart w:id="11" w:name="_Toc476660915"/>
      <w:bookmarkStart w:id="12" w:name="_Toc476661047"/>
    </w:p>
    <w:p w:rsidR="00A45935" w:rsidRPr="0095292E" w:rsidRDefault="00A45935" w:rsidP="0095292E">
      <w:pPr>
        <w:mirrorIndents/>
        <w:rPr>
          <w:szCs w:val="20"/>
        </w:rPr>
      </w:pPr>
      <w:r>
        <w:t>De drie trajecten moeten niet worden beschouwd als afzonderlijke instanties, maar veeleer als elkaar overlappende en onderling verbonden toegangswegen naar innovatie (figuur 1).</w:t>
      </w:r>
    </w:p>
    <w:p w:rsidR="00A45935" w:rsidRPr="00447906" w:rsidRDefault="00674A4B" w:rsidP="00230C31">
      <w:pPr>
        <w:pStyle w:val="HHeadingfigures"/>
      </w:pPr>
      <w:bookmarkStart w:id="13" w:name="Pathways"/>
      <w:bookmarkStart w:id="14" w:name="_Toc511656291"/>
      <w:bookmarkEnd w:id="13"/>
      <w:r>
        <w:t xml:space="preserve">Vereenvoudigde figuur van innovatiebevordering door POP's </w:t>
      </w:r>
      <w:bookmarkEnd w:id="11"/>
      <w:bookmarkEnd w:id="12"/>
      <w:r w:rsidR="000D7890" w:rsidRPr="000D7890">
        <w:rPr>
          <w:noProof/>
          <w:lang w:val="en-GB" w:eastAsia="en-GB"/>
        </w:rPr>
        <w:drawing>
          <wp:inline distT="0" distB="0" distL="0" distR="0" wp14:anchorId="078C06D5" wp14:editId="21EEC344">
            <wp:extent cx="5731510" cy="33420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342005"/>
                    </a:xfrm>
                    <a:prstGeom prst="rect">
                      <a:avLst/>
                    </a:prstGeom>
                    <a:noFill/>
                    <a:ln>
                      <a:noFill/>
                    </a:ln>
                  </pic:spPr>
                </pic:pic>
              </a:graphicData>
            </a:graphic>
          </wp:inline>
        </w:drawing>
      </w:r>
      <w:bookmarkEnd w:id="14"/>
    </w:p>
    <w:p w:rsidR="00A45935" w:rsidRPr="00E05D08" w:rsidRDefault="00A45935" w:rsidP="00E05D08">
      <w:pPr>
        <w:spacing w:after="0" w:line="280" w:lineRule="atLeast"/>
        <w:jc w:val="center"/>
        <w:rPr>
          <w:rFonts w:eastAsia="Times New Roman" w:cs="Arial"/>
          <w:szCs w:val="18"/>
          <w:lang w:eastAsia="de-DE"/>
        </w:rPr>
      </w:pPr>
    </w:p>
    <w:p w:rsidR="00A45935" w:rsidRPr="00E05D08" w:rsidRDefault="00A45935" w:rsidP="00E05D08">
      <w:pPr>
        <w:suppressAutoHyphens/>
        <w:spacing w:before="60" w:after="140" w:line="240" w:lineRule="auto"/>
        <w:ind w:left="1134" w:right="1134"/>
        <w:mirrorIndents/>
        <w:jc w:val="center"/>
        <w:rPr>
          <w:rFonts w:eastAsia="Times New Roman" w:cs="Times New Roman"/>
          <w:i/>
          <w:sz w:val="16"/>
          <w:szCs w:val="20"/>
        </w:rPr>
      </w:pPr>
      <w:r>
        <w:rPr>
          <w:i/>
          <w:sz w:val="16"/>
          <w:szCs w:val="20"/>
        </w:rPr>
        <w:t>Bron: Europese evaluatiehelpdesk voor plattelandsontwikkeling, 2017</w:t>
      </w:r>
    </w:p>
    <w:p w:rsidR="000E1D4B" w:rsidRDefault="00A45935" w:rsidP="00E05D08">
      <w:pPr>
        <w:spacing w:after="120" w:line="280" w:lineRule="atLeast"/>
        <w:mirrorIndents/>
        <w:rPr>
          <w:rFonts w:eastAsia="Times New Roman" w:cs="Times New Roman"/>
          <w:szCs w:val="20"/>
        </w:rPr>
      </w:pPr>
      <w:r>
        <w:t xml:space="preserve">De maatregelen/submaatregelen van een POP en combinaties daarvan kunnen aan een, twee of alle drie de trajecten bijdragen, in verschillende mate al naargelang de specifieke benadering van het POP ter ondersteuning van innovatie (zie </w:t>
      </w:r>
      <w:hyperlink w:anchor="Policy_framework" w:history="1">
        <w:r>
          <w:rPr>
            <w:rStyle w:val="Hyperlink"/>
            <w:sz w:val="20"/>
            <w:szCs w:val="20"/>
          </w:rPr>
          <w:t>paragraaf 1.2.1</w:t>
        </w:r>
      </w:hyperlink>
      <w:r>
        <w:t xml:space="preserve">). </w:t>
      </w:r>
      <w:bookmarkStart w:id="15" w:name="_Hlk501621429"/>
    </w:p>
    <w:p w:rsidR="000E1D4B" w:rsidRDefault="000E1D4B">
      <w:pPr>
        <w:rPr>
          <w:rFonts w:eastAsia="Times New Roman" w:cs="Times New Roman"/>
          <w:b/>
          <w:color w:val="F07E31"/>
          <w:szCs w:val="20"/>
        </w:rPr>
      </w:pPr>
      <w:r>
        <w:br w:type="page"/>
      </w:r>
    </w:p>
    <w:p w:rsidR="00A45935" w:rsidRPr="00E05D08" w:rsidRDefault="00BC211C" w:rsidP="00E05D08">
      <w:pPr>
        <w:spacing w:after="120" w:line="280" w:lineRule="atLeast"/>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646976" behindDoc="0" locked="0" layoutInCell="1" allowOverlap="1" wp14:anchorId="5FC5CFC8" wp14:editId="42C121D1">
                <wp:simplePos x="0" y="0"/>
                <wp:positionH relativeFrom="column">
                  <wp:posOffset>-57150</wp:posOffset>
                </wp:positionH>
                <wp:positionV relativeFrom="paragraph">
                  <wp:posOffset>0</wp:posOffset>
                </wp:positionV>
                <wp:extent cx="2785745" cy="4495800"/>
                <wp:effectExtent l="0" t="0" r="14605" b="19050"/>
                <wp:wrapSquare wrapText="bothSides"/>
                <wp:docPr id="55" name="Rectangle: Diagonal Corners Rounded 55"/>
                <wp:cNvGraphicFramePr/>
                <a:graphic xmlns:a="http://schemas.openxmlformats.org/drawingml/2006/main">
                  <a:graphicData uri="http://schemas.microsoft.com/office/word/2010/wordprocessingShape">
                    <wps:wsp>
                      <wps:cNvSpPr/>
                      <wps:spPr>
                        <a:xfrm>
                          <a:off x="0" y="0"/>
                          <a:ext cx="2785745" cy="4495800"/>
                        </a:xfrm>
                        <a:prstGeom prst="round2DiagRect">
                          <a:avLst>
                            <a:gd name="adj1" fmla="val 6641"/>
                            <a:gd name="adj2" fmla="val 0"/>
                          </a:avLst>
                        </a:prstGeom>
                        <a:noFill/>
                        <a:ln w="25400" cap="flat" cmpd="sng" algn="ctr">
                          <a:solidFill>
                            <a:srgbClr val="F07E31"/>
                          </a:solidFill>
                          <a:prstDash val="solid"/>
                        </a:ln>
                        <a:effectLst/>
                      </wps:spPr>
                      <wps:txbx>
                        <w:txbxContent>
                          <w:p w:rsidR="00891EED" w:rsidRPr="00E05D08" w:rsidRDefault="00891EED" w:rsidP="00E05D08">
                            <w:pPr>
                              <w:pStyle w:val="Normal12PTcouleurgris"/>
                              <w:rPr>
                                <w:b/>
                                <w:color w:val="F07E31"/>
                              </w:rPr>
                            </w:pPr>
                            <w:r>
                              <w:rPr>
                                <w:noProof/>
                                <w:lang w:val="en-GB" w:eastAsia="en-GB"/>
                              </w:rPr>
                              <w:drawing>
                                <wp:inline distT="0" distB="0" distL="0" distR="0" wp14:anchorId="3FD58B0D" wp14:editId="7E44421E">
                                  <wp:extent cx="353060" cy="359410"/>
                                  <wp:effectExtent l="0" t="0" r="8890" b="2540"/>
                                  <wp:docPr id="44"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Voorbeelden van mogelijke POP-ondersteuning voor traject 1</w:t>
                            </w:r>
                          </w:p>
                          <w:p w:rsidR="00891EED" w:rsidRPr="00230C31" w:rsidRDefault="00891EED" w:rsidP="00230C31">
                            <w:pPr>
                              <w:pStyle w:val="Hlistbullet"/>
                              <w:rPr>
                                <w:sz w:val="18"/>
                                <w:szCs w:val="18"/>
                              </w:rPr>
                            </w:pPr>
                            <w:r>
                              <w:rPr>
                                <w:sz w:val="18"/>
                                <w:szCs w:val="18"/>
                              </w:rPr>
                              <w:t xml:space="preserve">De ontwikkeling, het testen en de promotie van een machine om verwildering door onkruid op landbouwgrond mechanisch te beheersen (bv. acties uitgevoerd in het kader van artikel 17 en 35 van Verordening (EU) nr. 1305/2013); </w:t>
                            </w:r>
                          </w:p>
                          <w:p w:rsidR="00891EED" w:rsidRPr="00230C31" w:rsidRDefault="00891EED" w:rsidP="00230C31">
                            <w:pPr>
                              <w:pStyle w:val="Hlistbullet"/>
                              <w:rPr>
                                <w:sz w:val="18"/>
                                <w:szCs w:val="18"/>
                              </w:rPr>
                            </w:pPr>
                            <w:r>
                              <w:rPr>
                                <w:sz w:val="18"/>
                                <w:szCs w:val="18"/>
                              </w:rPr>
                              <w:t xml:space="preserve">Het testen en verschaffen van nieuwe soorten diensten in plattelandsgebieden (bv. acties uitgevoerd in het kader van artikel 20 en 35 van Verordening (EU) nr. 1305/2013); </w:t>
                            </w:r>
                          </w:p>
                          <w:p w:rsidR="00891EED" w:rsidRPr="00230C31" w:rsidRDefault="00891EED" w:rsidP="00230C31">
                            <w:pPr>
                              <w:pStyle w:val="Hlistbullet"/>
                              <w:rPr>
                                <w:sz w:val="18"/>
                                <w:szCs w:val="18"/>
                              </w:rPr>
                            </w:pPr>
                            <w:r>
                              <w:rPr>
                                <w:sz w:val="18"/>
                                <w:szCs w:val="18"/>
                              </w:rPr>
                              <w:t>Introductie van een nieuwe manier om bijeenkomsten, vergaderingen en opleidingen te organiseren (bv. gebruik van nieuwe faciliteringstechnieken, rondetafelconferenties) (bv. acties uitgevoerd in het kader van artikel 14 van Verordening (EU) nr.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5CFC8" id="Rectangle: Diagonal Corners Rounded 55" o:spid="_x0000_s1032" style="position:absolute;left:0;text-align:left;margin-left:-4.5pt;margin-top:0;width:219.35pt;height:35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85745,449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" adj="-11796480,,5400" path="m185001,l2785745,r,l2785745,4310799v,102173,-82828,185001,-185001,185001l,4495800r,l,185001c,82828,82828,,185001,xe" filled="f" strokecolor="#f07e31" strokeweight="2pt">
                <v:stroke joinstyle="miter"/>
                <v:formulas/>
                <v:path arrowok="t" o:connecttype="custom" o:connectlocs="185001,0;2785745,0;2785745,0;2785745,4310799;2600744,4495800;0,4495800;0,4495800;0,185001;185001,0" o:connectangles="0,0,0,0,0,0,0,0,0" textboxrect="0,0,2785745,4495800"/>
                <v:textbox>
                  <w:txbxContent>
                    <w:p w:rsidR="00891EED" w:rsidRPr="00E05D08" w:rsidRDefault="00891EED" w:rsidP="00E05D08">
                      <w:pPr>
                        <w:pStyle w:val="Normal12PTcouleurgris"/>
                        <w:rPr>
                          <w:b/>
                          <w:color w:val="F07E31"/>
                        </w:rPr>
                      </w:pPr>
                      <w:r>
                        <w:rPr>
                          <w:noProof/>
                          <w:lang w:val="en-GB" w:eastAsia="en-GB"/>
                        </w:rPr>
                        <w:drawing>
                          <wp:inline distT="0" distB="0" distL="0" distR="0" wp14:anchorId="3FD58B0D" wp14:editId="7E44421E">
                            <wp:extent cx="353060" cy="359410"/>
                            <wp:effectExtent l="0" t="0" r="8890" b="2540"/>
                            <wp:docPr id="44"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Voorbeelden van mogelijke POP-ondersteuning voor traject 1</w:t>
                      </w:r>
                    </w:p>
                    <w:p w:rsidR="00891EED" w:rsidRPr="00230C31" w:rsidRDefault="00891EED" w:rsidP="00230C31">
                      <w:pPr>
                        <w:pStyle w:val="Hlistbullet"/>
                        <w:rPr>
                          <w:sz w:val="18"/>
                          <w:szCs w:val="18"/>
                        </w:rPr>
                      </w:pPr>
                      <w:r>
                        <w:rPr>
                          <w:sz w:val="18"/>
                          <w:szCs w:val="18"/>
                        </w:rPr>
                        <w:t xml:space="preserve">De ontwikkeling, het testen en de promotie van een machine om verwildering door onkruid op landbouwgrond mechanisch te beheersen (bv. acties uitgevoerd in het kader van artikel 17 en 35 van Verordening (EU) nr. 1305/2013); </w:t>
                      </w:r>
                    </w:p>
                    <w:p w:rsidR="00891EED" w:rsidRPr="00230C31" w:rsidRDefault="00891EED" w:rsidP="00230C31">
                      <w:pPr>
                        <w:pStyle w:val="Hlistbullet"/>
                        <w:rPr>
                          <w:sz w:val="18"/>
                          <w:szCs w:val="18"/>
                        </w:rPr>
                      </w:pPr>
                      <w:r>
                        <w:rPr>
                          <w:sz w:val="18"/>
                          <w:szCs w:val="18"/>
                        </w:rPr>
                        <w:t xml:space="preserve">Het testen en verschaffen van nieuwe soorten diensten in plattelandsgebieden (bv. acties uitgevoerd in het kader van artikel 20 en 35 van Verordening (EU) nr. 1305/2013); </w:t>
                      </w:r>
                    </w:p>
                    <w:p w:rsidR="00891EED" w:rsidRPr="00230C31" w:rsidRDefault="00891EED" w:rsidP="00230C31">
                      <w:pPr>
                        <w:pStyle w:val="Hlistbullet"/>
                        <w:rPr>
                          <w:sz w:val="18"/>
                          <w:szCs w:val="18"/>
                        </w:rPr>
                      </w:pPr>
                      <w:r>
                        <w:rPr>
                          <w:sz w:val="18"/>
                          <w:szCs w:val="18"/>
                        </w:rPr>
                        <w:t>Introductie van een nieuwe manier om bijeenkomsten, vergaderingen en opleidingen te organiseren (bv. gebruik van nieuwe faciliteringstechnieken, rondetafelconferenties) (bv. acties uitgevoerd in het kader van artikel 14 van Verordening (EU) nr. 1305/2013).</w:t>
                      </w:r>
                    </w:p>
                  </w:txbxContent>
                </v:textbox>
                <w10:wrap type="square"/>
              </v:shape>
            </w:pict>
          </mc:Fallback>
        </mc:AlternateContent>
      </w:r>
      <w:r>
        <w:rPr>
          <w:b/>
          <w:color w:val="F07E31"/>
          <w:szCs w:val="20"/>
        </w:rPr>
        <w:t>Het eerste traject</w:t>
      </w:r>
      <w:r>
        <w:t xml:space="preserve"> kan omschreven worden als de mogelijkheid om veelbelovende ideeën die kunnen uitmonden in innovatie van eender welk type (technologisch, niet-technologisch, sociaal, organisatorisch enz.), te herkennen en bevorderen. Een dergelijk nieuw idee heeft het potentieel om een echte innovatie te worden die idealiter aan een specifieke behoefte beantwoordt, of een kans biedt die door velen kan worden gebruikt. Er zijn twee belangrijke manieren om ideeën te stimuleren die innovatieprocessen kunnen teweegbrengen: 1) een individuele benadering (een man/vrouw die een idee heeft benaderen en stimuleren); 2) via verschillende, in groepsverband werkende belanghebbenden, om nieuwe ideeën te ontdekken die het bevorderen waard zijn (waarbij de beste partners in een groep bijeengebracht worden om de benodigde competenties voor het opzetten van een innovatieproject te combineren). </w:t>
      </w:r>
    </w:p>
    <w:bookmarkEnd w:id="15"/>
    <w:p w:rsidR="000E1D4B" w:rsidRDefault="00A45935" w:rsidP="00E05D08">
      <w:pPr>
        <w:spacing w:after="120" w:line="280" w:lineRule="atLeast"/>
        <w:mirrorIndents/>
        <w:rPr>
          <w:rFonts w:eastAsia="Times New Roman" w:cs="Times New Roman"/>
          <w:szCs w:val="20"/>
        </w:rPr>
      </w:pPr>
      <w:r>
        <w:t xml:space="preserve">Om innovatief te zijn, moet het idee, of in ieder geval bepaalde aspecten ervan, nieuw zijn voor de betrokken omgeving of plaats en een geloofwaardige belofte van bruikbaarheid inhouden (d.w.z. dat het een of meer belanghebbenden moet helpen iets op een andere manier, beter of goedkoper te doen, een behoefte moet vervullen of een kans moet ontwikkelen). </w:t>
      </w:r>
    </w:p>
    <w:p w:rsidR="000E1D4B" w:rsidRDefault="000E1D4B">
      <w:pPr>
        <w:rPr>
          <w:rFonts w:eastAsia="Times New Roman" w:cs="Times New Roman"/>
          <w:szCs w:val="20"/>
        </w:rPr>
      </w:pPr>
      <w:r>
        <w:br w:type="page"/>
      </w:r>
    </w:p>
    <w:p w:rsidR="00C72FEC" w:rsidRDefault="00A45935" w:rsidP="00E05D08">
      <w:pPr>
        <w:spacing w:after="120" w:line="280" w:lineRule="atLeast"/>
        <w:mirrorIndents/>
      </w:pPr>
      <w:r>
        <w:rPr>
          <w:b/>
          <w:color w:val="F07E31"/>
          <w:szCs w:val="20"/>
        </w:rPr>
        <w:lastRenderedPageBreak/>
        <w:t>Het tweede traject</w:t>
      </w:r>
      <w:r>
        <w:t xml:space="preserve"> heeft te maken met het opbouwen van innovatiecapaciteit. In sommige gevallen vloeit het tweede traject voort uit het eerste. Het POP kan het proces ter vaststelling van ontwikkelingsuitdagingen en -kansen faciliteren om belanghebbende en relevante innovatieactoren samen te brengen (bv. via operationele groepen van het EIP</w:t>
      </w:r>
      <w:r>
        <w:rPr>
          <w:rFonts w:eastAsia="Times New Roman" w:cs="Times New Roman"/>
          <w:szCs w:val="20"/>
          <w:vertAlign w:val="superscript"/>
          <w:lang w:eastAsia="de-DE"/>
        </w:rPr>
        <w:footnoteReference w:id="5"/>
      </w:r>
      <w:r>
        <w:t xml:space="preserve"> die innovatieve praktijken testen middels samenwerking van relevante actoren met complementaire kennis (zoals landbouwers, bedrijven, adviesdiensten, onderzoekers en anderen) om de doelstellingen van een innovatief project te verwezenlijken). Dat helpt om de kloof tussen wetenschap en praktijk te overbruggen door de benodigde vaardigheden en kennis op te bouwen. Synergieën in projecten met meerdere actoren die gefinancierd worden in het kader van Horizon 2020, het beleid voor onderzoek en innovatie van de EU, kunnen eveneens voordelen opleveren</w:t>
      </w:r>
      <w:r>
        <w:rPr>
          <w:rFonts w:eastAsia="Times New Roman" w:cs="Times New Roman"/>
          <w:szCs w:val="20"/>
          <w:vertAlign w:val="superscript"/>
          <w:lang w:eastAsia="de-DE"/>
        </w:rPr>
        <w:footnoteReference w:id="6"/>
      </w:r>
      <w:r>
        <w:t xml:space="preserve"> </w:t>
      </w:r>
      <w:r>
        <w:rPr>
          <w:rFonts w:eastAsia="Times New Roman" w:cs="Times New Roman"/>
          <w:szCs w:val="20"/>
          <w:vertAlign w:val="superscript"/>
          <w:lang w:eastAsia="de-DE"/>
        </w:rPr>
        <w:footnoteReference w:id="7"/>
      </w:r>
      <w:r>
        <w:t>. Operationele groepen kunnen leiden tot sociaal-technische niches. Een sociaal-technische niche is een beschermde ruimte waarin men kan leren over en experimenteren met nieuwe technologie en/of instellingen en/of een nieuwe manier om dingen te doen. Wanneer ze op de juiste wijze opgebouwd en met elkaar verbonden zijn, kunnen niches fungeren als bouwstenen voor bredere maatschappelijke veranderingen in de richting van duurzame ontwikkeling</w:t>
      </w:r>
      <w:r>
        <w:rPr>
          <w:rFonts w:eastAsia="Times New Roman" w:cs="Arial"/>
          <w:szCs w:val="20"/>
          <w:vertAlign w:val="superscript"/>
          <w:lang w:eastAsia="de-DE"/>
        </w:rPr>
        <w:footnoteReference w:id="8"/>
      </w:r>
      <w:r>
        <w:t xml:space="preserve">. </w:t>
      </w:r>
    </w:p>
    <w:p w:rsidR="00A45935" w:rsidRPr="00E05D08" w:rsidRDefault="00C72FEC" w:rsidP="00C72FEC">
      <w:pPr>
        <w:pStyle w:val="HStandard"/>
      </w:pPr>
      <w:r>
        <w:br w:type="page"/>
      </w:r>
    </w:p>
    <w:p w:rsidR="00A45935" w:rsidRPr="00E05D08" w:rsidRDefault="00F71AC0" w:rsidP="002F0ABF">
      <w:pPr>
        <w:spacing w:after="120" w:line="280" w:lineRule="atLeast"/>
        <w:mirrorIndents/>
        <w:rPr>
          <w:rFonts w:eastAsia="Times New Roman" w:cs="Times New Roman"/>
          <w:szCs w:val="20"/>
        </w:rPr>
      </w:pPr>
      <w:r>
        <w:rPr>
          <w:rStyle w:val="FootnoteReference"/>
          <w:rFonts w:eastAsia="Times New Roman" w:cs="Times New Roman"/>
          <w:color w:val="FFFFFF" w:themeColor="background1"/>
          <w:szCs w:val="20"/>
          <w:lang w:eastAsia="de-DE"/>
        </w:rPr>
        <w:lastRenderedPageBreak/>
        <w:footnoteReference w:id="9"/>
      </w:r>
      <w:r>
        <w:rPr>
          <w:rStyle w:val="FootnoteReference"/>
          <w:rFonts w:eastAsia="Times New Roman" w:cs="Times New Roman"/>
          <w:color w:val="FFFFFF" w:themeColor="background1"/>
          <w:szCs w:val="20"/>
          <w:lang w:eastAsia="de-DE"/>
        </w:rPr>
        <w:footnoteReference w:id="10"/>
      </w:r>
      <w:r>
        <w:rPr>
          <w:rStyle w:val="FootnoteReference"/>
          <w:rFonts w:eastAsia="Times New Roman" w:cs="Times New Roman"/>
          <w:color w:val="FFFFFF" w:themeColor="background1"/>
          <w:szCs w:val="20"/>
          <w:lang w:eastAsia="de-DE"/>
        </w:rPr>
        <w:footnoteReference w:id="11"/>
      </w:r>
      <w:r w:rsidR="00C72FEC">
        <w:rPr>
          <w:rFonts w:eastAsia="Times New Roman" w:cs="Times New Roman"/>
          <w:noProof/>
          <w:szCs w:val="20"/>
          <w:lang w:val="en-GB" w:eastAsia="en-GB"/>
        </w:rPr>
        <mc:AlternateContent>
          <mc:Choice Requires="wps">
            <w:drawing>
              <wp:anchor distT="0" distB="0" distL="114300" distR="114300" simplePos="0" relativeHeight="251653120" behindDoc="0" locked="0" layoutInCell="1" allowOverlap="1" wp14:anchorId="063B39ED" wp14:editId="2929FB43">
                <wp:simplePos x="0" y="0"/>
                <wp:positionH relativeFrom="column">
                  <wp:posOffset>0</wp:posOffset>
                </wp:positionH>
                <wp:positionV relativeFrom="paragraph">
                  <wp:posOffset>389890</wp:posOffset>
                </wp:positionV>
                <wp:extent cx="6072397" cy="3990975"/>
                <wp:effectExtent l="0" t="0" r="24130" b="28575"/>
                <wp:wrapNone/>
                <wp:docPr id="57" name="Rectangle: Diagonal Corners Rounded 57"/>
                <wp:cNvGraphicFramePr/>
                <a:graphic xmlns:a="http://schemas.openxmlformats.org/drawingml/2006/main">
                  <a:graphicData uri="http://schemas.microsoft.com/office/word/2010/wordprocessingShape">
                    <wps:wsp>
                      <wps:cNvSpPr/>
                      <wps:spPr>
                        <a:xfrm>
                          <a:off x="0" y="0"/>
                          <a:ext cx="6072397" cy="3990975"/>
                        </a:xfrm>
                        <a:prstGeom prst="round2DiagRect">
                          <a:avLst>
                            <a:gd name="adj1" fmla="val 6633"/>
                            <a:gd name="adj2" fmla="val 0"/>
                          </a:avLst>
                        </a:prstGeom>
                        <a:noFill/>
                        <a:ln w="25400" cap="flat" cmpd="sng" algn="ctr">
                          <a:solidFill>
                            <a:srgbClr val="F07E31"/>
                          </a:solidFill>
                          <a:prstDash val="solid"/>
                        </a:ln>
                        <a:effectLst/>
                      </wps:spPr>
                      <wps:txbx>
                        <w:txbxContent>
                          <w:p w:rsidR="00891EED" w:rsidRPr="002F0ABF" w:rsidRDefault="00891EED" w:rsidP="00E05D08">
                            <w:pPr>
                              <w:pStyle w:val="Normal12PTcouleurgris"/>
                              <w:rPr>
                                <w:b/>
                                <w:color w:val="F07E31"/>
                                <w:sz w:val="16"/>
                                <w:szCs w:val="16"/>
                              </w:rPr>
                            </w:pPr>
                            <w:r>
                              <w:rPr>
                                <w:noProof/>
                                <w:lang w:val="en-GB" w:eastAsia="en-GB"/>
                              </w:rPr>
                              <w:drawing>
                                <wp:inline distT="0" distB="0" distL="0" distR="0" wp14:anchorId="2E16AF76" wp14:editId="37561616">
                                  <wp:extent cx="353060" cy="359410"/>
                                  <wp:effectExtent l="0" t="0" r="8890" b="2540"/>
                                  <wp:docPr id="4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6"/>
                                <w:szCs w:val="16"/>
                              </w:rPr>
                              <w:t>Voorbeelden van mogelijke POP-ondersteuning voor traject 2</w:t>
                            </w:r>
                          </w:p>
                          <w:p w:rsidR="00891EED" w:rsidRPr="002F0ABF" w:rsidRDefault="00891EED" w:rsidP="00E05D08">
                            <w:pPr>
                              <w:pStyle w:val="Normal12PTcouleurgris"/>
                              <w:rPr>
                                <w:sz w:val="16"/>
                                <w:szCs w:val="16"/>
                              </w:rPr>
                            </w:pPr>
                            <w:r>
                              <w:rPr>
                                <w:sz w:val="16"/>
                                <w:szCs w:val="16"/>
                              </w:rPr>
                              <w:t>De volgende kernvaardigheden en -kwaliteiten van innovatie-actoren</w:t>
                            </w:r>
                            <w:r>
                              <w:rPr>
                                <w:sz w:val="16"/>
                                <w:szCs w:val="16"/>
                                <w:vertAlign w:val="superscript"/>
                              </w:rPr>
                              <w:t>9</w:t>
                            </w:r>
                            <w:r>
                              <w:rPr>
                                <w:sz w:val="16"/>
                                <w:szCs w:val="16"/>
                              </w:rPr>
                              <w:t xml:space="preserve"> kunnen door het POP worden ondersteund en zijn van invloed op de concrete acties in het kader van de "innovatiecapaciteit": </w:t>
                            </w:r>
                          </w:p>
                          <w:p w:rsidR="00891EED" w:rsidRPr="002F0ABF" w:rsidRDefault="00891EED" w:rsidP="00E05D08">
                            <w:pPr>
                              <w:pStyle w:val="Hlistbullet"/>
                              <w:rPr>
                                <w:sz w:val="16"/>
                                <w:szCs w:val="16"/>
                              </w:rPr>
                            </w:pPr>
                            <w:r>
                              <w:rPr>
                                <w:sz w:val="16"/>
                                <w:szCs w:val="16"/>
                              </w:rPr>
                              <w:t>Technische en veldspecifieke kennis en vaardigheden die nodig zijn om nieuwe ideeën in de praktijk te laten werken, daaronder begrepen het vermogen om mogelijkheden te herkennen en er een keuze in te maken (bv. concrete acties uitgevoerd in het kader van artikel 14, 15 en 35 van Verordening (EU) nr. 1305/2013);</w:t>
                            </w:r>
                          </w:p>
                          <w:p w:rsidR="00891EED" w:rsidRPr="002F0ABF" w:rsidRDefault="00891EED" w:rsidP="00E05D08">
                            <w:pPr>
                              <w:pStyle w:val="Hlistbullet"/>
                              <w:rPr>
                                <w:sz w:val="16"/>
                                <w:szCs w:val="16"/>
                              </w:rPr>
                            </w:pPr>
                            <w:r>
                              <w:rPr>
                                <w:sz w:val="16"/>
                                <w:szCs w:val="16"/>
                              </w:rPr>
                              <w:t>Organisatorische en sociale vaardigheden die nodig zijn om innovatieprocessen te faciliteren en ervoor te bemiddelen</w:t>
                            </w:r>
                            <w:r>
                              <w:rPr>
                                <w:sz w:val="16"/>
                                <w:szCs w:val="16"/>
                                <w:vertAlign w:val="superscript"/>
                              </w:rPr>
                              <w:t>10</w:t>
                            </w:r>
                            <w:r>
                              <w:rPr>
                                <w:sz w:val="16"/>
                                <w:szCs w:val="16"/>
                              </w:rPr>
                              <w:t>, daaronder begrepen het vermogen om verbindingen en netwerken tussen belanghebbenden tot stand te brengen, het vermogen om cycli van iteratieve verbeelding, planning en reflectief leren te doorlopen en het vermogen om belangrijke systeemdynamica en -uitdagingen te herkennen (bv. concrete acties uitgevoerd in het kader van artikel 35 van Verordening (EU) nr. 1305/2013);</w:t>
                            </w:r>
                          </w:p>
                          <w:p w:rsidR="00891EED" w:rsidRPr="002F0ABF" w:rsidRDefault="00891EED" w:rsidP="00E05D08">
                            <w:pPr>
                              <w:pStyle w:val="Hlistbullet"/>
                              <w:rPr>
                                <w:sz w:val="16"/>
                                <w:szCs w:val="16"/>
                              </w:rPr>
                            </w:pPr>
                            <w:r>
                              <w:rPr>
                                <w:sz w:val="16"/>
                                <w:szCs w:val="16"/>
                              </w:rPr>
                              <w:t>Versterkte capaciteit tot effectieve collectieve actie</w:t>
                            </w:r>
                            <w:r>
                              <w:rPr>
                                <w:sz w:val="16"/>
                                <w:szCs w:val="16"/>
                                <w:vertAlign w:val="superscript"/>
                              </w:rPr>
                              <w:t>11</w:t>
                            </w:r>
                            <w:r>
                              <w:rPr>
                                <w:sz w:val="16"/>
                                <w:szCs w:val="16"/>
                              </w:rPr>
                              <w:t xml:space="preserve"> (bv. om de demonstratie- en voorlichtingsactiviteiten gezamenlijk te organiseren teneinde overdracht van ervaring en kennis tussen actoren te bereiken, of samenwerking tussen actoren in de leveringsketen ter verschaffing van biomassa voor de productie van voedsel en energie enz.), concrete acties uitgevoerd in het kader van artikel 14, 15 en 35 van Verordening (EU) nr. 1305/2013;</w:t>
                            </w:r>
                          </w:p>
                          <w:p w:rsidR="00891EED" w:rsidRPr="002F0ABF" w:rsidRDefault="00891EED" w:rsidP="00E05D08">
                            <w:pPr>
                              <w:pStyle w:val="Hlistbullet"/>
                              <w:rPr>
                                <w:sz w:val="16"/>
                                <w:szCs w:val="16"/>
                              </w:rPr>
                            </w:pPr>
                            <w:r>
                              <w:rPr>
                                <w:sz w:val="16"/>
                                <w:szCs w:val="16"/>
                              </w:rPr>
                              <w:t>Met steunmaatregelen in het kader van het POP kan innovatiecapaciteit worden opgebouwd door mogelijkheden tot kennisoverdracht te bieden (bv. diensten, opleiding en begeleiding), concrete acties uitgevoerd in het kader van artikel 15 van Verordening (EU) nr. 1305/2013).</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B39ED" id="Rectangle: Diagonal Corners Rounded 57" o:spid="_x0000_s1033" style="position:absolute;left:0;text-align:left;margin-left:0;margin-top:30.7pt;width:478.15pt;height:31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72397,399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" adj="-11796480,,5400" path="m264721,l6072397,r,l6072397,3726254v,146201,-118520,264721,-264721,264721l,3990975r,l,264721c,118520,118520,,264721,xe" filled="f" strokecolor="#f07e31" strokeweight="2pt">
                <v:stroke joinstyle="miter"/>
                <v:formulas/>
                <v:path arrowok="t" o:connecttype="custom" o:connectlocs="264721,0;6072397,0;6072397,0;6072397,3726254;5807676,3990975;0,3990975;0,3990975;0,264721;264721,0" o:connectangles="0,0,0,0,0,0,0,0,0" textboxrect="0,0,6072397,3990975"/>
                <v:textbox inset=",0,,0">
                  <w:txbxContent>
                    <w:p w:rsidR="00891EED" w:rsidRPr="002F0ABF" w:rsidRDefault="00891EED" w:rsidP="00E05D08">
                      <w:pPr>
                        <w:pStyle w:val="Normal12PTcouleurgris"/>
                        <w:rPr>
                          <w:b/>
                          <w:color w:val="F07E31"/>
                          <w:sz w:val="16"/>
                          <w:szCs w:val="16"/>
                        </w:rPr>
                      </w:pPr>
                      <w:r>
                        <w:rPr>
                          <w:noProof/>
                          <w:lang w:val="en-GB" w:eastAsia="en-GB"/>
                        </w:rPr>
                        <w:drawing>
                          <wp:inline distT="0" distB="0" distL="0" distR="0" wp14:anchorId="2E16AF76" wp14:editId="37561616">
                            <wp:extent cx="353060" cy="359410"/>
                            <wp:effectExtent l="0" t="0" r="8890" b="2540"/>
                            <wp:docPr id="4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6"/>
                          <w:szCs w:val="16"/>
                        </w:rPr>
                        <w:t>Voorbeelden van mogelijke POP-ondersteuning voor traject 2</w:t>
                      </w:r>
                    </w:p>
                    <w:p w:rsidR="00891EED" w:rsidRPr="002F0ABF" w:rsidRDefault="00891EED" w:rsidP="00E05D08">
                      <w:pPr>
                        <w:pStyle w:val="Normal12PTcouleurgris"/>
                        <w:rPr>
                          <w:sz w:val="16"/>
                          <w:szCs w:val="16"/>
                        </w:rPr>
                      </w:pPr>
                      <w:r>
                        <w:rPr>
                          <w:sz w:val="16"/>
                          <w:szCs w:val="16"/>
                        </w:rPr>
                        <w:t>De volgende kernvaardigheden en -kwaliteiten van innovatie-actoren</w:t>
                      </w:r>
                      <w:r>
                        <w:rPr>
                          <w:sz w:val="16"/>
                          <w:szCs w:val="16"/>
                          <w:vertAlign w:val="superscript"/>
                        </w:rPr>
                        <w:t>9</w:t>
                      </w:r>
                      <w:r>
                        <w:rPr>
                          <w:sz w:val="16"/>
                          <w:szCs w:val="16"/>
                        </w:rPr>
                        <w:t xml:space="preserve"> kunnen door het POP worden ondersteund en zijn van invloed op de concrete acties in het kader van de "innovatiecapaciteit": </w:t>
                      </w:r>
                    </w:p>
                    <w:p w:rsidR="00891EED" w:rsidRPr="002F0ABF" w:rsidRDefault="00891EED" w:rsidP="00E05D08">
                      <w:pPr>
                        <w:pStyle w:val="Hlistbullet"/>
                        <w:rPr>
                          <w:sz w:val="16"/>
                          <w:szCs w:val="16"/>
                        </w:rPr>
                      </w:pPr>
                      <w:r>
                        <w:rPr>
                          <w:sz w:val="16"/>
                          <w:szCs w:val="16"/>
                        </w:rPr>
                        <w:t>Technische en veldspecifieke kennis en vaardigheden die nodig zijn om nieuwe ideeën in de praktijk te laten werken, daaronder begrepen het vermogen om mogelijkheden te herkennen en er een keuze in te maken (bv. concrete acties uitgevoerd in het kader van artikel 14, 15 en 35 van Verordening (EU) nr. 1305/2013);</w:t>
                      </w:r>
                    </w:p>
                    <w:p w:rsidR="00891EED" w:rsidRPr="002F0ABF" w:rsidRDefault="00891EED" w:rsidP="00E05D08">
                      <w:pPr>
                        <w:pStyle w:val="Hlistbullet"/>
                        <w:rPr>
                          <w:sz w:val="16"/>
                          <w:szCs w:val="16"/>
                        </w:rPr>
                      </w:pPr>
                      <w:r>
                        <w:rPr>
                          <w:sz w:val="16"/>
                          <w:szCs w:val="16"/>
                        </w:rPr>
                        <w:t>Organisatorische en sociale vaardigheden die nodig zijn om innovatieprocessen te faciliteren en ervoor te bemiddelen</w:t>
                      </w:r>
                      <w:r>
                        <w:rPr>
                          <w:sz w:val="16"/>
                          <w:szCs w:val="16"/>
                          <w:vertAlign w:val="superscript"/>
                        </w:rPr>
                        <w:t>10</w:t>
                      </w:r>
                      <w:r>
                        <w:rPr>
                          <w:sz w:val="16"/>
                          <w:szCs w:val="16"/>
                        </w:rPr>
                        <w:t>, daaronder begrepen het vermogen om verbindingen en netwerken tussen belanghebbenden tot stand te brengen, het vermogen om cycli van iteratieve verbeelding, planning en reflectief leren te doorlopen en het vermogen om belangrijke systeemdynamica en -uitdagingen te herkennen (bv. concrete acties uitgevoerd in het kader van artikel 35 van Verordening (EU) nr. 1305/2013);</w:t>
                      </w:r>
                    </w:p>
                    <w:p w:rsidR="00891EED" w:rsidRPr="002F0ABF" w:rsidRDefault="00891EED" w:rsidP="00E05D08">
                      <w:pPr>
                        <w:pStyle w:val="Hlistbullet"/>
                        <w:rPr>
                          <w:sz w:val="16"/>
                          <w:szCs w:val="16"/>
                        </w:rPr>
                      </w:pPr>
                      <w:r>
                        <w:rPr>
                          <w:sz w:val="16"/>
                          <w:szCs w:val="16"/>
                        </w:rPr>
                        <w:t>Versterkte capaciteit tot effectieve collectieve actie</w:t>
                      </w:r>
                      <w:r>
                        <w:rPr>
                          <w:sz w:val="16"/>
                          <w:szCs w:val="16"/>
                          <w:vertAlign w:val="superscript"/>
                        </w:rPr>
                        <w:t>11</w:t>
                      </w:r>
                      <w:r>
                        <w:rPr>
                          <w:sz w:val="16"/>
                          <w:szCs w:val="16"/>
                        </w:rPr>
                        <w:t xml:space="preserve"> (bv. om de demonstratie- en voorlichtingsactiviteiten gezamenlijk te organiseren teneinde overdracht van ervaring en kennis tussen actoren te bereiken, of samenwerking tussen actoren in de leveringsketen ter verschaffing van biomassa voor de productie van voedsel en energie enz.), concrete acties uitgevoerd in het kader van artikel 14, 15 en 35 van Verordening (EU) nr. 1305/2013;</w:t>
                      </w:r>
                    </w:p>
                    <w:p w:rsidR="00891EED" w:rsidRPr="002F0ABF" w:rsidRDefault="00891EED" w:rsidP="00E05D08">
                      <w:pPr>
                        <w:pStyle w:val="Hlistbullet"/>
                        <w:rPr>
                          <w:sz w:val="16"/>
                          <w:szCs w:val="16"/>
                        </w:rPr>
                      </w:pPr>
                      <w:r>
                        <w:rPr>
                          <w:sz w:val="16"/>
                          <w:szCs w:val="16"/>
                        </w:rPr>
                        <w:t>Met steunmaatregelen in het kader van het POP kan innovatiecapaciteit worden opgebouwd door mogelijkheden tot kennisoverdracht te bieden (bv. diensten, opleiding en begeleiding), concrete acties uitgevoerd in het kader van artikel 15 van Verordening (EU) nr. 1305/2013).</w:t>
                      </w:r>
                    </w:p>
                  </w:txbxContent>
                </v:textbox>
              </v:shape>
            </w:pict>
          </mc:Fallback>
        </mc:AlternateContent>
      </w:r>
      <w:r w:rsidR="00F74459">
        <w:br w:type="column"/>
      </w:r>
      <w:r w:rsidR="00F74459">
        <w:rPr>
          <w:rFonts w:eastAsia="Times New Roman" w:cs="Times New Roman"/>
          <w:noProof/>
          <w:szCs w:val="20"/>
          <w:lang w:val="en-GB" w:eastAsia="en-GB"/>
        </w:rPr>
        <w:lastRenderedPageBreak/>
        <mc:AlternateContent>
          <mc:Choice Requires="wps">
            <w:drawing>
              <wp:anchor distT="0" distB="0" distL="114300" distR="114300" simplePos="0" relativeHeight="251664384" behindDoc="0" locked="0" layoutInCell="1" allowOverlap="1" wp14:anchorId="4A98FBBA" wp14:editId="69FDE5DC">
                <wp:simplePos x="0" y="0"/>
                <wp:positionH relativeFrom="column">
                  <wp:posOffset>2924175</wp:posOffset>
                </wp:positionH>
                <wp:positionV relativeFrom="paragraph">
                  <wp:posOffset>66675</wp:posOffset>
                </wp:positionV>
                <wp:extent cx="2863850" cy="7810500"/>
                <wp:effectExtent l="0" t="0" r="12700" b="19050"/>
                <wp:wrapSquare wrapText="bothSides"/>
                <wp:docPr id="59" name="Rectangle: Diagonal Corners Rounded 59"/>
                <wp:cNvGraphicFramePr/>
                <a:graphic xmlns:a="http://schemas.openxmlformats.org/drawingml/2006/main">
                  <a:graphicData uri="http://schemas.microsoft.com/office/word/2010/wordprocessingShape">
                    <wps:wsp>
                      <wps:cNvSpPr/>
                      <wps:spPr>
                        <a:xfrm>
                          <a:off x="0" y="0"/>
                          <a:ext cx="2863850" cy="7810500"/>
                        </a:xfrm>
                        <a:prstGeom prst="round2DiagRect">
                          <a:avLst>
                            <a:gd name="adj1" fmla="val 5907"/>
                            <a:gd name="adj2" fmla="val 0"/>
                          </a:avLst>
                        </a:prstGeom>
                        <a:noFill/>
                        <a:ln w="25400" cap="flat" cmpd="sng" algn="ctr">
                          <a:solidFill>
                            <a:srgbClr val="F07E31"/>
                          </a:solidFill>
                          <a:prstDash val="solid"/>
                        </a:ln>
                        <a:effectLst/>
                      </wps:spPr>
                      <wps:txbx>
                        <w:txbxContent>
                          <w:p w:rsidR="00891EED" w:rsidRPr="00E05D08" w:rsidRDefault="00891EED" w:rsidP="004508D0">
                            <w:pPr>
                              <w:pStyle w:val="Normal12PTcouleurgris"/>
                              <w:rPr>
                                <w:b/>
                                <w:color w:val="F07E31"/>
                              </w:rPr>
                            </w:pPr>
                            <w:r>
                              <w:rPr>
                                <w:noProof/>
                                <w:lang w:val="en-GB" w:eastAsia="en-GB"/>
                              </w:rPr>
                              <w:drawing>
                                <wp:inline distT="0" distB="0" distL="0" distR="0" wp14:anchorId="5075A505" wp14:editId="4C48966B">
                                  <wp:extent cx="353060" cy="359410"/>
                                  <wp:effectExtent l="0" t="0" r="8890" b="2540"/>
                                  <wp:docPr id="4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Voorbeelden van mogelijke POP-ondersteuning voor traject 3</w:t>
                            </w:r>
                          </w:p>
                          <w:p w:rsidR="00891EED" w:rsidRPr="002B58E1" w:rsidRDefault="00891EED" w:rsidP="004508D0">
                            <w:pPr>
                              <w:pStyle w:val="Hlistbullet"/>
                              <w:rPr>
                                <w:sz w:val="18"/>
                                <w:szCs w:val="18"/>
                              </w:rPr>
                            </w:pPr>
                            <w:r>
                              <w:rPr>
                                <w:sz w:val="18"/>
                                <w:szCs w:val="18"/>
                              </w:rPr>
                              <w:t xml:space="preserve">Een POP waarin prioriteit wordt gegeven aan voorlichtings- en opleidingsacties (art. 14 van Verordening (EU) nr. 1305/2013) en adviesdiensten (art. 15 van Verordening (EU) nr. 1305/2013) die gebaseerd zijn op innovatieve praktijken die door OG's in het gebied zelf zijn ontwikkeld (art. 35 van Verordening (EU) nr. 1305/2013) of op innovatieve praktijken die door OG's in andere regio's of landen zijn ontwikkeld (NPN-activiteiten, technische bijstand). </w:t>
                            </w:r>
                          </w:p>
                          <w:p w:rsidR="00891EED" w:rsidRPr="002B58E1" w:rsidRDefault="00891EED" w:rsidP="004508D0">
                            <w:pPr>
                              <w:pStyle w:val="Hlistbullet"/>
                              <w:rPr>
                                <w:sz w:val="18"/>
                                <w:szCs w:val="18"/>
                              </w:rPr>
                            </w:pPr>
                            <w:r>
                              <w:rPr>
                                <w:sz w:val="18"/>
                                <w:szCs w:val="18"/>
                              </w:rPr>
                              <w:t>Een POP waarbij de internettoegang op het platteland wordt verbeterd, helpt lokale bedrijven en landbouwers toegang tot informatie en markten te verkrijgen en vergroot op die manier hun vermogen en motivatie om te innoveren (bv. acties uitgevoerd in het kader van art. 20 van Verordening (EU) nr. 1305/2013);</w:t>
                            </w:r>
                          </w:p>
                          <w:p w:rsidR="00891EED" w:rsidRPr="002B58E1" w:rsidRDefault="00891EED" w:rsidP="004508D0">
                            <w:pPr>
                              <w:pStyle w:val="Hlistbullet"/>
                              <w:rPr>
                                <w:b/>
                                <w:sz w:val="18"/>
                                <w:szCs w:val="18"/>
                              </w:rPr>
                            </w:pPr>
                            <w:r>
                              <w:rPr>
                                <w:sz w:val="18"/>
                                <w:szCs w:val="18"/>
                              </w:rPr>
                              <w:t>Een POP waarin door een OG innovatieve grondbewerkingswerktuigen worden ontwikkeld om gewasresten te verwerken, kan aansporen tot innovatieve investeringen en een strengere wetshandhaving om een einde te maken aan de verbranding van gewasresten (bv. acties uitgevoerd in het kader van art. 17 van Verordening (EU) nr. 1305/2013);</w:t>
                            </w:r>
                          </w:p>
                          <w:p w:rsidR="00891EED" w:rsidRPr="002B58E1" w:rsidRDefault="00891EED" w:rsidP="004508D0">
                            <w:pPr>
                              <w:pStyle w:val="Hlistbullet"/>
                              <w:rPr>
                                <w:sz w:val="18"/>
                                <w:szCs w:val="18"/>
                              </w:rPr>
                            </w:pPr>
                            <w:r>
                              <w:rPr>
                                <w:sz w:val="18"/>
                                <w:szCs w:val="18"/>
                              </w:rPr>
                              <w:t>Een POP-maatregel die de instelling van korte voedselketens of coöperaties van producenten ondersteunt, kan de verbindingen en samenwerking tussen consumenten en producenten vergroten om een innovatiever voedselsysteem</w:t>
                            </w:r>
                            <w:r>
                              <w:rPr>
                                <w:sz w:val="18"/>
                                <w:szCs w:val="18"/>
                                <w:vertAlign w:val="superscript"/>
                              </w:rPr>
                              <w:t>13</w:t>
                            </w:r>
                            <w:r>
                              <w:rPr>
                                <w:sz w:val="18"/>
                                <w:szCs w:val="18"/>
                              </w:rPr>
                              <w:t xml:space="preserve"> tot stand te brengen (bv. acties uitgevoerd in het kader van art. 16, 17 en 35 van Verordening (EU) nr.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8FBBA" id="Rectangle: Diagonal Corners Rounded 59" o:spid="_x0000_s1034" style="position:absolute;left:0;text-align:left;margin-left:230.25pt;margin-top:5.25pt;width:225.5pt;height: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3850,7810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" adj="-11796480,,5400" path="m169168,l2863850,r,l2863850,7641332v,93429,-75739,169168,-169168,169168l,7810500r,l,169168c,75739,75739,,169168,xe" filled="f" strokecolor="#f07e31" strokeweight="2pt">
                <v:stroke joinstyle="miter"/>
                <v:formulas/>
                <v:path arrowok="t" o:connecttype="custom" o:connectlocs="169168,0;2863850,0;2863850,0;2863850,7641332;2694682,7810500;0,7810500;0,7810500;0,169168;169168,0" o:connectangles="0,0,0,0,0,0,0,0,0" textboxrect="0,0,2863850,7810500"/>
                <v:textbox>
                  <w:txbxContent>
                    <w:p w:rsidR="00891EED" w:rsidRPr="00E05D08" w:rsidRDefault="00891EED" w:rsidP="004508D0">
                      <w:pPr>
                        <w:pStyle w:val="Normal12PTcouleurgris"/>
                        <w:rPr>
                          <w:b/>
                          <w:color w:val="F07E31"/>
                        </w:rPr>
                      </w:pPr>
                      <w:r>
                        <w:rPr>
                          <w:noProof/>
                          <w:lang w:val="en-GB" w:eastAsia="en-GB"/>
                        </w:rPr>
                        <w:drawing>
                          <wp:inline distT="0" distB="0" distL="0" distR="0" wp14:anchorId="5075A505" wp14:editId="4C48966B">
                            <wp:extent cx="353060" cy="359410"/>
                            <wp:effectExtent l="0" t="0" r="8890" b="2540"/>
                            <wp:docPr id="4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Voorbeelden van mogelijke POP-ondersteuning voor traject 3</w:t>
                      </w:r>
                    </w:p>
                    <w:p w:rsidR="00891EED" w:rsidRPr="002B58E1" w:rsidRDefault="00891EED" w:rsidP="004508D0">
                      <w:pPr>
                        <w:pStyle w:val="Hlistbullet"/>
                        <w:rPr>
                          <w:sz w:val="18"/>
                          <w:szCs w:val="18"/>
                        </w:rPr>
                      </w:pPr>
                      <w:r>
                        <w:rPr>
                          <w:sz w:val="18"/>
                          <w:szCs w:val="18"/>
                        </w:rPr>
                        <w:t xml:space="preserve">Een POP waarin prioriteit wordt gegeven aan voorlichtings- en opleidingsacties (art. 14 van Verordening (EU) nr. 1305/2013) en adviesdiensten (art. 15 van Verordening (EU) nr. 1305/2013) die gebaseerd zijn op innovatieve praktijken die door OG's in het gebied zelf zijn ontwikkeld (art. 35 van Verordening (EU) nr. 1305/2013) of op innovatieve praktijken die door OG's in andere regio's of landen zijn ontwikkeld (NPN-activiteiten, technische bijstand). </w:t>
                      </w:r>
                    </w:p>
                    <w:p w:rsidR="00891EED" w:rsidRPr="002B58E1" w:rsidRDefault="00891EED" w:rsidP="004508D0">
                      <w:pPr>
                        <w:pStyle w:val="Hlistbullet"/>
                        <w:rPr>
                          <w:sz w:val="18"/>
                          <w:szCs w:val="18"/>
                        </w:rPr>
                      </w:pPr>
                      <w:r>
                        <w:rPr>
                          <w:sz w:val="18"/>
                          <w:szCs w:val="18"/>
                        </w:rPr>
                        <w:t>Een POP waarbij de internettoegang op het platteland wordt verbeterd, helpt lokale bedrijven en landbouwers toegang tot informatie en markten te verkrijgen en vergroot op die manier hun vermogen en motivatie om te innoveren (bv. acties uitgevoerd in het kader van art. 20 van Verordening (EU) nr. 1305/2013);</w:t>
                      </w:r>
                    </w:p>
                    <w:p w:rsidR="00891EED" w:rsidRPr="002B58E1" w:rsidRDefault="00891EED" w:rsidP="004508D0">
                      <w:pPr>
                        <w:pStyle w:val="Hlistbullet"/>
                        <w:rPr>
                          <w:b/>
                          <w:sz w:val="18"/>
                          <w:szCs w:val="18"/>
                        </w:rPr>
                      </w:pPr>
                      <w:r>
                        <w:rPr>
                          <w:sz w:val="18"/>
                          <w:szCs w:val="18"/>
                        </w:rPr>
                        <w:t>Een POP waarin door een OG innovatieve grondbewerkingswerktuigen worden ontwikkeld om gewasresten te verwerken, kan aansporen tot innovatieve investeringen en een strengere wetshandhaving om een einde te maken aan de verbranding van gewasresten (bv. acties uitgevoerd in het kader van art. 17 van Verordening (EU) nr. 1305/2013);</w:t>
                      </w:r>
                    </w:p>
                    <w:p w:rsidR="00891EED" w:rsidRPr="002B58E1" w:rsidRDefault="00891EED" w:rsidP="004508D0">
                      <w:pPr>
                        <w:pStyle w:val="Hlistbullet"/>
                        <w:rPr>
                          <w:sz w:val="18"/>
                          <w:szCs w:val="18"/>
                        </w:rPr>
                      </w:pPr>
                      <w:r>
                        <w:rPr>
                          <w:sz w:val="18"/>
                          <w:szCs w:val="18"/>
                        </w:rPr>
                        <w:t>Een POP-maatregel die de instelling van korte voedselketens of coöperaties van producenten ondersteunt, kan de verbindingen en samenwerking tussen consumenten en producenten vergroten om een innovatiever voedselsysteem</w:t>
                      </w:r>
                      <w:r>
                        <w:rPr>
                          <w:sz w:val="18"/>
                          <w:szCs w:val="18"/>
                          <w:vertAlign w:val="superscript"/>
                        </w:rPr>
                        <w:t>13</w:t>
                      </w:r>
                      <w:r>
                        <w:rPr>
                          <w:sz w:val="18"/>
                          <w:szCs w:val="18"/>
                        </w:rPr>
                        <w:t xml:space="preserve"> tot stand te brengen (bv. acties uitgevoerd in het kader van art. 16, 17 en 35 van Verordening (EU) nr. 1305/2013).</w:t>
                      </w:r>
                    </w:p>
                  </w:txbxContent>
                </v:textbox>
                <w10:wrap type="square"/>
              </v:shape>
            </w:pict>
          </mc:Fallback>
        </mc:AlternateContent>
      </w:r>
      <w:r w:rsidR="00F74459">
        <w:rPr>
          <w:b/>
          <w:color w:val="F07E31"/>
          <w:szCs w:val="20"/>
        </w:rPr>
        <w:t>Het derde traject</w:t>
      </w:r>
      <w:r w:rsidR="00F74459">
        <w:t xml:space="preserve"> behelst de verandering van de kadervoorwaarden en de omgeving die de innovatiesystemen beïnvloeden. Daarbij kan worden gedacht aan het verbeteren van verschillende randvoorwaarden</w:t>
      </w:r>
      <w:r w:rsidR="00F74459">
        <w:rPr>
          <w:rFonts w:eastAsia="Times New Roman" w:cs="Times New Roman"/>
          <w:szCs w:val="20"/>
          <w:vertAlign w:val="superscript"/>
          <w:lang w:eastAsia="de-DE"/>
        </w:rPr>
        <w:footnoteReference w:id="12"/>
      </w:r>
      <w:r w:rsidR="00F74459">
        <w:t>, zoals:</w:t>
      </w:r>
    </w:p>
    <w:p w:rsidR="00A45935" w:rsidRPr="0095292E" w:rsidRDefault="00A45935" w:rsidP="00230C31">
      <w:pPr>
        <w:pStyle w:val="Hlistbullet"/>
      </w:pPr>
      <w:r>
        <w:t xml:space="preserve">institutioneel (bv. verlening van mandaten, verstrekking van normen, beleid/wetgeving ter ondersteuning van innovatie); </w:t>
      </w:r>
    </w:p>
    <w:p w:rsidR="00A45935" w:rsidRPr="0095292E" w:rsidRDefault="00A45935" w:rsidP="00230C31">
      <w:pPr>
        <w:pStyle w:val="Hlistbullet"/>
      </w:pPr>
      <w:r>
        <w:t xml:space="preserve">procedureel (bv. bronnen van flexibele financiering om in te spelen op de innovatiebehoefte van belanghebbenden); </w:t>
      </w:r>
    </w:p>
    <w:p w:rsidR="00A45935" w:rsidRPr="0095292E" w:rsidRDefault="00A45935" w:rsidP="00230C31">
      <w:pPr>
        <w:pStyle w:val="Hlistbullet"/>
      </w:pPr>
      <w:r>
        <w:t xml:space="preserve">professioneel (bv. toegang tot opleidingen om te voorzien in de benodigde vaardigheden, kennis en middelen om innovatie te bevorderen); </w:t>
      </w:r>
    </w:p>
    <w:p w:rsidR="00A45935" w:rsidRPr="0095292E" w:rsidRDefault="00A45935" w:rsidP="00230C31">
      <w:pPr>
        <w:pStyle w:val="Hlistbullet"/>
      </w:pPr>
      <w:r>
        <w:t xml:space="preserve">organisatorisch (bv. de mogelijkheid om samen te werken met andere partners die bereid zijn naar innovatieve oplossingen te zoeken); </w:t>
      </w:r>
    </w:p>
    <w:p w:rsidR="00A45935" w:rsidRPr="0095292E" w:rsidRDefault="00A45935" w:rsidP="00230C31">
      <w:pPr>
        <w:pStyle w:val="Hlistbullet"/>
      </w:pPr>
      <w:r>
        <w:t xml:space="preserve">operationeel (bv. transnationale of sectoroverstijgende innovatie mogelijk maken); </w:t>
      </w:r>
    </w:p>
    <w:p w:rsidR="00A45935" w:rsidRPr="0095292E" w:rsidRDefault="00A45935" w:rsidP="00230C31">
      <w:pPr>
        <w:pStyle w:val="Hlistbullet"/>
      </w:pPr>
      <w:r>
        <w:t xml:space="preserve">technisch (bv. ondersteuning van nieuwe technieken en technologieën voor economische sectoren en infrastructuur op het platteland). </w:t>
      </w:r>
    </w:p>
    <w:p w:rsidR="00A45935" w:rsidRPr="00E05D08" w:rsidRDefault="00A45935" w:rsidP="00E05D08">
      <w:pPr>
        <w:spacing w:after="120" w:line="280" w:lineRule="atLeast"/>
        <w:mirrorIndents/>
        <w:rPr>
          <w:rFonts w:eastAsia="Times New Roman" w:cs="Times New Roman"/>
          <w:szCs w:val="20"/>
        </w:rPr>
      </w:pPr>
      <w:r>
        <w:t>Het POP kan het derde traject ondersteunen door verschillende maatregelen/submaatregelen te combineren (zo scheppen investeringsmaatregelen een faciliterende omgeving voor eender welke technische en technologische innovatie, ondersteunen kwaliteits- en marketingmaatregelen institutionele en procedurele voorwaarden, en scheppen kennisoverdracht en adviesmaatregelen een faciliterende beroepsomgeving)</w:t>
      </w:r>
      <w:r>
        <w:rPr>
          <w:rStyle w:val="FootnoteReference"/>
          <w:rFonts w:eastAsia="Times New Roman" w:cs="Times New Roman"/>
          <w:color w:val="FFFFFF" w:themeColor="background1"/>
          <w:szCs w:val="20"/>
          <w:lang w:eastAsia="de-DE"/>
        </w:rPr>
        <w:footnoteReference w:id="13"/>
      </w:r>
      <w:r>
        <w:t xml:space="preserve">. </w:t>
      </w:r>
    </w:p>
    <w:p w:rsidR="00A45935" w:rsidRPr="00E05D08" w:rsidRDefault="00A45935" w:rsidP="00E05D08">
      <w:pPr>
        <w:spacing w:after="120" w:line="280" w:lineRule="atLeast"/>
        <w:mirrorIndents/>
        <w:rPr>
          <w:rFonts w:eastAsia="Times New Roman" w:cs="Times New Roman"/>
          <w:szCs w:val="20"/>
        </w:rPr>
      </w:pPr>
      <w:r>
        <w:rPr>
          <w:b/>
          <w:szCs w:val="20"/>
        </w:rPr>
        <w:t>Het potentieel voor verschillende zichzelf versterkende terugkoppelingslussen</w:t>
      </w:r>
      <w:r>
        <w:t xml:space="preserve"> is nader geïllustreerd in </w:t>
      </w:r>
      <w:hyperlink w:anchor="Pathways" w:history="1">
        <w:r>
          <w:rPr>
            <w:rStyle w:val="Hyperlink"/>
            <w:sz w:val="20"/>
            <w:szCs w:val="20"/>
          </w:rPr>
          <w:t>figuur 1</w:t>
        </w:r>
      </w:hyperlink>
      <w:r>
        <w:t>. Bijvoorbeeld:</w:t>
      </w:r>
    </w:p>
    <w:p w:rsidR="00A45935" w:rsidRPr="004508D0" w:rsidRDefault="00A45935" w:rsidP="00230C31">
      <w:pPr>
        <w:pStyle w:val="Hlistbullet"/>
      </w:pPr>
      <w:r>
        <w:t xml:space="preserve">Het proces van technologische en/of institutionele innovatie versterkt de innovatiecapaciteit van het systeem, wat direct ten goede komt aan de mate en kwaliteit van innovatie; </w:t>
      </w:r>
    </w:p>
    <w:p w:rsidR="00A45935" w:rsidRPr="000828C6" w:rsidRDefault="00A45935" w:rsidP="00230C31">
      <w:pPr>
        <w:pStyle w:val="Hlistbullet"/>
      </w:pPr>
      <w:r>
        <w:lastRenderedPageBreak/>
        <w:t xml:space="preserve">Steunmaatregelen in het kader van het POP ter ondersteuning van een innovatievriendelijk beleid (traject 3) leiden tot een hoger innovatietempo en bijgevolg tot een grotere innovatiecapaciteit. </w:t>
      </w:r>
    </w:p>
    <w:p w:rsidR="00A45935" w:rsidRPr="00E05D08" w:rsidRDefault="00A45935" w:rsidP="00E05D08">
      <w:pPr>
        <w:spacing w:after="120" w:line="280" w:lineRule="atLeast"/>
        <w:mirrorIndents/>
        <w:rPr>
          <w:rFonts w:eastAsia="Times New Roman" w:cs="Times New Roman"/>
          <w:szCs w:val="20"/>
        </w:rPr>
      </w:pPr>
      <w:r>
        <w:t>Vergroting van de innovatiecapaciteit helpt innovatieactoren verbindingen te leggen en te gebruiken om de faciliterende institutionele of beleidsmatige omgeving te beïnvloeden ten gunste van de door het POP nagestreefde innovaties. Zelfversterkende lussen zijn belangrijk omdat ze uitzicht bieden op hefboomwerking</w:t>
      </w:r>
      <w:r>
        <w:rPr>
          <w:rFonts w:eastAsia="Times New Roman" w:cs="Times New Roman"/>
          <w:szCs w:val="20"/>
          <w:vertAlign w:val="superscript"/>
          <w:lang w:eastAsia="de-DE"/>
        </w:rPr>
        <w:footnoteReference w:id="14"/>
      </w:r>
      <w:r>
        <w:t xml:space="preserve">, waardoor relatief kleine steunmaatregelen in het kader van het POP effecten op grotere schaal kunnen versterken en ondersteunen (zo geven nieuwe gebruikers van een energiezuinige innovatieve landbouwpraktijk die met een POP-innovatieproject is ontwikkeld een positieve terugkoppeling, die zich uitbreidt en anderen beïnvloedt om dezelfde praktijk over te nemen, wat leidt tot een aanzienlijk energiebesparingseffect in de regio). Bovendien kunnen innovatieprojecten tot verbeterde POP-maatregelen leiden. Zo kunnen met een innovatieproject de haalbaarheid en rendabiliteit van een toekomstige maatregel inzake agromilieu- en klimaatsteun getest worden. </w:t>
      </w:r>
    </w:p>
    <w:p w:rsidR="00A45935" w:rsidRPr="00E05D08" w:rsidRDefault="00A45935" w:rsidP="00230C31">
      <w:pPr>
        <w:pStyle w:val="HHeading4"/>
      </w:pPr>
      <w:r>
        <w:t xml:space="preserve">Hoe interageert het POP met het bredere innovatiesysteem? </w:t>
      </w:r>
    </w:p>
    <w:p w:rsidR="00A45935" w:rsidRPr="00E05D08" w:rsidRDefault="00A45935" w:rsidP="00E05D08">
      <w:pPr>
        <w:spacing w:after="120" w:line="280" w:lineRule="atLeast"/>
        <w:mirrorIndents/>
        <w:rPr>
          <w:rFonts w:eastAsia="Times New Roman" w:cs="Times New Roman"/>
          <w:szCs w:val="20"/>
        </w:rPr>
      </w:pPr>
      <w:r>
        <w:t xml:space="preserve">Het POP brengt twee soorten resultaten voort die verband houden met innovatie: </w:t>
      </w:r>
    </w:p>
    <w:p w:rsidR="00A45935" w:rsidRPr="000828C6" w:rsidRDefault="00A45935" w:rsidP="001744D0">
      <w:pPr>
        <w:pStyle w:val="Hlistbullet"/>
      </w:pPr>
      <w:r>
        <w:rPr>
          <w:b/>
        </w:rPr>
        <w:t>Faciliterende resultaten</w:t>
      </w:r>
      <w:r>
        <w:t xml:space="preserve"> die verband houden met de drie trajecten (bv. veranderingen in het aantal en de kwaliteit van nieuwe innovatieve ideeën; de innovatiecapaciteit en de faciliterende omgeving). </w:t>
      </w:r>
    </w:p>
    <w:p w:rsidR="00A45935" w:rsidRPr="000828C6" w:rsidRDefault="00A45935" w:rsidP="001744D0">
      <w:pPr>
        <w:pStyle w:val="Hlistbullet"/>
      </w:pPr>
      <w:r>
        <w:rPr>
          <w:b/>
        </w:rPr>
        <w:t>Innovatieresultaten</w:t>
      </w:r>
      <w:r>
        <w:t xml:space="preserve"> die voortvloeien uit de faciliterende resultaten (bv. nieuwe praktijken, hoger inkomen, invoering van duurzamere landbouwpraktijken).</w:t>
      </w:r>
    </w:p>
    <w:p w:rsidR="00A45935" w:rsidRPr="00E05D08" w:rsidRDefault="00A45935" w:rsidP="00E05D08">
      <w:pPr>
        <w:spacing w:after="120" w:line="280" w:lineRule="atLeast"/>
        <w:mirrorIndents/>
        <w:rPr>
          <w:rFonts w:eastAsia="Times New Roman" w:cs="Times New Roman"/>
          <w:szCs w:val="20"/>
        </w:rPr>
      </w:pPr>
      <w:r>
        <w:t>Beide soorten resultaten dragen bij aan de doelstellingen van het POP en kunnen met behulp van de juiste indicatoren worden beoordeeld. Of en hoe ze het bestaande innovatiesysteem beïnvloeden hangt af van de manier waarop de POP-begunstigden de voordelen van het programma interpreteren</w:t>
      </w:r>
      <w:r>
        <w:rPr>
          <w:rFonts w:eastAsia="Times New Roman" w:cs="Times New Roman"/>
          <w:szCs w:val="20"/>
          <w:vertAlign w:val="superscript"/>
          <w:lang w:eastAsia="de-DE"/>
        </w:rPr>
        <w:footnoteReference w:id="15"/>
      </w:r>
      <w:r>
        <w:t xml:space="preserve">. Hun reactie wordt ook beïnvloed door de geschiedenis en lopende processen anders dan het POP die innovatie stimuleren: </w:t>
      </w:r>
    </w:p>
    <w:p w:rsidR="00A45935" w:rsidRPr="00161D7E" w:rsidRDefault="00A45935" w:rsidP="001744D0">
      <w:pPr>
        <w:pStyle w:val="Hlistbullet"/>
      </w:pPr>
      <w:r>
        <w:t xml:space="preserve">onderzoeksactiviteiten in verband met nieuwe technologieën en processen; </w:t>
      </w:r>
    </w:p>
    <w:p w:rsidR="00A45935" w:rsidRPr="00161D7E" w:rsidRDefault="00A45935" w:rsidP="001744D0">
      <w:pPr>
        <w:pStyle w:val="Hlistbullet"/>
      </w:pPr>
      <w:r>
        <w:t xml:space="preserve">aanvullings- en opleidingsprogramma's ter bevordering van innovatie; </w:t>
      </w:r>
    </w:p>
    <w:p w:rsidR="00A45935" w:rsidRPr="00161D7E" w:rsidRDefault="00A45935" w:rsidP="001744D0">
      <w:pPr>
        <w:pStyle w:val="Hlistbullet"/>
      </w:pPr>
      <w:r>
        <w:t xml:space="preserve">fiscale maatregelen, kredietgaranties, innovatieve inkoop; </w:t>
      </w:r>
    </w:p>
    <w:p w:rsidR="00A45935" w:rsidRPr="00161D7E" w:rsidRDefault="00A45935" w:rsidP="001744D0">
      <w:pPr>
        <w:pStyle w:val="Hlistbullet"/>
      </w:pPr>
      <w:r>
        <w:t>Horizon 2020 en andere met ESI-fondsen gefinancierde nationale/regionale programma's die dezelfde innovatieaanpak hanteren als het POP;</w:t>
      </w:r>
    </w:p>
    <w:p w:rsidR="00A45935" w:rsidRPr="00161D7E" w:rsidRDefault="00A45935" w:rsidP="001744D0">
      <w:pPr>
        <w:pStyle w:val="Hlistbullet"/>
      </w:pPr>
      <w:r>
        <w:t>marktvraag.</w:t>
      </w:r>
    </w:p>
    <w:p w:rsidR="00A45935" w:rsidRPr="00E05D08" w:rsidRDefault="00A45935" w:rsidP="00E05D08">
      <w:pPr>
        <w:spacing w:after="120" w:line="280" w:lineRule="atLeast"/>
        <w:mirrorIndents/>
        <w:rPr>
          <w:rFonts w:eastAsia="Times New Roman" w:cs="Times New Roman"/>
          <w:szCs w:val="20"/>
        </w:rPr>
      </w:pPr>
      <w:r>
        <w:t xml:space="preserve">POP-acties zijn eveneens van invloed op de manier waarop andere lopende processen en interventies geïnterpreteerd en gebruikt worden en ze worden daar op hun beurt zelf door beïnvloed. </w:t>
      </w:r>
    </w:p>
    <w:p w:rsidR="00A45935" w:rsidRPr="00E05D08" w:rsidRDefault="00A45935" w:rsidP="00E05D08">
      <w:pPr>
        <w:spacing w:after="120" w:line="280" w:lineRule="atLeast"/>
        <w:mirrorIndents/>
        <w:rPr>
          <w:rFonts w:eastAsia="Times New Roman" w:cs="Times New Roman"/>
          <w:szCs w:val="20"/>
        </w:rPr>
      </w:pPr>
      <w:r>
        <w:t xml:space="preserve">POP's worden niet in een vacuüm geïmplementeerd, maar in wisselwerking met een complex innovatiesysteem in de gegeven sociaal-economische context. De uitgangspositie van het POP hangt af van de bestaande innovatiecontext (d.w.z. innovatieactoren en interacties daartussen, de bestaande faciliterende omgeving, marktvraag, andere interventies). </w:t>
      </w:r>
    </w:p>
    <w:p w:rsidR="000E0FE4" w:rsidRDefault="00A45935" w:rsidP="00E05D08">
      <w:pPr>
        <w:spacing w:after="120" w:line="280" w:lineRule="atLeast"/>
        <w:mirrorIndents/>
        <w:rPr>
          <w:rFonts w:eastAsia="Times New Roman" w:cs="Times New Roman"/>
          <w:szCs w:val="20"/>
        </w:rPr>
      </w:pPr>
      <w:r>
        <w:t xml:space="preserve">Het doel van elke evaluatie is om de uitgangspositie te registreren en waargenomen veranderingen toe te schrijven aan de implementatie van de POP-maatregelen en -submaatregelen. </w:t>
      </w:r>
      <w:r>
        <w:br w:type="page"/>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967CFD" w:rsidRDefault="00A45935" w:rsidP="00230C31">
      <w:pPr>
        <w:pStyle w:val="HHeading2"/>
      </w:pPr>
      <w:bookmarkStart w:id="16" w:name="_Toc493151896"/>
      <w:bookmarkStart w:id="17" w:name="_Toc501382122"/>
      <w:bookmarkStart w:id="18" w:name="_Toc511656265"/>
      <w:r>
        <w:lastRenderedPageBreak/>
        <w:t>Het EU-beleidskader</w:t>
      </w:r>
      <w:bookmarkEnd w:id="16"/>
      <w:bookmarkEnd w:id="17"/>
      <w:bookmarkEnd w:id="18"/>
      <w:r>
        <w:t xml:space="preserve"> </w:t>
      </w:r>
    </w:p>
    <w:p w:rsidR="00A45935" w:rsidRPr="00967CFD" w:rsidRDefault="00A45935" w:rsidP="009B603C">
      <w:pPr>
        <w:pStyle w:val="HHeading3"/>
        <w:spacing w:line="280" w:lineRule="exact"/>
      </w:pPr>
      <w:bookmarkStart w:id="19" w:name="Policy_framework"/>
      <w:bookmarkStart w:id="20" w:name="_Toc501382123"/>
      <w:bookmarkStart w:id="21" w:name="_Toc511656266"/>
      <w:bookmarkEnd w:id="19"/>
      <w:r>
        <w:t>Het beleidskader voor innovatie in EU- en plattelandsontwikkelingsbeleid</w:t>
      </w:r>
      <w:bookmarkEnd w:id="20"/>
      <w:bookmarkEnd w:id="21"/>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Er zijn twee EU-financieringsinstrumenten die specifiek innovatie in de landbouw en bosbouw ondersteunen</w:t>
      </w:r>
      <w:r>
        <w:rPr>
          <w:szCs w:val="20"/>
          <w:shd w:val="clear" w:color="auto" w:fill="FFFFFF"/>
        </w:rPr>
        <w:t>. Een daarvan is het plattelandsontwikkelingsbeleid, dat een van de twee pijlers van het gemeenschappelijk landbouwbeleid (GLB) is. Het andere is Horizon 2020</w:t>
      </w:r>
      <w:r>
        <w:rPr>
          <w:rFonts w:eastAsia="Times New Roman" w:cs="Times New Roman"/>
          <w:szCs w:val="20"/>
          <w:shd w:val="clear" w:color="auto" w:fill="FFFFFF"/>
          <w:vertAlign w:val="superscript"/>
          <w:lang w:eastAsia="de-DE"/>
        </w:rPr>
        <w:footnoteReference w:id="16"/>
      </w:r>
      <w:r>
        <w:rPr>
          <w:szCs w:val="20"/>
          <w:shd w:val="clear" w:color="auto" w:fill="FFFFFF"/>
        </w:rPr>
        <w:t>, het kaderprogramma van de EU voor onderzoek en innovatie, dat het kerninitiatief de "Innovatie-Unie" ten uitvoer legt</w:t>
      </w:r>
      <w:r>
        <w:rPr>
          <w:rFonts w:eastAsia="Calibri" w:cs="Arial"/>
          <w:szCs w:val="20"/>
          <w:shd w:val="clear" w:color="auto" w:fill="FFFFFF"/>
          <w:vertAlign w:val="superscript"/>
          <w:lang w:eastAsia="de-DE"/>
        </w:rPr>
        <w:footnoteReference w:id="17"/>
      </w:r>
      <w:r>
        <w:rPr>
          <w:szCs w:val="20"/>
          <w:shd w:val="clear" w:color="auto" w:fill="FFFFFF"/>
        </w:rPr>
        <w:t xml:space="preserve">. </w:t>
      </w:r>
    </w:p>
    <w:p w:rsidR="00A45935" w:rsidRDefault="00A45935" w:rsidP="001744D0">
      <w:pPr>
        <w:spacing w:after="120" w:line="280" w:lineRule="atLeast"/>
        <w:mirrorIndents/>
        <w:rPr>
          <w:rFonts w:eastAsia="Times New Roman" w:cs="Times New Roman"/>
          <w:b/>
          <w:sz w:val="18"/>
          <w:szCs w:val="18"/>
        </w:rPr>
      </w:pPr>
      <w:r>
        <w:rPr>
          <w:b/>
          <w:szCs w:val="20"/>
          <w:shd w:val="clear" w:color="auto" w:fill="FFFFFF"/>
        </w:rPr>
        <w:t>Het plattelandsontwikkelingsbeleid is bedoeld om synergetisch met Horizon 2020</w:t>
      </w:r>
      <w:r>
        <w:rPr>
          <w:szCs w:val="20"/>
          <w:shd w:val="clear" w:color="auto" w:fill="FFFFFF"/>
        </w:rPr>
        <w:t xml:space="preserve"> de innovatiedoelstellingen van de EU te bereiken, met name de doelstellingen voor slimme groei. Een van de belangrijkste EU-doelstellingen voor slimme groei is om de gecombineerde publiek-private investering in O&amp;O te verhogen tot 3 % van het bbp van de EU en betere voorwaarden voor O&amp;O en innovatie te scheppen</w:t>
      </w:r>
      <w:r>
        <w:rPr>
          <w:rFonts w:eastAsia="Times New Roman" w:cs="Times New Roman"/>
          <w:szCs w:val="20"/>
          <w:shd w:val="clear" w:color="auto" w:fill="FFFFFF"/>
          <w:vertAlign w:val="superscript"/>
          <w:lang w:eastAsia="de-DE"/>
        </w:rPr>
        <w:footnoteReference w:id="18"/>
      </w:r>
      <w:r>
        <w:rPr>
          <w:szCs w:val="20"/>
          <w:shd w:val="clear" w:color="auto" w:fill="FFFFFF"/>
        </w:rPr>
        <w:t xml:space="preserve">. </w:t>
      </w:r>
    </w:p>
    <w:p w:rsidR="00A45935" w:rsidRPr="00967CFD" w:rsidRDefault="00A45935" w:rsidP="002F0ABF">
      <w:pPr>
        <w:pStyle w:val="HHeadingfigures"/>
      </w:pPr>
      <w:bookmarkStart w:id="23" w:name="_Toc511656292"/>
      <w:r>
        <w:t>Het beleidskader voor innovatie in EU- en plattelandsontwikkelingsbeleid</w:t>
      </w:r>
      <w:bookmarkEnd w:id="23"/>
      <w:r>
        <w:t xml:space="preserve"> </w:t>
      </w:r>
    </w:p>
    <w:p w:rsidR="00A45935" w:rsidRPr="00E05D08" w:rsidRDefault="00A01CB9" w:rsidP="00E05D08">
      <w:pPr>
        <w:spacing w:before="60" w:after="200" w:line="276" w:lineRule="auto"/>
        <w:jc w:val="center"/>
        <w:rPr>
          <w:rFonts w:eastAsia="Calibri" w:cs="Arial"/>
          <w:szCs w:val="20"/>
        </w:rPr>
      </w:pPr>
      <w:r w:rsidRPr="00A01CB9">
        <w:rPr>
          <w:noProof/>
          <w:lang w:val="en-GB" w:eastAsia="en-GB"/>
        </w:rPr>
        <w:drawing>
          <wp:inline distT="0" distB="0" distL="0" distR="0" wp14:anchorId="4C681A37" wp14:editId="50C27C08">
            <wp:extent cx="5731510" cy="33209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320984"/>
                    </a:xfrm>
                    <a:prstGeom prst="rect">
                      <a:avLst/>
                    </a:prstGeom>
                    <a:noFill/>
                    <a:ln>
                      <a:noFill/>
                    </a:ln>
                  </pic:spPr>
                </pic:pic>
              </a:graphicData>
            </a:graphic>
          </wp:inline>
        </w:drawing>
      </w:r>
    </w:p>
    <w:p w:rsidR="00A45935" w:rsidRPr="00E05D08" w:rsidRDefault="00A45935" w:rsidP="00E05D08">
      <w:pPr>
        <w:suppressAutoHyphens/>
        <w:spacing w:before="60" w:after="140" w:line="240" w:lineRule="auto"/>
        <w:ind w:left="1134" w:right="1134"/>
        <w:mirrorIndents/>
        <w:jc w:val="center"/>
        <w:rPr>
          <w:rFonts w:eastAsia="Times New Roman" w:cs="Times New Roman"/>
          <w:i/>
          <w:sz w:val="16"/>
          <w:szCs w:val="16"/>
        </w:rPr>
      </w:pPr>
      <w:r>
        <w:rPr>
          <w:i/>
          <w:sz w:val="16"/>
          <w:szCs w:val="16"/>
        </w:rPr>
        <w:t>Bron: Europese evaluatiehelpdesk voor plattelandsontwikkeling, 2017</w:t>
      </w:r>
    </w:p>
    <w:p w:rsidR="00A45935" w:rsidRPr="00E05D08" w:rsidRDefault="00A45935" w:rsidP="00E05D08">
      <w:pPr>
        <w:spacing w:after="120" w:line="280" w:lineRule="atLeast"/>
        <w:mirrorIndents/>
        <w:rPr>
          <w:rFonts w:eastAsia="Times New Roman" w:cs="Times New Roman"/>
          <w:szCs w:val="20"/>
        </w:rPr>
      </w:pPr>
      <w:r>
        <w:rPr>
          <w:b/>
          <w:szCs w:val="20"/>
        </w:rPr>
        <w:t>Het gemeenschappelijk landbouwbeleid levert middels innovatie een belangrijke bijdrage aan slimme groei.</w:t>
      </w:r>
      <w:r>
        <w:t xml:space="preserve"> Voor verwezenlijking van de drie GLB-doelstellingen is het nodig om nieuwe kennis, nieuwe technologieën, nieuwe producten en nieuwe organisatie-, leer- of samenwerkingsmanieren te ontwikkelen, delen en implementeren. </w:t>
      </w:r>
    </w:p>
    <w:p w:rsidR="00A45935" w:rsidRPr="00E05D08" w:rsidRDefault="00A45935" w:rsidP="00E05D08">
      <w:pPr>
        <w:spacing w:after="120" w:line="280" w:lineRule="atLeast"/>
        <w:mirrorIndents/>
        <w:rPr>
          <w:rFonts w:eastAsia="Calibri" w:cs="Times New Roman"/>
          <w:szCs w:val="20"/>
        </w:rPr>
      </w:pPr>
      <w:r>
        <w:rPr>
          <w:b/>
          <w:szCs w:val="20"/>
        </w:rPr>
        <w:t>In de architectuur van het plattelandsontwikkelingsbeleid voor 2014-2020 ligt de nadruk op innovatie</w:t>
      </w:r>
      <w:r>
        <w:t xml:space="preserve"> in de fasen van programmaontwerp en -implementatie.</w:t>
      </w:r>
      <w:r w:rsidR="007428EA">
        <w:rPr>
          <w:rFonts w:eastAsia="Times New Roman" w:cs="Times New Roman"/>
          <w:szCs w:val="20"/>
          <w:vertAlign w:val="superscript"/>
          <w:lang w:eastAsia="de-DE"/>
        </w:rPr>
        <w:footnoteReference w:id="19"/>
      </w:r>
      <w:r>
        <w:t xml:space="preserve"> Innovatie in plattelandsontwikkeling kan verband houden met een grote verscheidenheid van gebieden, </w:t>
      </w:r>
      <w:r>
        <w:lastRenderedPageBreak/>
        <w:t>waaronder: ontwikkeling op landbouwbedrijven, organisatie en risicobeheer van voedselketens, behoud en versterking van ecosystemen, bevordering van sociale inclusie, bestrijding van armoede, economische ontwikkeling in plattelandsgebieden enz.</w:t>
      </w:r>
    </w:p>
    <w:p w:rsidR="00A45935" w:rsidRPr="00E05D08" w:rsidRDefault="00A45935" w:rsidP="00230C31">
      <w:pPr>
        <w:pStyle w:val="HHeading4"/>
        <w:rPr>
          <w:rFonts w:eastAsia="Calibri"/>
        </w:rPr>
      </w:pPr>
      <w:r>
        <w:t>Hoe is innovatie verankerd in programma's voor plattelandsontwikkeling?</w:t>
      </w:r>
    </w:p>
    <w:p w:rsidR="00A45935" w:rsidRPr="00E05D08" w:rsidRDefault="00347A2C" w:rsidP="00E05D08">
      <w:pPr>
        <w:spacing w:after="120" w:line="280" w:lineRule="atLeast"/>
        <w:mirrorIndents/>
        <w:rPr>
          <w:rFonts w:eastAsia="Times New Roman" w:cs="Times New Roman"/>
          <w:szCs w:val="20"/>
        </w:rPr>
      </w:pPr>
      <w:r>
        <w:rPr>
          <w:b/>
          <w:szCs w:val="20"/>
        </w:rPr>
        <w:t>Een beschrijving van de innovatiebenadering van het POP die erop gericht is de prioriteiten van de Unie voor plattelandsontwikkeling te verwezenlijken</w:t>
      </w:r>
      <w:r>
        <w:t>, is opgenomen in de POP-strategie.</w:t>
      </w:r>
      <w:r w:rsidR="007428EA">
        <w:rPr>
          <w:rStyle w:val="FootnoteReference"/>
        </w:rPr>
        <w:footnoteReference w:id="20"/>
      </w:r>
      <w:r>
        <w:t xml:space="preserve"> Deze beschrijving omvat tevens het EIP voor productiviteit en duurzaamheid in de landbouw. Elke strategie is op het niveau van elke prioriteit van de Unie gericht op de specifieke behoeften met betrekking tot innovatie, zoals aangegeven in de SWOT en de behoeftenbeoordeling</w:t>
      </w:r>
      <w:r>
        <w:rPr>
          <w:rFonts w:eastAsia="Times New Roman" w:cs="Times New Roman"/>
          <w:szCs w:val="20"/>
          <w:vertAlign w:val="superscript"/>
          <w:lang w:eastAsia="de-DE"/>
        </w:rPr>
        <w:footnoteReference w:id="21"/>
      </w:r>
      <w:r>
        <w:t>. Voorts moeten alle prioriteiten van de Unie bijdragen aan de horizontale doelstelling met betrekking tot innovatie</w:t>
      </w:r>
      <w:r>
        <w:rPr>
          <w:rFonts w:eastAsia="Times New Roman" w:cs="Times New Roman"/>
          <w:szCs w:val="20"/>
          <w:vertAlign w:val="superscript"/>
          <w:lang w:eastAsia="de-DE"/>
        </w:rPr>
        <w:footnoteReference w:id="22"/>
      </w:r>
      <w:r>
        <w:t xml:space="preserve">. </w:t>
      </w:r>
    </w:p>
    <w:p w:rsidR="00A45935" w:rsidRPr="00E05D08" w:rsidRDefault="00A45935" w:rsidP="00E05D08">
      <w:pPr>
        <w:spacing w:after="120" w:line="280" w:lineRule="atLeast"/>
        <w:mirrorIndents/>
        <w:rPr>
          <w:rFonts w:eastAsia="Times New Roman" w:cs="Times New Roman"/>
          <w:szCs w:val="20"/>
        </w:rPr>
      </w:pPr>
      <w:r>
        <w:t xml:space="preserve">Innovatie is niet alleen een horizontale doelstelling, maar wordt in POP's ook beschouwd als deel van twee AG's van de horizontale prioriteit nummer 1 van de Unie: "Bevorderen van kennisoverdracht en innovatie in de landbouw- en de bosbouwsector en in plattelandsgebieden": </w:t>
      </w:r>
    </w:p>
    <w:p w:rsidR="00A45935" w:rsidRPr="00165BF1" w:rsidRDefault="00A45935" w:rsidP="008C0B17">
      <w:pPr>
        <w:numPr>
          <w:ilvl w:val="0"/>
          <w:numId w:val="70"/>
        </w:numPr>
        <w:mirrorIndents/>
        <w:rPr>
          <w:szCs w:val="20"/>
        </w:rPr>
      </w:pPr>
      <w:r>
        <w:t>AG 1A: stimuleren van innovatie, samenwerking en de ontwikkeling van de kennisbasis in plattelandsgebieden;</w:t>
      </w:r>
    </w:p>
    <w:p w:rsidR="00A45935" w:rsidRPr="00165BF1" w:rsidRDefault="00A45935" w:rsidP="008C0B17">
      <w:pPr>
        <w:numPr>
          <w:ilvl w:val="0"/>
          <w:numId w:val="70"/>
        </w:numPr>
        <w:mirrorIndents/>
        <w:rPr>
          <w:szCs w:val="20"/>
        </w:rPr>
      </w:pPr>
      <w:r>
        <w:t>AG 1B: verstevigen van de banden tussen de landbouw, de voedselproductie en de bosbouwsector, en onderzoek en innovatie, mede met het oog op een beter milieubeheer en betere milieuprestaties.</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rPr>
        <w:t>POP's beschikken over een aanzienlijke flexibiliteit bij het gebruiken en combineren van maatregelen</w:t>
      </w:r>
      <w:r>
        <w:t xml:space="preserve"> die gericht zijn op de specifieke territoriale en innovatiebehoeften en het vermogen ervan om synergieën tot stand te brengen. De maatregelen kunnen worden geprogrammeerd in het kader van verschillende prioriteiten en aandachtsgebieden, om de bijdragen ervan aan de desbetreffende doelstellingen te maximaliseren. </w:t>
      </w:r>
      <w:r>
        <w:rPr>
          <w:szCs w:val="20"/>
          <w:shd w:val="clear" w:color="auto" w:fill="FFFFFF"/>
        </w:rPr>
        <w:t>Sommige POP-maatregelen kunnen zelfs directere effecten hebben op innovatie, namelijk in het kader van AG 1A en 1B:</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 Acties inzake kennisoverdracht en voorlichting</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M2 Adviesdiensten</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M16 Samenwerking (ondersteunt de oprichting en werking van operationele groepen van het EIP-AGRI).</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M19 LEADER/GGLO, stimuleert innovatie als een van de principes van LEADER en moedigt aan tot kleinschalige innovatieve acties in alle aspecten van het plattelandsleven (economisch, sociaal en met betrekking tot het milieu).</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rPr>
        <w:t>Innovatiebevorderende maatregelen kunnen ook in het kader van andere AG's geprogrammeerd worden.</w:t>
      </w:r>
      <w:r>
        <w:t xml:space="preserve"> M16 bijvoorbeeld, kan worden gekoppeld aan de meeste AG's en prioriteiten voor plattelandsontwikkeling. Het is de belangrijkste plattelandsontwikkelingsmaatregel ter ondersteuning van het </w:t>
      </w:r>
      <w:r>
        <w:rPr>
          <w:b/>
          <w:szCs w:val="20"/>
          <w:shd w:val="clear" w:color="auto" w:fill="FFFFFF"/>
        </w:rPr>
        <w:t>Europees Innovatiepartnerschap voor de productiviteit en duurzaamheid in de landbouw</w:t>
      </w:r>
      <w:r>
        <w:rPr>
          <w:szCs w:val="20"/>
          <w:shd w:val="clear" w:color="auto" w:fill="FFFFFF"/>
        </w:rPr>
        <w:t xml:space="preserve"> (EIP-AGRI). </w:t>
      </w:r>
    </w:p>
    <w:p w:rsidR="00A45935" w:rsidRPr="00E05D08" w:rsidRDefault="00A45935" w:rsidP="00E05D08">
      <w:pPr>
        <w:spacing w:after="120" w:line="280" w:lineRule="atLeast"/>
        <w:mirrorIndents/>
        <w:rPr>
          <w:rFonts w:eastAsia="Times New Roman" w:cs="Times New Roman"/>
          <w:szCs w:val="20"/>
          <w:shd w:val="clear" w:color="auto" w:fill="FFFFFF"/>
        </w:rPr>
      </w:pPr>
      <w:r>
        <w:br w:type="page"/>
      </w:r>
    </w:p>
    <w:p w:rsidR="00A45935" w:rsidRPr="00E05D08" w:rsidRDefault="00A45935" w:rsidP="00E05D08">
      <w:pPr>
        <w:spacing w:after="120" w:line="280" w:lineRule="atLeast"/>
        <w:mirrorIndents/>
        <w:rPr>
          <w:rFonts w:eastAsia="Times New Roman" w:cs="Times New Roman"/>
          <w:szCs w:val="20"/>
          <w:shd w:val="clear" w:color="auto" w:fill="FFFFFF"/>
          <w:lang w:eastAsia="de-DE"/>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p>
    <w:p w:rsidR="00D461AB" w:rsidRPr="00D461AB" w:rsidRDefault="008A7A63" w:rsidP="00EA0974">
      <w:pPr>
        <w:spacing w:before="240" w:after="120" w:line="280" w:lineRule="atLeast"/>
        <w:mirrorIndents/>
        <w:rPr>
          <w:rFonts w:eastAsia="Times New Roman" w:cs="Times New Roman"/>
          <w:color w:val="FFFFFF" w:themeColor="background1"/>
          <w:szCs w:val="20"/>
          <w:shd w:val="clear" w:color="auto" w:fill="FFFFFF"/>
        </w:rPr>
      </w:pPr>
      <w:r>
        <w:rPr>
          <w:rFonts w:eastAsia="Times New Roman" w:cs="Times New Roman"/>
          <w:noProof/>
          <w:szCs w:val="20"/>
          <w:highlight w:val="yellow"/>
          <w:lang w:val="en-GB" w:eastAsia="en-GB"/>
        </w:rPr>
        <w:lastRenderedPageBreak/>
        <mc:AlternateContent>
          <mc:Choice Requires="wps">
            <w:drawing>
              <wp:anchor distT="0" distB="0" distL="114300" distR="114300" simplePos="0" relativeHeight="251648000" behindDoc="0" locked="0" layoutInCell="1" allowOverlap="1" wp14:anchorId="501D26C2" wp14:editId="0964B0E1">
                <wp:simplePos x="0" y="0"/>
                <wp:positionH relativeFrom="page">
                  <wp:posOffset>923925</wp:posOffset>
                </wp:positionH>
                <wp:positionV relativeFrom="paragraph">
                  <wp:posOffset>409575</wp:posOffset>
                </wp:positionV>
                <wp:extent cx="5693410" cy="4743450"/>
                <wp:effectExtent l="0" t="0" r="21590" b="19050"/>
                <wp:wrapSquare wrapText="bothSides"/>
                <wp:docPr id="58" name="Rectangle: Diagonal Corners Rounded 58"/>
                <wp:cNvGraphicFramePr/>
                <a:graphic xmlns:a="http://schemas.openxmlformats.org/drawingml/2006/main">
                  <a:graphicData uri="http://schemas.microsoft.com/office/word/2010/wordprocessingShape">
                    <wps:wsp>
                      <wps:cNvSpPr/>
                      <wps:spPr>
                        <a:xfrm>
                          <a:off x="0" y="0"/>
                          <a:ext cx="5693410" cy="4743450"/>
                        </a:xfrm>
                        <a:prstGeom prst="round2DiagRect">
                          <a:avLst>
                            <a:gd name="adj1" fmla="val 6224"/>
                            <a:gd name="adj2" fmla="val 0"/>
                          </a:avLst>
                        </a:prstGeom>
                        <a:noFill/>
                        <a:ln w="25400" cap="flat" cmpd="sng" algn="ctr">
                          <a:solidFill>
                            <a:srgbClr val="BE4A35"/>
                          </a:solidFill>
                          <a:prstDash val="solid"/>
                        </a:ln>
                        <a:effectLst/>
                      </wps:spPr>
                      <wps:txbx>
                        <w:txbxContent>
                          <w:p w:rsidR="00891EED" w:rsidRPr="002F0ABF" w:rsidRDefault="00891EED" w:rsidP="00E05D08">
                            <w:pPr>
                              <w:pStyle w:val="HStandard"/>
                              <w:rPr>
                                <w:sz w:val="18"/>
                                <w:szCs w:val="18"/>
                              </w:rPr>
                            </w:pPr>
                            <w:r>
                              <w:rPr>
                                <w:noProof/>
                                <w:lang w:val="en-GB" w:eastAsia="en-GB"/>
                              </w:rPr>
                              <w:drawing>
                                <wp:inline distT="0" distB="0" distL="0" distR="0" wp14:anchorId="2E3060B8" wp14:editId="10FB2ECA">
                                  <wp:extent cx="664845" cy="487680"/>
                                  <wp:effectExtent l="0" t="0" r="0" b="7620"/>
                                  <wp:docPr id="47"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Het EIP-AGRI maakt deel uit van de Europa 2020-strategie, die beoogt innovatie in de EU te versnellen door een concurrerende en duurzame land- en bosbouwsector te koesteren die "met minder meer bereikt". Het EIP-AGRI werkt in harmonie met de essentiële natuurlijke hulpbronnen waarvan de landbouw afhankelijk is om een gestage toevoer van voedsel, voeding en biomaterialen te waarborgen. Het EIP-AGRI brengt innovatieactoren (landbouwers, adviseurs, onderzoekers, ngo's enz.) in de vorm van OG's samen op EU-niveau en binnen de plattelandsontwikkelingsprogramma's. Dergelijke innovaties kunnen technologisch zijn, maar ook niet-technologisch, organisatorisch of sociaal. Innovatie kan gebaseerd zijn op nieuwe praktijken, maar ook op traditionele praktijken in een nieuwe geografische of milieucontext. OG's van het EIP bestaan op projectbasis en behandelen een bepaald (praktisch) probleem of een kans die tot een innovatie kan leiden en ertoe kan bijdragen dat de doelstellingen van het programma worden gehaald. Elke OG bestaat uit die kernactoren (bv. landbouwers, adviseurs, onderzoekers, bedrijven, ngo's) die zich in de beste positie bevinden om de doelen van het project te verwezenlijken, de ervaringen met de uitvoering te delen en de resultaten breed te verspreiden. De OG's hanteren een aanpak waarin verschillende soorten kennis (praktisch, wetenschappelijk, technisch, organisatorisch enz.) op interactieve wijze optimaal worden benut. Een praktische aanpak om dit te ondersteunen is "innovatiebemiddeling". De regeling biedt 4 mogelijkheden om innovatiebemiddeling te financieren</w:t>
                            </w:r>
                            <w:r>
                              <w:rPr>
                                <w:sz w:val="18"/>
                                <w:szCs w:val="18"/>
                                <w:vertAlign w:val="superscript"/>
                              </w:rPr>
                              <w:t>23</w:t>
                            </w:r>
                            <w:r>
                              <w:rPr>
                                <w:sz w:val="18"/>
                                <w:szCs w:val="18"/>
                              </w:rPr>
                              <w:t xml:space="preserve">. Innovatiebemiddeling kan een belangrijke rol spelen bij het ontdekken van innovatieve ideeën en kan de oprichting van nieuwe OG's faciliteren, met name doordat een bemiddelaar innovatieactoren (landbouwers, onderzoekers, adviseurs, ngo's enz.) met elkaar verbindt in interactieve innovatieprojecten. Een "innovatiebemiddelaar" probeert initiatieven van onderop te ontdekken, helpt innovatieve ideeën te verfijnen en biedt ondersteuning bij het vinden van partners en financiering. De voornaamste taak van de bemiddelaar is om een onderbouwd voorstel voor een innovatief project uit te werken. </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D26C2" id="Rectangle: Diagonal Corners Rounded 58" o:spid="_x0000_s1035" style="position:absolute;left:0;text-align:left;margin-left:72.75pt;margin-top:32.25pt;width:448.3pt;height:373.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693410,4743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" adj="-11796480,,5400" path="m295232,l5693410,r,l5693410,4448218v,163052,-132180,295232,-295232,295232l,4743450r,l,295232c,132180,132180,,295232,xe" filled="f" strokecolor="#be4a35" strokeweight="2pt">
                <v:stroke joinstyle="miter"/>
                <v:formulas/>
                <v:path arrowok="t" o:connecttype="custom" o:connectlocs="295232,0;5693410,0;5693410,0;5693410,4448218;5398178,4743450;0,4743450;0,4743450;0,295232;295232,0" o:connectangles="0,0,0,0,0,0,0,0,0" textboxrect="0,0,5693410,4743450"/>
                <v:textbox inset=",,,0">
                  <w:txbxContent>
                    <w:p w:rsidR="00891EED" w:rsidRPr="002F0ABF" w:rsidRDefault="00891EED" w:rsidP="00E05D08">
                      <w:pPr>
                        <w:pStyle w:val="HStandard"/>
                        <w:rPr>
                          <w:sz w:val="18"/>
                          <w:szCs w:val="18"/>
                        </w:rPr>
                      </w:pPr>
                      <w:r>
                        <w:rPr>
                          <w:noProof/>
                          <w:lang w:val="en-GB" w:eastAsia="en-GB"/>
                        </w:rPr>
                        <w:drawing>
                          <wp:inline distT="0" distB="0" distL="0" distR="0" wp14:anchorId="2E3060B8" wp14:editId="10FB2ECA">
                            <wp:extent cx="664845" cy="487680"/>
                            <wp:effectExtent l="0" t="0" r="0" b="7620"/>
                            <wp:docPr id="47"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Het EIP-AGRI maakt deel uit van de Europa 2020-strategie, die beoogt innovatie in de EU te versnellen door een concurrerende en duurzame land- en bosbouwsector te koesteren die "met minder meer bereikt". Het EIP-AGRI werkt in harmonie met de essentiële natuurlijke hulpbronnen waarvan de landbouw afhankelijk is om een gestage toevoer van voedsel, voeding en biomaterialen te waarborgen. Het EIP-AGRI brengt innovatieactoren (landbouwers, adviseurs, onderzoekers, ngo's enz.) in de vorm van OG's samen op EU-niveau en binnen de plattelandsontwikkelingsprogramma's. Dergelijke innovaties kunnen technologisch zijn, maar ook niet-technologisch, organisatorisch of sociaal. Innovatie kan gebaseerd zijn op nieuwe praktijken, maar ook op traditionele praktijken in een nieuwe geografische of milieucontext. OG's van het EIP bestaan op projectbasis en behandelen een bepaald (praktisch) probleem of een kans die tot een innovatie kan leiden en ertoe kan bijdragen dat de doelstellingen van het programma worden gehaald. Elke OG bestaat uit die kernactoren (bv. landbouwers, adviseurs, onderzoekers, bedrijven, ngo's) die zich in de beste positie bevinden om de doelen van het project te verwezenlijken, de ervaringen met de uitvoering te delen en de resultaten breed te verspreiden. De OG's hanteren een aanpak waarin verschillende soorten kennis (praktisch, wetenschappelijk, technisch, organisatorisch enz.) op interactieve wijze optimaal worden benut. Een praktische aanpak om dit te ondersteunen is "innovatiebemiddeling". De regeling biedt 4 mogelijkheden om innovatiebemiddeling te financieren</w:t>
                      </w:r>
                      <w:r>
                        <w:rPr>
                          <w:sz w:val="18"/>
                          <w:szCs w:val="18"/>
                          <w:vertAlign w:val="superscript"/>
                        </w:rPr>
                        <w:t>23</w:t>
                      </w:r>
                      <w:r>
                        <w:rPr>
                          <w:sz w:val="18"/>
                          <w:szCs w:val="18"/>
                        </w:rPr>
                        <w:t xml:space="preserve">. Innovatiebemiddeling kan een belangrijke rol spelen bij het ontdekken van innovatieve ideeën en kan de oprichting van nieuwe OG's faciliteren, met name doordat een bemiddelaar innovatieactoren (landbouwers, onderzoekers, adviseurs, ngo's enz.) met elkaar verbindt in interactieve innovatieprojecten. Een "innovatiebemiddelaar" probeert initiatieven van onderop te ontdekken, helpt innovatieve ideeën te verfijnen en biedt ondersteuning bij het vinden van partners en financiering. De voornaamste taak van de bemiddelaar is om een onderbouwd voorstel voor een innovatief project uit te werken. </w:t>
                      </w:r>
                    </w:p>
                  </w:txbxContent>
                </v:textbox>
                <w10:wrap type="square" anchorx="page"/>
              </v:shape>
            </w:pict>
          </mc:Fallback>
        </mc:AlternateContent>
      </w:r>
      <w:r w:rsidR="00D461AB">
        <w:rPr>
          <w:rStyle w:val="FootnoteReference"/>
          <w:rFonts w:eastAsia="Times New Roman" w:cs="Times New Roman"/>
          <w:color w:val="FFFFFF" w:themeColor="background1"/>
          <w:szCs w:val="20"/>
          <w:shd w:val="clear" w:color="auto" w:fill="FFFFFF"/>
          <w:lang w:eastAsia="de-DE"/>
        </w:rPr>
        <w:footnoteReference w:id="23"/>
      </w:r>
    </w:p>
    <w:p w:rsidR="00A45935" w:rsidRPr="00E05D08" w:rsidRDefault="00A45935" w:rsidP="00EA0974">
      <w:pPr>
        <w:spacing w:before="240" w:after="120" w:line="280" w:lineRule="atLeast"/>
        <w:mirrorIndents/>
        <w:rPr>
          <w:rFonts w:eastAsia="Times New Roman" w:cs="Times New Roman"/>
          <w:szCs w:val="20"/>
          <w:shd w:val="clear" w:color="auto" w:fill="FFFFFF"/>
        </w:rPr>
      </w:pPr>
      <w:r>
        <w:rPr>
          <w:szCs w:val="20"/>
          <w:shd w:val="clear" w:color="auto" w:fill="FFFFFF"/>
        </w:rPr>
        <w:t>Andere maatregelen</w:t>
      </w:r>
      <w:r>
        <w:rPr>
          <w:rFonts w:eastAsia="Times New Roman" w:cs="Times New Roman"/>
          <w:szCs w:val="20"/>
          <w:shd w:val="clear" w:color="auto" w:fill="FFFFFF"/>
          <w:vertAlign w:val="superscript"/>
          <w:lang w:eastAsia="de-DE"/>
        </w:rPr>
        <w:footnoteReference w:id="24"/>
      </w:r>
      <w:r>
        <w:rPr>
          <w:szCs w:val="20"/>
          <w:shd w:val="clear" w:color="auto" w:fill="FFFFFF"/>
        </w:rPr>
        <w:t xml:space="preserve"> die uitdrukkelijk melding maken van innovatie zijn bijvoorbeeld:</w:t>
      </w:r>
    </w:p>
    <w:p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Samenstellen van producentengroeperingen en -organisaties, waarbij de activiteiten onder meer de "organisatie en bevordering van innovatieprocessen"</w:t>
      </w:r>
      <w:r>
        <w:rPr>
          <w:rFonts w:eastAsia="Times New Roman" w:cs="Times New Roman"/>
          <w:szCs w:val="20"/>
          <w:shd w:val="clear" w:color="auto" w:fill="FFFFFF"/>
          <w:vertAlign w:val="superscript"/>
          <w:lang w:eastAsia="de-DE"/>
        </w:rPr>
        <w:footnoteReference w:id="25"/>
      </w:r>
      <w:r>
        <w:rPr>
          <w:szCs w:val="20"/>
          <w:shd w:val="clear" w:color="auto" w:fill="FFFFFF"/>
        </w:rPr>
        <w:t xml:space="preserve"> omvatten (M 9);</w:t>
      </w:r>
    </w:p>
    <w:p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Innovatie is een van de zeven beginselen van LEADER/GGLO</w:t>
      </w:r>
      <w:r>
        <w:rPr>
          <w:rFonts w:eastAsia="Times New Roman" w:cs="Times New Roman"/>
          <w:szCs w:val="20"/>
          <w:shd w:val="clear" w:color="auto" w:fill="FFFFFF"/>
          <w:vertAlign w:val="superscript"/>
          <w:lang w:eastAsia="de-DE"/>
        </w:rPr>
        <w:footnoteReference w:id="26"/>
      </w:r>
      <w:r>
        <w:rPr>
          <w:szCs w:val="20"/>
          <w:shd w:val="clear" w:color="auto" w:fill="FFFFFF"/>
        </w:rPr>
        <w:t xml:space="preserve"> (M 19).</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 xml:space="preserve">Elke maatregel of submaatregel van een POP kan in beginsel innovatie bevorderen. </w:t>
      </w:r>
      <w:r>
        <w:rPr>
          <w:szCs w:val="20"/>
          <w:shd w:val="clear" w:color="auto" w:fill="FFFFFF"/>
        </w:rPr>
        <w:t xml:space="preserve">De specifieke benadering van innovatie die voor het POP is gekozen, komt tot uitdrukking in de subsidiabiliteits- en selectiecriteria voor innovatieprojecten en in de combinatie van maatregelen in het kader van AG's die innovatie ondersteunen (kennisacties, adviesdiensten, samenwerking, investering, netwerken enz.). </w:t>
      </w:r>
      <w:r>
        <w:t xml:space="preserve">Beheersautoriteiten kunnen verschillende benaderingen gebruiken om deze "zachte" maatregelen (bv. maatregelen 1, 2 en 16) en "harde" maatregelen </w:t>
      </w:r>
      <w:r>
        <w:rPr>
          <w:szCs w:val="20"/>
          <w:shd w:val="clear" w:color="auto" w:fill="FFFFFF"/>
        </w:rPr>
        <w:t xml:space="preserve">(ondersteunende investeringen, plattelandsontwikkeling, marketing, milieu, natuur enz.) </w:t>
      </w:r>
      <w:r>
        <w:t>te organiseren en combineren ter bevordering van innovatie</w:t>
      </w:r>
      <w:r>
        <w:rPr>
          <w:szCs w:val="20"/>
          <w:shd w:val="clear" w:color="auto" w:fill="FFFFFF"/>
        </w:rPr>
        <w:t>.</w:t>
      </w:r>
    </w:p>
    <w:p w:rsidR="00A45935" w:rsidRPr="00E05D08" w:rsidRDefault="00A45935" w:rsidP="000E0FE4">
      <w:pPr>
        <w:spacing w:after="120" w:line="280" w:lineRule="atLeast"/>
        <w:mirrorIndents/>
        <w:rPr>
          <w:rFonts w:eastAsia="Times New Roman" w:cs="Times New Roman"/>
          <w:szCs w:val="20"/>
          <w:shd w:val="clear" w:color="auto" w:fill="FFFFFF"/>
        </w:rPr>
      </w:pPr>
      <w:r>
        <w:rPr>
          <w:b/>
          <w:szCs w:val="20"/>
          <w:shd w:val="clear" w:color="auto" w:fill="FFFFFF"/>
        </w:rPr>
        <w:lastRenderedPageBreak/>
        <w:t>Er kunnen secundaire bijdragen van innovaties aan andere AG's plaatsvinden.</w:t>
      </w:r>
      <w:r>
        <w:rPr>
          <w:szCs w:val="20"/>
          <w:shd w:val="clear" w:color="auto" w:fill="FFFFFF"/>
        </w:rPr>
        <w:t xml:space="preserve"> Zo kunnen de samenwerkingsoperaties die in het kader van AG 2A zijn geprogrammeerd een innovatieve aanpak voor het versterken van de biodiversiteit tot gevolg hebben en derhalve een secundaire bijdrage aan AG 4A leveren. Of innovatieve acties van een OG kunnen leiden tot een nieuwe techniek die helpt om bodemerosie te beperken die door (in het kader van AG 4C geprogrammeerde) primaire landbouwproductie wordt veroorzaakt. Dit verhoogt echter tevens het concurrentievermogen en de toegang tot markten (een secundaire bijdrage aan AG 2A).</w:t>
      </w:r>
    </w:p>
    <w:p w:rsidR="00A45935" w:rsidRPr="00E05D08" w:rsidRDefault="00A45935" w:rsidP="00E05D08">
      <w:pPr>
        <w:spacing w:after="120" w:line="280" w:lineRule="atLeast"/>
        <w:mirrorIndents/>
        <w:rPr>
          <w:rFonts w:eastAsia="Times New Roman" w:cs="Times New Roman"/>
          <w:b/>
          <w:szCs w:val="20"/>
          <w:shd w:val="clear" w:color="auto" w:fill="FFFFFF"/>
        </w:rPr>
      </w:pPr>
      <w:r>
        <w:rPr>
          <w:b/>
          <w:szCs w:val="20"/>
          <w:shd w:val="clear" w:color="auto" w:fill="FFFFFF"/>
        </w:rPr>
        <w:t>Netwerken in de context van plattelandsontwikkelingsbeleid spelen een belangrijke rol bij het bevorderen van innovatie:</w:t>
      </w:r>
    </w:p>
    <w:p w:rsidR="00A45935" w:rsidRPr="0081188E" w:rsidRDefault="00A45935" w:rsidP="001744D0">
      <w:pPr>
        <w:pStyle w:val="Hlistbullet"/>
      </w:pPr>
      <w:r>
        <w:rPr>
          <w:b/>
          <w:shd w:val="clear" w:color="auto" w:fill="FFFFFF"/>
        </w:rPr>
        <w:t>Het EIP-netwerk</w:t>
      </w:r>
      <w:r>
        <w:rPr>
          <w:shd w:val="clear" w:color="auto" w:fill="FFFFFF"/>
        </w:rPr>
        <w:t xml:space="preserve"> is een nieuwe netwerkfaciliteit in de periode 2014-2020, die specifiek in het leven is geroepen ter ondersteuning van het EIP-AGRI</w:t>
      </w:r>
      <w:r>
        <w:rPr>
          <w:rFonts w:cs="Arial"/>
          <w:vertAlign w:val="superscript"/>
        </w:rPr>
        <w:footnoteReference w:id="27"/>
      </w:r>
      <w:r>
        <w:rPr>
          <w:shd w:val="clear" w:color="auto" w:fill="FFFFFF"/>
        </w:rPr>
        <w:t xml:space="preserve"> - het Europees Innovatiepartnerschap voor productiviteit en duurzaamheid in de landbouw. De voornaamste doelen van het EIP-netwerk zijn om OG's van het EIP met elkaar te verbinden, kennisuitwisseling, deskundigheid en goede praktijken te bevorderen en een dialoog tussen de landbouw- en onderzoeksgemeenschappen op gang te brengen. Het EIP-AGRI-netwerk wordt onderhouden door de Europese Commissie (DG Landbouw en Plattelandsontwikkeling), met hulp van het servicepunt (SP). Het SP-team faciliteert de netwerkactiviteiten door de communicatie te versterken en kennis te delen en uit te wisselen door middel van vergaderingen, focusgroepen, workshops, seminars en publicaties. Het primaire doel is om de interactie te stimuleren tussen alle bij het EIP-AGRI betrokken actoren: landbouwers, onderzoekers, adviseurs, ngo's, bedrijven, overheden enz. Een interactief EIP-webplatform ondersteunt de netwerkfuncties. Het stelt alle belanghebbenden van innovatie in staat te netwerken, met name OG's, adviesdiensten, onderzoekers, landbouwers en andere belanghebbenden van het kennisuitwisselingsproces</w:t>
      </w:r>
      <w:r>
        <w:t>.</w:t>
      </w:r>
    </w:p>
    <w:p w:rsidR="00EA0974" w:rsidRDefault="00A45935" w:rsidP="001744D0">
      <w:pPr>
        <w:pStyle w:val="Hlistbullet"/>
        <w:rPr>
          <w:shd w:val="clear" w:color="auto" w:fill="FFFFFF"/>
        </w:rPr>
      </w:pPr>
      <w:r>
        <w:rPr>
          <w:b/>
          <w:shd w:val="clear" w:color="auto" w:fill="FFFFFF"/>
        </w:rPr>
        <w:t>Nationale netwerken voor het platteland</w:t>
      </w:r>
      <w:r>
        <w:rPr>
          <w:shd w:val="clear" w:color="auto" w:fill="FFFFFF"/>
        </w:rPr>
        <w:t xml:space="preserve"> (NPN's) bevorderen innovatie in de landbouw, de voedselproductie, de bosbouw en plattelandsgebieden.</w:t>
      </w:r>
      <w:r>
        <w:rPr>
          <w:rFonts w:cs="Arial"/>
          <w:vertAlign w:val="superscript"/>
        </w:rPr>
        <w:footnoteReference w:id="28"/>
      </w:r>
      <w:r>
        <w:rPr>
          <w:shd w:val="clear" w:color="auto" w:fill="FFFFFF"/>
        </w:rPr>
        <w:t>. Ze worden op EU-niveau ondersteund door het Europees netwerk voor plattelandsontwikkeling (ENPO). NPN's kunnen dienstdoen als "innovatiebemiddelaars"</w:t>
      </w:r>
      <w:r>
        <w:rPr>
          <w:rFonts w:cs="Arial"/>
          <w:shd w:val="clear" w:color="auto" w:fill="FFFFFF"/>
          <w:vertAlign w:val="superscript"/>
        </w:rPr>
        <w:footnoteReference w:id="29"/>
      </w:r>
      <w:r>
        <w:rPr>
          <w:shd w:val="clear" w:color="auto" w:fill="FFFFFF"/>
        </w:rPr>
        <w:t>.</w:t>
      </w:r>
      <w:r>
        <w:t xml:space="preserve"> Dat vereist een innige band met en een grondige kennis van de landbouwwereld en goed ontwikkelde communicatievaardigheden. </w:t>
      </w:r>
      <w:r>
        <w:rPr>
          <w:shd w:val="clear" w:color="auto" w:fill="FFFFFF"/>
        </w:rPr>
        <w:t>NPN's staan in wisselwerking met het EIP-netwerk om inspiratie op te doen en informatie en benaderingen uit te wisselen om innovatie te stimuleren. Naast het verzamelen van goede praktijken en voorbeelden en het bevorderen van thematische uitwisseling tussen belanghebbenden van plattelandsontwikkeling, hebben ze ook de specifieke taak om de innovatiesteundiensten en adviesdiensten in een netwerk te verbinden</w:t>
      </w:r>
      <w:r>
        <w:rPr>
          <w:rFonts w:eastAsia="Calibri" w:cs="Arial"/>
          <w:shd w:val="clear" w:color="auto" w:fill="FFFFFF"/>
          <w:vertAlign w:val="superscript"/>
        </w:rPr>
        <w:footnoteReference w:id="30"/>
      </w:r>
      <w:r>
        <w:rPr>
          <w:shd w:val="clear" w:color="auto" w:fill="FFFFFF"/>
        </w:rPr>
        <w:t>. Dit helpt om innovatieve ideeën van beroepsbeoefenaars te registreren.</w:t>
      </w:r>
    </w:p>
    <w:p w:rsidR="00A45935" w:rsidRPr="00EA0974" w:rsidRDefault="00A45935" w:rsidP="009B603C">
      <w:pPr>
        <w:pStyle w:val="HHeading3"/>
        <w:spacing w:line="280" w:lineRule="exact"/>
        <w:rPr>
          <w:shd w:val="clear" w:color="auto" w:fill="FFFFFF"/>
        </w:rPr>
      </w:pPr>
      <w:bookmarkStart w:id="24" w:name="_Toc511656267"/>
      <w:r>
        <w:t>De gemeenschappelijke evaluatie-elementen voor innovatie</w:t>
      </w:r>
      <w:bookmarkEnd w:id="24"/>
      <w:r>
        <w:t xml:space="preserve"> </w:t>
      </w:r>
    </w:p>
    <w:p w:rsidR="00A45935" w:rsidRPr="00E05D08" w:rsidRDefault="00A45935" w:rsidP="00E05D08">
      <w:pPr>
        <w:spacing w:after="120" w:line="280" w:lineRule="atLeast"/>
        <w:mirrorIndents/>
        <w:rPr>
          <w:rFonts w:eastAsia="Times New Roman" w:cs="Times New Roman"/>
          <w:b/>
          <w:szCs w:val="20"/>
          <w:shd w:val="clear" w:color="auto" w:fill="FFFFFF"/>
        </w:rPr>
      </w:pPr>
      <w:r>
        <w:rPr>
          <w:b/>
          <w:szCs w:val="20"/>
          <w:shd w:val="clear" w:color="auto" w:fill="FFFFFF"/>
        </w:rPr>
        <w:t>Het uitgangspunt voor evaluaties is het evaluatieplan</w:t>
      </w:r>
      <w:r>
        <w:rPr>
          <w:rFonts w:eastAsia="Times New Roman" w:cs="Times New Roman"/>
          <w:szCs w:val="20"/>
          <w:shd w:val="clear" w:color="auto" w:fill="FFFFFF"/>
          <w:vertAlign w:val="superscript"/>
          <w:lang w:eastAsia="de-DE"/>
        </w:rPr>
        <w:footnoteReference w:id="31"/>
      </w:r>
      <w:r>
        <w:rPr>
          <w:b/>
          <w:szCs w:val="20"/>
          <w:shd w:val="clear" w:color="auto" w:fill="FFFFFF"/>
        </w:rPr>
        <w:t xml:space="preserve"> (EP) dat in het POP is opgenomen. </w:t>
      </w:r>
      <w:r>
        <w:rPr>
          <w:szCs w:val="20"/>
          <w:shd w:val="clear" w:color="auto" w:fill="FFFFFF"/>
        </w:rPr>
        <w:t>Het EP geeft aan hoe innovatie moet worden beoordeeld voor evaluatieonderwerpen en -activiteiten die verband houden met horizontale kwesties. De rapportage van deze gerelateerde activiteiten en bevindingen is opgenomen in de jaarlijkse uitvoeringsverslagen</w:t>
      </w:r>
      <w:r>
        <w:rPr>
          <w:rFonts w:eastAsia="Times New Roman" w:cs="Times New Roman"/>
          <w:szCs w:val="20"/>
          <w:shd w:val="clear" w:color="auto" w:fill="FFFFFF"/>
          <w:vertAlign w:val="superscript"/>
          <w:lang w:eastAsia="de-DE"/>
        </w:rPr>
        <w:footnoteReference w:id="32"/>
      </w:r>
      <w:r>
        <w:rPr>
          <w:szCs w:val="20"/>
          <w:shd w:val="clear" w:color="auto" w:fill="FFFFFF"/>
        </w:rPr>
        <w:t xml:space="preserve">. </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lastRenderedPageBreak/>
        <w:t>Het gemeenschappelijk monitoring- en evaluatiesysteem (GMES)</w:t>
      </w:r>
      <w:r>
        <w:rPr>
          <w:szCs w:val="20"/>
          <w:shd w:val="clear" w:color="auto" w:fill="FFFFFF"/>
        </w:rPr>
        <w:t xml:space="preserve"> bevat de evaluatie-elementen ter beoordeling van innovatie, namelijk de gemeenschappelijke evaluatievragen (common evaluation questions - CEQ's), beoordelingscriteria en indicatoren:</w:t>
      </w:r>
    </w:p>
    <w:p w:rsidR="00A45935" w:rsidRPr="002E1723" w:rsidRDefault="00A45935" w:rsidP="00624393">
      <w:pPr>
        <w:pStyle w:val="HStandard"/>
      </w:pPr>
      <w:r>
        <w:t xml:space="preserve">Op </w:t>
      </w:r>
      <w:r>
        <w:rPr>
          <w:b/>
        </w:rPr>
        <w:t>aandachtsgebiedniveau</w:t>
      </w:r>
      <w:r>
        <w:t xml:space="preserve"> zijn twee innovatiegerelateerde CEQ's gekoppeld aan de doelstellingen van AG 1A en AG 1B. Deze vragen registreren de bijdragen van interventies in termen van verwachte output en resultaten:</w:t>
      </w:r>
    </w:p>
    <w:p w:rsidR="00A45935" w:rsidRPr="00EA0974" w:rsidRDefault="00A45935" w:rsidP="00624393">
      <w:pPr>
        <w:pStyle w:val="Hlistbullet"/>
      </w:pPr>
      <w:r>
        <w:t xml:space="preserve">CEQ nr. 1: "In hoeverre hebben steunmaatregelen in het kader van het POP innovatie, samenwerking en de ontwikkeling van de kennisbasis in plattelandsgebieden ondersteund?" </w:t>
      </w:r>
    </w:p>
    <w:p w:rsidR="00A45935" w:rsidRPr="002E1723" w:rsidRDefault="00A45935" w:rsidP="00624393">
      <w:pPr>
        <w:pStyle w:val="Hlistbullet"/>
      </w:pPr>
      <w:r>
        <w:t xml:space="preserve">CEQ nr. 2: "In hoeverre hebben steunmaatregelen in het kader van het POP bijgedragen aan het verstevigen van de banden tussen landbouw, voedselproductie en bosbouw en onderzoek en innovatie, waaronder met het oog op beter milieubeheer en betere milieuprestaties?" </w:t>
      </w:r>
    </w:p>
    <w:p w:rsidR="00A45935" w:rsidRPr="002E1723" w:rsidRDefault="00A45935" w:rsidP="00624393">
      <w:pPr>
        <w:pStyle w:val="HStandard"/>
      </w:pPr>
      <w:r>
        <w:t xml:space="preserve">CEQ nr. 21: "In welke mate heeft het nationale netwerk voor het platteland bijgedragen aan het verwezenlijken van de doelstellingen die in artikel 54, lid 2, van Verordening (EU) nr. 1305/2013 zijn vastgelegd?", houdt verband met </w:t>
      </w:r>
      <w:r>
        <w:rPr>
          <w:b/>
        </w:rPr>
        <w:t>andere aspecten van het POP</w:t>
      </w:r>
      <w:r>
        <w:t>, met name om de verwachte output en resultaten van NPN's te registreren. Deze CEQ is relevant voor innovatie omdat hij betrekking heeft op doelstelling d) van art. 54, lid 2, om "innovatie in de landbouw, de voedselproductie, de bosbouw en in plattelandsgebieden te bevorderen".</w:t>
      </w:r>
    </w:p>
    <w:p w:rsidR="00A45935" w:rsidRPr="001A2A93" w:rsidRDefault="00A45935" w:rsidP="00624393">
      <w:pPr>
        <w:pStyle w:val="HStandard"/>
      </w:pPr>
      <w:r>
        <w:t xml:space="preserve">Op het </w:t>
      </w:r>
      <w:r>
        <w:rPr>
          <w:b/>
        </w:rPr>
        <w:t>niveau van de EU-doelstellingen</w:t>
      </w:r>
      <w:r>
        <w:t xml:space="preserve"> zijn er twee innovatiegerelateerde CEQ's om de bijdrage van programma's in termen van verwachte effecten te registreren. </w:t>
      </w:r>
    </w:p>
    <w:p w:rsidR="00A45935" w:rsidRPr="001A2A93" w:rsidRDefault="00A45935" w:rsidP="00624393">
      <w:pPr>
        <w:pStyle w:val="Hlistbullet"/>
      </w:pPr>
      <w:r>
        <w:t xml:space="preserve">CEQ nr. 23 houdt verband met de verwezenlijking van de kerndoelstelling van de EU: "In hoeverre heeft het POP bijgedragen aan het verwezenlijken van de Europa 2020-kerndoelstelling om 3 % van het bbp van de EU te investeren in onderzoek en ontwikkeling en innovatie?" </w:t>
      </w:r>
    </w:p>
    <w:p w:rsidR="00A45935" w:rsidRPr="001A2A93" w:rsidRDefault="00A45935" w:rsidP="00624393">
      <w:pPr>
        <w:pStyle w:val="Hlistbullet"/>
      </w:pPr>
      <w:r>
        <w:t xml:space="preserve">CEQ nr. 30 heeft betrekking op innovatie als horizontale doelstelling: "In hoeverre heeft het POP bijgedragen aan het bevorderen van innovatie?" </w:t>
      </w:r>
    </w:p>
    <w:p w:rsidR="00A01CB9" w:rsidRDefault="00A45935" w:rsidP="00E05D08">
      <w:pPr>
        <w:spacing w:after="120" w:line="280" w:lineRule="atLeast"/>
        <w:mirrorIndents/>
        <w:rPr>
          <w:szCs w:val="20"/>
          <w:shd w:val="clear" w:color="auto" w:fill="FFFFFF"/>
        </w:rPr>
      </w:pPr>
      <w:r>
        <w:rPr>
          <w:szCs w:val="20"/>
          <w:shd w:val="clear" w:color="auto" w:fill="FFFFFF"/>
        </w:rPr>
        <w:t xml:space="preserve">De volgende figuur laat zien hoe de gemeenschappelijke evaluatie-elementen (CEQ, beoordelingscriteria en indicatoren) op de verschillende niveaus verband houden met het beleidskader. Er zijn zeven </w:t>
      </w:r>
      <w:r>
        <w:rPr>
          <w:b/>
          <w:szCs w:val="20"/>
          <w:shd w:val="clear" w:color="auto" w:fill="FFFFFF"/>
        </w:rPr>
        <w:t>gemeenschappelijke indicatoren</w:t>
      </w:r>
      <w:r>
        <w:rPr>
          <w:szCs w:val="20"/>
          <w:shd w:val="clear" w:color="auto" w:fill="FFFFFF"/>
        </w:rPr>
        <w:t xml:space="preserve"> gekoppeld aan de gemeenschappelijke evaluatievragen voor innovatie: 5 output- en 2 doelindicatoren</w:t>
      </w:r>
      <w:r>
        <w:rPr>
          <w:rFonts w:eastAsia="Times New Roman" w:cs="Times New Roman"/>
          <w:szCs w:val="20"/>
          <w:shd w:val="clear" w:color="auto" w:fill="FFFFFF"/>
          <w:vertAlign w:val="superscript"/>
          <w:lang w:eastAsia="de-DE"/>
        </w:rPr>
        <w:footnoteReference w:id="33"/>
      </w:r>
    </w:p>
    <w:p w:rsidR="00A01CB9" w:rsidRDefault="00A01CB9" w:rsidP="00A01CB9">
      <w:pPr>
        <w:pStyle w:val="HStandard"/>
        <w:rPr>
          <w:shd w:val="clear" w:color="auto" w:fill="FFFFFF"/>
        </w:rPr>
      </w:pPr>
      <w:r>
        <w:rPr>
          <w:shd w:val="clear" w:color="auto" w:fill="FFFFFF"/>
        </w:rPr>
        <w:br w:type="page"/>
      </w:r>
    </w:p>
    <w:p w:rsidR="00A01CB9" w:rsidRDefault="00EA0974" w:rsidP="00230C31">
      <w:pPr>
        <w:pStyle w:val="HHeadingfigures"/>
      </w:pPr>
      <w:bookmarkStart w:id="25" w:name="_Toc511656293"/>
      <w:r>
        <w:lastRenderedPageBreak/>
        <w:t>De gemeenschappelijke evaluatie-elementen voor de evaluatie van innovatie</w:t>
      </w:r>
      <w:bookmarkEnd w:id="25"/>
      <w:r>
        <w:t xml:space="preserve"> </w:t>
      </w:r>
    </w:p>
    <w:p w:rsidR="00A45935" w:rsidRPr="00151D94" w:rsidRDefault="00A01CB9" w:rsidP="00A01CB9">
      <w:pPr>
        <w:pStyle w:val="HHeadingfigures"/>
        <w:numPr>
          <w:ilvl w:val="0"/>
          <w:numId w:val="0"/>
        </w:numPr>
        <w:ind w:left="604"/>
      </w:pPr>
      <w:bookmarkStart w:id="26" w:name="_Toc511656294"/>
      <w:r w:rsidRPr="00A01CB9">
        <w:rPr>
          <w:noProof/>
          <w:lang w:val="en-GB" w:eastAsia="en-GB"/>
        </w:rPr>
        <w:drawing>
          <wp:inline distT="0" distB="0" distL="0" distR="0" wp14:anchorId="76E25764" wp14:editId="643F853F">
            <wp:extent cx="5731510" cy="335026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350260"/>
                    </a:xfrm>
                    <a:prstGeom prst="rect">
                      <a:avLst/>
                    </a:prstGeom>
                    <a:noFill/>
                    <a:ln>
                      <a:noFill/>
                    </a:ln>
                  </pic:spPr>
                </pic:pic>
              </a:graphicData>
            </a:graphic>
          </wp:inline>
        </w:drawing>
      </w:r>
      <w:bookmarkEnd w:id="26"/>
    </w:p>
    <w:p w:rsidR="00A45935" w:rsidRPr="00E05D08" w:rsidRDefault="00A45935" w:rsidP="00E05D08">
      <w:pPr>
        <w:spacing w:before="60" w:after="140" w:line="220" w:lineRule="atLeast"/>
        <w:jc w:val="center"/>
        <w:rPr>
          <w:rFonts w:eastAsia="Times New Roman" w:cs="Arial"/>
          <w:szCs w:val="20"/>
          <w:shd w:val="clear" w:color="auto" w:fill="FFFFFF"/>
          <w:lang w:eastAsia="de-DE"/>
        </w:rPr>
      </w:pPr>
    </w:p>
    <w:p w:rsidR="00A45935" w:rsidRDefault="00A45935" w:rsidP="00E05D08">
      <w:pPr>
        <w:suppressAutoHyphens/>
        <w:spacing w:before="60" w:after="140" w:line="240" w:lineRule="auto"/>
        <w:ind w:left="1134" w:right="1134"/>
        <w:mirrorIndents/>
        <w:jc w:val="center"/>
        <w:rPr>
          <w:rFonts w:eastAsia="Times New Roman" w:cs="Times New Roman"/>
          <w:i/>
          <w:sz w:val="16"/>
          <w:szCs w:val="16"/>
        </w:rPr>
      </w:pPr>
      <w:r>
        <w:rPr>
          <w:i/>
          <w:sz w:val="16"/>
          <w:szCs w:val="16"/>
        </w:rPr>
        <w:t>Bron: Europese evaluatiehelpdesk voor plattelandsontwikkeling, 2017</w:t>
      </w:r>
    </w:p>
    <w:p w:rsidR="00690E70" w:rsidRDefault="00690E70">
      <w:pPr>
        <w:jc w:val="left"/>
        <w:rPr>
          <w:rFonts w:eastAsia="Times New Roman" w:cs="Times New Roman"/>
          <w:b/>
          <w:szCs w:val="20"/>
        </w:rPr>
      </w:pPr>
      <w:bookmarkStart w:id="27" w:name="_Toc493151897"/>
      <w:bookmarkStart w:id="28" w:name="_Toc501382124"/>
      <w:r>
        <w:br w:type="page"/>
      </w:r>
    </w:p>
    <w:p w:rsidR="00A45935" w:rsidRPr="003737FE" w:rsidRDefault="00A45935" w:rsidP="00230C31">
      <w:pPr>
        <w:pStyle w:val="HHeading2"/>
      </w:pPr>
      <w:bookmarkStart w:id="29" w:name="_Toc511656268"/>
      <w:r>
        <w:lastRenderedPageBreak/>
        <w:t>Uitdagingen bij het evalueren van innovatie</w:t>
      </w:r>
      <w:bookmarkEnd w:id="27"/>
      <w:bookmarkEnd w:id="28"/>
      <w:bookmarkEnd w:id="29"/>
    </w:p>
    <w:p w:rsidR="00A45935" w:rsidRPr="00E05D08" w:rsidRDefault="00A45935" w:rsidP="00E05D08">
      <w:pPr>
        <w:spacing w:after="120" w:line="280" w:lineRule="atLeast"/>
        <w:mirrorIndents/>
        <w:rPr>
          <w:rFonts w:eastAsia="Times New Roman" w:cs="Times New Roman"/>
          <w:szCs w:val="20"/>
        </w:rPr>
      </w:pPr>
      <w:bookmarkStart w:id="30" w:name="_Toc476064466"/>
      <w:bookmarkStart w:id="31" w:name="_Toc476064526"/>
      <w:bookmarkStart w:id="32" w:name="_Toc476064467"/>
      <w:bookmarkStart w:id="33" w:name="_Toc476064527"/>
      <w:bookmarkStart w:id="34" w:name="_Toc476064468"/>
      <w:bookmarkStart w:id="35" w:name="_Toc476064528"/>
      <w:bookmarkStart w:id="36" w:name="_Toc476064469"/>
      <w:bookmarkStart w:id="37" w:name="_Toc476064529"/>
      <w:bookmarkStart w:id="38" w:name="_Toc476064470"/>
      <w:bookmarkStart w:id="39" w:name="_Toc476064530"/>
      <w:bookmarkStart w:id="40" w:name="_Toc476064471"/>
      <w:bookmarkStart w:id="41" w:name="_Toc476064531"/>
      <w:bookmarkStart w:id="42" w:name="_Toc476064472"/>
      <w:bookmarkStart w:id="43" w:name="_Toc476064532"/>
      <w:bookmarkStart w:id="44" w:name="_Toc476064473"/>
      <w:bookmarkStart w:id="45" w:name="_Toc476064533"/>
      <w:bookmarkStart w:id="46" w:name="_Toc476064474"/>
      <w:bookmarkStart w:id="47" w:name="_Toc476064534"/>
      <w:bookmarkStart w:id="48" w:name="_Toc476064475"/>
      <w:bookmarkStart w:id="49" w:name="_Toc476064535"/>
      <w:bookmarkStart w:id="50" w:name="_Toc476064476"/>
      <w:bookmarkStart w:id="51" w:name="_Toc476064536"/>
      <w:bookmarkStart w:id="52" w:name="_Toc476064477"/>
      <w:bookmarkStart w:id="53" w:name="_Toc476064537"/>
      <w:bookmarkStart w:id="54" w:name="_Toc476064478"/>
      <w:bookmarkStart w:id="55" w:name="_Toc476064538"/>
      <w:bookmarkStart w:id="56" w:name="_Toc476064479"/>
      <w:bookmarkStart w:id="57" w:name="_Toc476064539"/>
      <w:bookmarkStart w:id="58" w:name="_Toc476064481"/>
      <w:bookmarkStart w:id="59" w:name="_Toc476064541"/>
      <w:bookmarkStart w:id="60" w:name="_Toc476064482"/>
      <w:bookmarkStart w:id="61" w:name="_Toc476064542"/>
      <w:bookmarkStart w:id="62" w:name="_Toc476064483"/>
      <w:bookmarkStart w:id="63" w:name="_Toc476064543"/>
      <w:bookmarkStart w:id="64" w:name="_Toc476064484"/>
      <w:bookmarkStart w:id="65" w:name="_Toc476064544"/>
      <w:bookmarkStart w:id="66" w:name="_Toc476064485"/>
      <w:bookmarkStart w:id="67" w:name="_Toc476064545"/>
      <w:bookmarkStart w:id="68" w:name="_Toc476064486"/>
      <w:bookmarkStart w:id="69" w:name="_Toc476064546"/>
      <w:bookmarkStart w:id="70" w:name="_Toc476064487"/>
      <w:bookmarkStart w:id="71" w:name="_Toc476064547"/>
      <w:bookmarkStart w:id="72" w:name="_Toc476064488"/>
      <w:bookmarkStart w:id="73" w:name="_Toc476064548"/>
      <w:bookmarkStart w:id="74" w:name="_Toc476064489"/>
      <w:bookmarkStart w:id="75" w:name="_Toc476064549"/>
      <w:bookmarkStart w:id="76" w:name="_Toc476064490"/>
      <w:bookmarkStart w:id="77" w:name="_Toc476064550"/>
      <w:bookmarkStart w:id="78" w:name="_Toc476064491"/>
      <w:bookmarkStart w:id="79" w:name="_Toc476064551"/>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t>Bij het evalueren van innovatie in POP's moet met verschillende uitdagingen rekening worden gehouden.</w:t>
      </w:r>
    </w:p>
    <w:p w:rsidR="00A45935" w:rsidRPr="00E05D08" w:rsidRDefault="00A45935" w:rsidP="00230C31">
      <w:pPr>
        <w:pStyle w:val="HHeading4"/>
        <w:rPr>
          <w:rFonts w:eastAsia="Calibri"/>
        </w:rPr>
      </w:pPr>
      <w:r>
        <w:t xml:space="preserve">Conceptuele uitdagingen </w:t>
      </w:r>
    </w:p>
    <w:p w:rsidR="00A45935" w:rsidRPr="00920CB9" w:rsidRDefault="00A45935" w:rsidP="00576A73">
      <w:pPr>
        <w:pStyle w:val="Hlistbullet"/>
      </w:pPr>
      <w:r>
        <w:rPr>
          <w:b/>
        </w:rPr>
        <w:t>Het evaluatie-onderwerp duidelijk omschrijven</w:t>
      </w:r>
      <w:r>
        <w:t xml:space="preserve">: waar spitst de evaluatie van innovatie zich op toe? </w:t>
      </w:r>
    </w:p>
    <w:p w:rsidR="00A45935" w:rsidRPr="00920CB9" w:rsidRDefault="00A45935" w:rsidP="00576A73">
      <w:pPr>
        <w:pStyle w:val="Hlistbullet"/>
      </w:pPr>
      <w:r>
        <w:rPr>
          <w:b/>
        </w:rPr>
        <w:t>Het kennis- en innovatiesysteem in kaart brengen</w:t>
      </w:r>
      <w:r>
        <w:t>: wat zijn de componenten, de onderlinge relaties ervan en de grenzen van een bepaald kennis- en innovatiesysteem in het beoordeelde plattelandsgebied? Wat is de rol van de POP's daarin?</w:t>
      </w:r>
      <w:r>
        <w:rPr>
          <w:rFonts w:cs="Arial"/>
          <w:vertAlign w:val="superscript"/>
        </w:rPr>
        <w:footnoteReference w:id="34"/>
      </w:r>
    </w:p>
    <w:p w:rsidR="00A45935" w:rsidRPr="00920CB9" w:rsidRDefault="00A45935" w:rsidP="00576A73">
      <w:pPr>
        <w:pStyle w:val="Hlistbullet"/>
      </w:pPr>
      <w:r>
        <w:rPr>
          <w:b/>
        </w:rPr>
        <w:t>De benadering ten aanzien van innovatie van het POP beoordelen</w:t>
      </w:r>
      <w:r>
        <w:t>: Wat is het specifieke innovatiepotentieel van een bepaald POP? Wat zijn de doelstellingen? Zijn de selectiecriteria toegesneden op innovatie?</w:t>
      </w:r>
    </w:p>
    <w:p w:rsidR="00A45935" w:rsidRPr="00B76BA4" w:rsidRDefault="00A45935" w:rsidP="00230C31">
      <w:pPr>
        <w:pStyle w:val="HHeading4"/>
        <w:rPr>
          <w:rFonts w:eastAsia="Calibri"/>
          <w:shd w:val="clear" w:color="auto" w:fill="FFFFFF"/>
        </w:rPr>
      </w:pPr>
      <w:r>
        <w:rPr>
          <w:shd w:val="clear" w:color="auto" w:fill="FFFFFF"/>
        </w:rPr>
        <w:t xml:space="preserve">Uitdagingen in verband met het gemeenschappelijke monitoring- en evaluatiesysteem </w:t>
      </w:r>
    </w:p>
    <w:p w:rsidR="00A45935" w:rsidRPr="000324A5" w:rsidRDefault="00A45935" w:rsidP="00576A73">
      <w:pPr>
        <w:pStyle w:val="Hlistbullet"/>
      </w:pPr>
      <w:r>
        <w:rPr>
          <w:b/>
        </w:rPr>
        <w:t xml:space="preserve">Aanvullende en programmaspecifieke evaluatie-elementen ontwikkelen: </w:t>
      </w:r>
      <w:r>
        <w:t xml:space="preserve">hoe aanvullende en programmaspecifieke evaluatie-elementen voor evaluatie van innovatie te ontwikkelen? </w:t>
      </w:r>
    </w:p>
    <w:p w:rsidR="00A45935" w:rsidRPr="000324A5" w:rsidRDefault="00A45935" w:rsidP="00576A73">
      <w:pPr>
        <w:pStyle w:val="Hlistbullet"/>
        <w:rPr>
          <w:b/>
        </w:rPr>
      </w:pPr>
      <w:r>
        <w:rPr>
          <w:b/>
        </w:rPr>
        <w:t xml:space="preserve">Rapportering van de resultaten: </w:t>
      </w:r>
      <w:r>
        <w:t>hoe de evaluatieprocedures af te stemmen op het tijdsbestek van het jaarlijkse uitvoeringsverslag in 2019 en de evaluatie achteraf in 2024?</w:t>
      </w:r>
    </w:p>
    <w:p w:rsidR="00A45935" w:rsidRPr="00E05D08" w:rsidRDefault="00A45935" w:rsidP="00230C31">
      <w:pPr>
        <w:pStyle w:val="HHeading4"/>
        <w:rPr>
          <w:rFonts w:eastAsia="Calibri"/>
          <w:shd w:val="clear" w:color="auto" w:fill="FFFFFF"/>
        </w:rPr>
      </w:pPr>
      <w:r>
        <w:rPr>
          <w:shd w:val="clear" w:color="auto" w:fill="FFFFFF"/>
        </w:rPr>
        <w:t xml:space="preserve">Methodologische uitdagingen </w:t>
      </w:r>
    </w:p>
    <w:p w:rsidR="00A45935" w:rsidRPr="00F8743F" w:rsidRDefault="00A45935" w:rsidP="00576A73">
      <w:pPr>
        <w:pStyle w:val="Hlistbullet"/>
        <w:rPr>
          <w:shd w:val="clear" w:color="auto" w:fill="FFFFFF"/>
        </w:rPr>
      </w:pPr>
      <w:r>
        <w:rPr>
          <w:b/>
        </w:rPr>
        <w:t>De</w:t>
      </w:r>
      <w:r>
        <w:rPr>
          <w:b/>
          <w:shd w:val="clear" w:color="auto" w:fill="FFFFFF"/>
        </w:rPr>
        <w:t xml:space="preserve"> innovatieprocessen toewijzen aan steunmaatregelen in het kader van het POP</w:t>
      </w:r>
      <w:r>
        <w:rPr>
          <w:shd w:val="clear" w:color="auto" w:fill="FFFFFF"/>
        </w:rPr>
        <w:t xml:space="preserve">: hoe te meten in hoeverre de innovatieprocessen die in plattelandsgebieden op gang zijn gebracht direct of indirect aan steunmaatregelen in het kader van het POP toegerekend kunnen worden? </w:t>
      </w:r>
    </w:p>
    <w:p w:rsidR="00A45935" w:rsidRPr="00F8743F" w:rsidRDefault="00A45935" w:rsidP="00576A73">
      <w:pPr>
        <w:pStyle w:val="Hlistbullet"/>
        <w:rPr>
          <w:shd w:val="clear" w:color="auto" w:fill="FFFFFF"/>
        </w:rPr>
      </w:pPr>
      <w:r>
        <w:rPr>
          <w:b/>
        </w:rPr>
        <w:t>Toerekening van innovatie-effecten aan resultaten en gevolgen van POP's</w:t>
      </w:r>
      <w:r>
        <w:rPr>
          <w:shd w:val="clear" w:color="auto" w:fill="FFFFFF"/>
        </w:rPr>
        <w:t xml:space="preserve">. </w:t>
      </w:r>
    </w:p>
    <w:p w:rsidR="00A45935" w:rsidRPr="00F8743F" w:rsidRDefault="00A45935" w:rsidP="00576A73">
      <w:pPr>
        <w:pStyle w:val="Hlistbullet"/>
        <w:rPr>
          <w:shd w:val="clear" w:color="auto" w:fill="FFFFFF"/>
        </w:rPr>
      </w:pPr>
      <w:r>
        <w:rPr>
          <w:b/>
          <w:shd w:val="clear" w:color="auto" w:fill="FFFFFF"/>
          <w14:textFill>
            <w14:solidFill>
              <w14:srgbClr w14:val="373737">
                <w14:lumMod w14:val="75000"/>
                <w14:lumMod w14:val="75000"/>
                <w14:lumMod w14:val="75000"/>
              </w14:srgbClr>
            </w14:solidFill>
          </w14:textFill>
        </w:rPr>
        <w:t>Passende evaluatiebenaderingen ontwerpen:</w:t>
      </w:r>
      <w:r>
        <w:rPr>
          <w:shd w:val="clear" w:color="auto" w:fill="FFFFFF"/>
          <w14:textFill>
            <w14:solidFill>
              <w14:srgbClr w14:val="373737">
                <w14:lumMod w14:val="75000"/>
                <w14:lumMod w14:val="75000"/>
                <w14:lumMod w14:val="75000"/>
              </w14:srgbClr>
            </w14:solidFill>
          </w14:textFill>
        </w:rPr>
        <w:t xml:space="preserve"> hoe kwantitatieve en kwalitatieve methoden te trianguleren en combineren om de evaluatiebevindingen te interpreteren en conclusies en aanbevelingen te formuleren? </w:t>
      </w:r>
    </w:p>
    <w:p w:rsidR="00A45935" w:rsidRPr="00E05D08" w:rsidRDefault="00A45935" w:rsidP="00230C31">
      <w:pPr>
        <w:pStyle w:val="HHeading4"/>
        <w:rPr>
          <w:rFonts w:eastAsia="Calibri"/>
          <w:shd w:val="clear" w:color="auto" w:fill="FFFFFF"/>
        </w:rPr>
      </w:pPr>
      <w:r>
        <w:rPr>
          <w:shd w:val="clear" w:color="auto" w:fill="FFFFFF"/>
        </w:rPr>
        <w:t>Organisatorische uitdagingen</w:t>
      </w:r>
    </w:p>
    <w:p w:rsidR="00A45935" w:rsidRPr="00D55226" w:rsidRDefault="00A45935" w:rsidP="00576A73">
      <w:pPr>
        <w:pStyle w:val="Hlistbullet"/>
        <w:rPr>
          <w:rFonts w:eastAsia="Calibri"/>
        </w:rPr>
      </w:pPr>
      <w:r>
        <w:rPr>
          <w:b/>
        </w:rPr>
        <w:t>Effectief en efficiënt gegevensbeheer waarborgen</w:t>
      </w:r>
      <w:r>
        <w:t xml:space="preserve">: hoe gegevens in verband met gemeenschappelijke en aanvullende indicatoren te beheren, verzamelen en analyseren, vooral wanneer het beheer van innovatiesteunmaatregelen verdeeld is over verschillende verantwoordelijke organisaties? </w:t>
      </w:r>
    </w:p>
    <w:p w:rsidR="00A45935" w:rsidRPr="00D55226" w:rsidRDefault="00A45935" w:rsidP="00576A73">
      <w:pPr>
        <w:pStyle w:val="Hlistbullet"/>
        <w:rPr>
          <w:rFonts w:eastAsia="Calibri"/>
        </w:rPr>
      </w:pPr>
      <w:r>
        <w:rPr>
          <w:b/>
        </w:rPr>
        <w:t>Betrokken belanghebbenden coördineren</w:t>
      </w:r>
      <w:r>
        <w:t>: hoe een gemeenschappelijke procedure op te zetten en overeenstemming te bereiken tussen beheersautoriteiten en verschillende belanghebbenden die betrokken zijn bij de evaluatie van innovatie (bv. LAG's, OG's van het EIP, adviseurs van landbouwers/bosbouwers, onderzoekers)?</w:t>
      </w:r>
    </w:p>
    <w:p w:rsidR="00A45935" w:rsidRDefault="00A45935" w:rsidP="00576A73">
      <w:pPr>
        <w:pStyle w:val="Hlistbullet"/>
        <w:rPr>
          <w:rFonts w:eastAsia="Calibri"/>
        </w:rPr>
      </w:pPr>
      <w:r>
        <w:rPr>
          <w:b/>
        </w:rPr>
        <w:t>Evaluatiebevindingen gebruiken om de vorming en uitvoering van het beleid te verbeteren</w:t>
      </w:r>
      <w:r>
        <w:t xml:space="preserve">: hoe op basis van de evaluatiebevindingen conclusies en aanbevelingen te </w:t>
      </w:r>
      <w:r>
        <w:lastRenderedPageBreak/>
        <w:t>formuleren om het POP, de transparantie en verantwoording ervan en het gemeenschappelijk leren onder POP-belanghebbenden te verbeteren?</w:t>
      </w:r>
    </w:p>
    <w:p w:rsidR="00230C31" w:rsidRDefault="00230C31" w:rsidP="00626C0C">
      <w:pPr>
        <w:pStyle w:val="HHeading1"/>
        <w:tabs>
          <w:tab w:val="clear" w:pos="567"/>
        </w:tabs>
      </w:pPr>
      <w:bookmarkStart w:id="80" w:name="_Toc511656269"/>
      <w:r>
        <w:lastRenderedPageBreak/>
        <w:t>Hoe innovatie in POP's te evalueren?</w:t>
      </w:r>
      <w:bookmarkEnd w:id="80"/>
    </w:p>
    <w:p w:rsidR="00A45935" w:rsidRPr="00C84B5B" w:rsidRDefault="00A45935" w:rsidP="00B421B9">
      <w:pPr>
        <w:pStyle w:val="HHeading2"/>
        <w:numPr>
          <w:ilvl w:val="1"/>
          <w:numId w:val="119"/>
        </w:numPr>
        <w:ind w:left="567" w:hanging="567"/>
      </w:pPr>
      <w:bookmarkStart w:id="81" w:name="_Toc476063931"/>
      <w:bookmarkStart w:id="82" w:name="_Toc476064198"/>
      <w:bookmarkStart w:id="83" w:name="_Toc476064493"/>
      <w:bookmarkStart w:id="84" w:name="_Toc476064553"/>
      <w:bookmarkStart w:id="85" w:name="_Toc511656270"/>
      <w:bookmarkStart w:id="86" w:name="_Toc493151899"/>
      <w:bookmarkStart w:id="87" w:name="_Toc501382126"/>
      <w:bookmarkEnd w:id="81"/>
      <w:bookmarkEnd w:id="82"/>
      <w:bookmarkEnd w:id="83"/>
      <w:bookmarkEnd w:id="84"/>
      <w:r>
        <w:t>Voorgestelde aanpak ter evaluatie van innovatie in POP's 2014-2020 (overzicht)</w:t>
      </w:r>
      <w:bookmarkEnd w:id="85"/>
    </w:p>
    <w:bookmarkEnd w:id="86"/>
    <w:bookmarkEnd w:id="87"/>
    <w:p w:rsidR="00A45935" w:rsidRDefault="00A45935" w:rsidP="00946806">
      <w:pPr>
        <w:pStyle w:val="HHeading4"/>
      </w:pPr>
      <w:r>
        <w:t>De evaluatie van innovatie beheren</w:t>
      </w:r>
    </w:p>
    <w:p w:rsidR="00A45935" w:rsidRPr="00E05D08" w:rsidRDefault="00A45935" w:rsidP="00E05D08">
      <w:pPr>
        <w:spacing w:after="120" w:line="280" w:lineRule="atLeast"/>
        <w:mirrorIndents/>
        <w:rPr>
          <w:rFonts w:eastAsia="Times New Roman" w:cs="Times New Roman"/>
          <w:szCs w:val="20"/>
        </w:rPr>
      </w:pPr>
      <w:r>
        <w:rPr>
          <w:b/>
          <w:szCs w:val="20"/>
        </w:rPr>
        <w:t>De evaluatie van innovatie en de beantwoording van innovatiegerelateerde vragen maken deel uit van de POP-evaluatie.</w:t>
      </w:r>
      <w:r>
        <w:t xml:space="preserve"> </w:t>
      </w:r>
      <w:r>
        <w:rPr>
          <w:szCs w:val="20"/>
          <w:shd w:val="clear" w:color="auto" w:fill="FFFFFF"/>
        </w:rPr>
        <w:t>Ze worden daarom gewoonlijk samen met de andere POP-evaluatieactiviteiten beheerd</w:t>
      </w:r>
      <w:r>
        <w:rPr>
          <w:rFonts w:eastAsia="Calibri" w:cs="Times New Roman"/>
          <w:szCs w:val="20"/>
          <w:shd w:val="clear" w:color="auto" w:fill="FFFFFF"/>
          <w:vertAlign w:val="superscript"/>
          <w:lang w:eastAsia="de-DE"/>
        </w:rPr>
        <w:footnoteReference w:id="35"/>
      </w:r>
      <w:r>
        <w:rPr>
          <w:szCs w:val="20"/>
          <w:shd w:val="clear" w:color="auto" w:fill="FFFFFF"/>
        </w:rPr>
        <w:t>. De figuur hieronder geeft een overzicht van dit proces.</w:t>
      </w:r>
      <w:r>
        <w:t xml:space="preserve"> </w:t>
      </w:r>
    </w:p>
    <w:p w:rsidR="00A45935" w:rsidRPr="00E05D08" w:rsidRDefault="00A45935" w:rsidP="00E05D08">
      <w:pPr>
        <w:spacing w:after="120" w:line="280" w:lineRule="atLeast"/>
        <w:mirrorIndents/>
        <w:rPr>
          <w:rFonts w:eastAsia="Times New Roman" w:cs="Times New Roman"/>
          <w:szCs w:val="20"/>
        </w:rPr>
      </w:pPr>
      <w:r>
        <w:t xml:space="preserve">De voorbereiding, structurering en uitvoering van de evaluatie van innovatie wordt uitgebreid beschreven in paragraaf 2.2 t/m 2.4. </w:t>
      </w:r>
    </w:p>
    <w:p w:rsidR="00A45935" w:rsidRPr="0018705F" w:rsidRDefault="00A45935" w:rsidP="00B421B9">
      <w:pPr>
        <w:pStyle w:val="HHeadingfigures"/>
      </w:pPr>
      <w:bookmarkStart w:id="88" w:name="_Toc511656295"/>
      <w:r>
        <w:t>De evaluatie van innovatie beheren in POP's 2014-2020</w:t>
      </w:r>
      <w:bookmarkEnd w:id="88"/>
    </w:p>
    <w:p w:rsidR="00A45935" w:rsidRPr="00E05D08" w:rsidRDefault="004E2151" w:rsidP="00E05D08">
      <w:pPr>
        <w:spacing w:after="120" w:line="280" w:lineRule="atLeast"/>
        <w:mirrorIndents/>
        <w:jc w:val="center"/>
        <w:rPr>
          <w:rFonts w:eastAsia="Times New Roman" w:cs="Times New Roman"/>
          <w:szCs w:val="20"/>
        </w:rPr>
      </w:pPr>
      <w:r w:rsidRPr="004E2151">
        <w:rPr>
          <w:noProof/>
          <w:lang w:val="en-GB" w:eastAsia="en-GB"/>
        </w:rPr>
        <w:drawing>
          <wp:inline distT="0" distB="0" distL="0" distR="0" wp14:anchorId="73E7ADB5" wp14:editId="19FFE135">
            <wp:extent cx="5731510" cy="3687668"/>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687668"/>
                    </a:xfrm>
                    <a:prstGeom prst="rect">
                      <a:avLst/>
                    </a:prstGeom>
                    <a:noFill/>
                    <a:ln>
                      <a:noFill/>
                    </a:ln>
                  </pic:spPr>
                </pic:pic>
              </a:graphicData>
            </a:graphic>
          </wp:inline>
        </w:drawing>
      </w:r>
    </w:p>
    <w:p w:rsidR="00A45935" w:rsidRPr="00E05D08" w:rsidRDefault="00A45935" w:rsidP="00E05D08">
      <w:pPr>
        <w:spacing w:after="120" w:line="280" w:lineRule="atLeast"/>
        <w:jc w:val="center"/>
        <w:rPr>
          <w:rFonts w:eastAsia="Calibri" w:cs="Arial"/>
          <w:bCs/>
          <w:i/>
          <w:sz w:val="16"/>
          <w:szCs w:val="16"/>
        </w:rPr>
      </w:pPr>
      <w:r>
        <w:rPr>
          <w:bCs/>
          <w:i/>
          <w:sz w:val="16"/>
          <w:szCs w:val="16"/>
        </w:rPr>
        <w:t>Bron: Europese evaluatiehelpdesk voor plattelandsontwikkeling, 2017</w:t>
      </w:r>
    </w:p>
    <w:p w:rsidR="00A45935" w:rsidRPr="00E05D08" w:rsidRDefault="00A45935" w:rsidP="00E05D08">
      <w:pPr>
        <w:spacing w:after="120" w:line="280" w:lineRule="atLeast"/>
        <w:mirrorIndents/>
        <w:rPr>
          <w:rFonts w:eastAsia="Times New Roman" w:cs="Times New Roman"/>
          <w:szCs w:val="20"/>
        </w:rPr>
      </w:pPr>
      <w:r>
        <w:br w:type="page"/>
      </w:r>
    </w:p>
    <w:p w:rsidR="00A45935" w:rsidRDefault="00A45935" w:rsidP="00946806">
      <w:pPr>
        <w:pStyle w:val="HHeading4"/>
      </w:pPr>
      <w:r>
        <w:lastRenderedPageBreak/>
        <w:t>Rapportage over de evaluatie van innovatie</w:t>
      </w:r>
    </w:p>
    <w:p w:rsidR="00A45935" w:rsidRPr="00E05D08" w:rsidRDefault="00A45935" w:rsidP="00E05D08">
      <w:pPr>
        <w:spacing w:after="120" w:line="280" w:lineRule="atLeast"/>
        <w:mirrorIndents/>
        <w:rPr>
          <w:rFonts w:eastAsia="Times New Roman" w:cs="Times New Roman"/>
          <w:szCs w:val="20"/>
        </w:rPr>
      </w:pPr>
      <w:r>
        <w:t xml:space="preserve">De </w:t>
      </w:r>
      <w:r>
        <w:rPr>
          <w:b/>
          <w:szCs w:val="20"/>
        </w:rPr>
        <w:t>beheersautoriteiten zijn verantwoordelijk voor de rapportage van de evaluatiebevindingen aan de Europese Commissie</w:t>
      </w:r>
      <w:r>
        <w:rPr>
          <w:rFonts w:eastAsia="Times New Roman" w:cs="Times New Roman"/>
          <w:szCs w:val="20"/>
          <w:vertAlign w:val="superscript"/>
          <w:lang w:eastAsia="de-DE"/>
        </w:rPr>
        <w:footnoteReference w:id="36"/>
      </w:r>
      <w:r>
        <w:t xml:space="preserve">. Figuur 5 laat zien uit hoofde van welke CEQ's de evaluatiebevindingen ten aanzien van innovatie kunnen worden opgenomen in de JUV's van 2017 en 2019 en in de evaluatie achteraf. </w:t>
      </w:r>
    </w:p>
    <w:p w:rsidR="00A45935" w:rsidRPr="00E05D08" w:rsidRDefault="00A45935" w:rsidP="00E05D08">
      <w:pPr>
        <w:spacing w:after="120" w:line="280" w:lineRule="atLeast"/>
        <w:mirrorIndents/>
        <w:rPr>
          <w:rFonts w:eastAsia="Times New Roman" w:cs="Times New Roman"/>
          <w:szCs w:val="20"/>
        </w:rPr>
      </w:pPr>
      <w:r>
        <w:rPr>
          <w:b/>
          <w:szCs w:val="20"/>
        </w:rPr>
        <w:t>Belangrijke evaluatiebevindingen ten aanzien van innovatie zijn te verwachten in het JUV van 2019 en in de evaluatie achteraf</w:t>
      </w:r>
      <w:r>
        <w:t>. Daar het bevorderen van innovatie gezien moet worden als een proces, zijn de resultaten ervan moeilijk waar te nemen in de vroege implementatiefasen van het programma.</w:t>
      </w:r>
    </w:p>
    <w:p w:rsidR="004E2151" w:rsidRDefault="00533971" w:rsidP="008D178A">
      <w:pPr>
        <w:pStyle w:val="HHeadingfigures"/>
      </w:pPr>
      <w:bookmarkStart w:id="89" w:name="_Toc511656296"/>
      <w:r>
        <w:t>Rapportagevereisten met betrekking tot innovatie</w:t>
      </w:r>
      <w:bookmarkEnd w:id="89"/>
    </w:p>
    <w:p w:rsidR="00A45935" w:rsidRPr="006B72BF" w:rsidRDefault="004E2151" w:rsidP="004E2151">
      <w:pPr>
        <w:pStyle w:val="HHeadingfigures"/>
        <w:numPr>
          <w:ilvl w:val="0"/>
          <w:numId w:val="0"/>
        </w:numPr>
        <w:ind w:left="964"/>
      </w:pPr>
      <w:bookmarkStart w:id="90" w:name="_Toc511656297"/>
      <w:r w:rsidRPr="004E2151">
        <w:rPr>
          <w:noProof/>
          <w:lang w:val="en-GB" w:eastAsia="en-GB"/>
        </w:rPr>
        <w:drawing>
          <wp:inline distT="0" distB="0" distL="0" distR="0" wp14:anchorId="086F69AD" wp14:editId="3535C6E6">
            <wp:extent cx="5731510" cy="43091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309110"/>
                    </a:xfrm>
                    <a:prstGeom prst="rect">
                      <a:avLst/>
                    </a:prstGeom>
                    <a:noFill/>
                    <a:ln>
                      <a:noFill/>
                    </a:ln>
                  </pic:spPr>
                </pic:pic>
              </a:graphicData>
            </a:graphic>
          </wp:inline>
        </w:drawing>
      </w:r>
      <w:bookmarkEnd w:id="90"/>
    </w:p>
    <w:p w:rsidR="00A45935" w:rsidRPr="00E05D08" w:rsidRDefault="00A45935" w:rsidP="00E05D08">
      <w:pPr>
        <w:spacing w:after="120" w:line="280" w:lineRule="atLeast"/>
        <w:mirrorIndents/>
        <w:jc w:val="center"/>
        <w:rPr>
          <w:rFonts w:eastAsia="Times New Roman" w:cs="Times New Roman"/>
          <w:szCs w:val="20"/>
          <w:lang w:eastAsia="de-DE"/>
        </w:rPr>
      </w:pPr>
    </w:p>
    <w:p w:rsidR="001744D0" w:rsidRDefault="00A45935" w:rsidP="001744D0">
      <w:pPr>
        <w:suppressAutoHyphens/>
        <w:spacing w:before="60" w:after="140" w:line="240" w:lineRule="auto"/>
        <w:ind w:right="1134"/>
        <w:mirrorIndents/>
        <w:jc w:val="center"/>
        <w:rPr>
          <w:rFonts w:eastAsia="Times New Roman" w:cs="Times New Roman"/>
          <w:i/>
          <w:sz w:val="16"/>
          <w:szCs w:val="20"/>
        </w:rPr>
      </w:pPr>
      <w:r>
        <w:rPr>
          <w:i/>
          <w:sz w:val="16"/>
          <w:szCs w:val="20"/>
        </w:rPr>
        <w:t>Bron: Europese evaluatiehelpdesk voor plattelandsontwikkeling, 2017</w:t>
      </w:r>
    </w:p>
    <w:p w:rsidR="00A45935" w:rsidRPr="00E05D08" w:rsidRDefault="00A45935" w:rsidP="001744D0">
      <w:r>
        <w:t>Deze richtsnoeren concentreren zich dan ook op de vraag hoe evaluatie van innovatie vanaf 2019 moet worden benaderd.</w:t>
      </w:r>
    </w:p>
    <w:p w:rsidR="00A45935" w:rsidRDefault="008A7A63" w:rsidP="00804433">
      <w:pPr>
        <w:spacing w:after="120" w:line="280" w:lineRule="atLeast"/>
        <w:mirrorIndents/>
        <w:rPr>
          <w:rFonts w:eastAsia="Times New Roman" w:cs="Times New Roman"/>
          <w:szCs w:val="20"/>
        </w:rPr>
      </w:pPr>
      <w:r>
        <w:rPr>
          <w:noProof/>
          <w:lang w:val="en-GB" w:eastAsia="en-GB"/>
        </w:rPr>
        <w:lastRenderedPageBreak/>
        <mc:AlternateContent>
          <mc:Choice Requires="wps">
            <w:drawing>
              <wp:anchor distT="180340" distB="0" distL="114300" distR="114300" simplePos="0" relativeHeight="251649024" behindDoc="0" locked="0" layoutInCell="1" allowOverlap="1" wp14:anchorId="6B1C301B" wp14:editId="336E71BF">
                <wp:simplePos x="0" y="0"/>
                <wp:positionH relativeFrom="page">
                  <wp:posOffset>866775</wp:posOffset>
                </wp:positionH>
                <wp:positionV relativeFrom="page">
                  <wp:posOffset>704849</wp:posOffset>
                </wp:positionV>
                <wp:extent cx="5826760" cy="3038475"/>
                <wp:effectExtent l="0" t="0" r="21590" b="28575"/>
                <wp:wrapTopAndBottom/>
                <wp:docPr id="61" name="Rectangle: Diagonal Corners Rounded 61"/>
                <wp:cNvGraphicFramePr/>
                <a:graphic xmlns:a="http://schemas.openxmlformats.org/drawingml/2006/main">
                  <a:graphicData uri="http://schemas.microsoft.com/office/word/2010/wordprocessingShape">
                    <wps:wsp>
                      <wps:cNvSpPr/>
                      <wps:spPr>
                        <a:xfrm>
                          <a:off x="0" y="0"/>
                          <a:ext cx="5826760" cy="3038475"/>
                        </a:xfrm>
                        <a:prstGeom prst="round2DiagRect">
                          <a:avLst>
                            <a:gd name="adj1" fmla="val 8810"/>
                            <a:gd name="adj2" fmla="val 0"/>
                          </a:avLst>
                        </a:prstGeom>
                        <a:noFill/>
                        <a:ln w="25400" cap="flat" cmpd="sng" algn="ctr">
                          <a:solidFill>
                            <a:srgbClr val="F07E31"/>
                          </a:solidFill>
                          <a:prstDash val="solid"/>
                        </a:ln>
                        <a:effectLst/>
                      </wps:spPr>
                      <wps:txbx>
                        <w:txbxContent>
                          <w:p w:rsidR="00891EED" w:rsidRPr="00E05D08" w:rsidRDefault="00891EED" w:rsidP="00E05D08">
                            <w:pPr>
                              <w:pStyle w:val="HStandard"/>
                              <w:rPr>
                                <w:b/>
                                <w:color w:val="F07E31"/>
                                <w:sz w:val="18"/>
                                <w:szCs w:val="18"/>
                              </w:rPr>
                            </w:pPr>
                            <w:r>
                              <w:rPr>
                                <w:noProof/>
                                <w:lang w:val="en-GB" w:eastAsia="en-GB"/>
                              </w:rPr>
                              <w:drawing>
                                <wp:inline distT="0" distB="0" distL="0" distR="0" wp14:anchorId="1A08A66B" wp14:editId="58E50F37">
                                  <wp:extent cx="353060" cy="359410"/>
                                  <wp:effectExtent l="0" t="0" r="8890" b="2540"/>
                                  <wp:docPr id="4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Voorbeeld: De doorlopende evaluatie van het EIP-AGRI in Zweden</w:t>
                            </w:r>
                          </w:p>
                          <w:p w:rsidR="00891EED" w:rsidRPr="00275EE5" w:rsidRDefault="00891EED" w:rsidP="00E05D08">
                            <w:pPr>
                              <w:pStyle w:val="HBox"/>
                            </w:pPr>
                            <w:r>
                              <w:rPr>
                                <w:bCs/>
                                <w14:textFill>
                                  <w14:solidFill>
                                    <w14:srgbClr w14:val="373737">
                                      <w14:lumMod w14:val="75000"/>
                                    </w14:srgbClr>
                                  </w14:solidFill>
                                </w14:textFill>
                              </w:rPr>
                              <w:t>In Zweden wordt de evaluatie van innovatie uitgevoerd als onderdeel van de POP-evaluatie en bestaat ze uit een kwantitatieve en een kwalitatieve component. Beide componenten worden beheerd door het evaluatiesecretariaat</w:t>
                            </w:r>
                            <w:r>
                              <w:rPr>
                                <w:bCs/>
                                <w:vertAlign w:val="superscript"/>
                                <w14:textFill>
                                  <w14:solidFill>
                                    <w14:srgbClr w14:val="373737">
                                      <w14:lumMod w14:val="75000"/>
                                    </w14:srgbClr>
                                  </w14:solidFill>
                                </w14:textFill>
                              </w:rPr>
                              <w:t>38</w:t>
                            </w:r>
                            <w:r>
                              <w:rPr>
                                <w:bCs/>
                                <w14:textFill>
                                  <w14:solidFill>
                                    <w14:srgbClr w14:val="373737">
                                      <w14:lumMod w14:val="75000"/>
                                    </w14:srgbClr>
                                  </w14:solidFill>
                                </w14:textFill>
                              </w:rPr>
                              <w:t xml:space="preserve">. </w:t>
                            </w:r>
                            <w:r>
                              <w:rPr>
                                <w:color w:val="292929"/>
                              </w:rPr>
                              <w:t>De kwantitatieve evaluatie zal naar verwachting alleen bevindingen opleveren voor het in 2019 in te dienen JUV en de evaluatie achteraf</w:t>
                            </w:r>
                            <w:r>
                              <w:t>.</w:t>
                            </w:r>
                            <w:r>
                              <w:rPr>
                                <w:bCs/>
                                <w14:textFill>
                                  <w14:solidFill>
                                    <w14:srgbClr w14:val="373737">
                                      <w14:lumMod w14:val="75000"/>
                                    </w14:srgbClr>
                                  </w14:solidFill>
                                </w14:textFill>
                              </w:rPr>
                              <w:t xml:space="preserve"> Voor een kwantitatieve beoordeling in 2017 waren er nog te weinig maatregelen in verband met innovatie ingevoerd. De kwalitatieve evaluatie is bedoeld als een doorlopende vormende evaluatie en is gericht op de implementatie van het EIP-AGRI. De evaluatie wordt uitgevoerd door een actie-onderzoeksteam van de universiteit van Umeå. Deze doorlopende evaluatie is bedoeld om voortdurende feedback en aanbevelingen te kunnen geven voor het beheer en de implementatie van het EIP-AGRI (POP M16). Bevindingen worden verwacht gedurende de hele programmeringsperiode, alsook voor het in 2017 ingediende en in 2019 in te dienen JUV en de evaluatie achteraf</w:t>
                            </w:r>
                            <w:r>
                              <w:t>.</w:t>
                            </w:r>
                            <w:r>
                              <w:rPr>
                                <w:bCs/>
                                <w14:textFill>
                                  <w14:solidFill>
                                    <w14:srgbClr w14:val="373737">
                                      <w14:lumMod w14:val="75000"/>
                                    </w14:srgbClr>
                                  </w14:solidFill>
                                </w14:textFill>
                              </w:rPr>
                              <w:t xml:space="preserve"> Beide evaluatiecomponenten worden beoordeeld door onafhankelijke beoordelaars, die in overeenstemming met de wetgeving inzake overheidsopdrachten via een aanbestedingsprocedure worden geselecteerd.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C301B" id="Rectangle: Diagonal Corners Rounded 61" o:spid="_x0000_s1036" style="position:absolute;left:0;text-align:left;margin-left:68.25pt;margin-top:55.5pt;width:458.8pt;height:239.25pt;z-index:251649024;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margin;mso-height-relative:margin;v-text-anchor:middle" coordsize="5826760,3038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" adj="-11796480,,5400" path="m267690,l5826760,r,l5826760,2770785v,147841,-119849,267690,-267690,267690l,3038475r,l,267690c,119849,119849,,267690,xe" filled="f" strokecolor="#f07e31" strokeweight="2pt">
                <v:stroke joinstyle="miter"/>
                <v:formulas/>
                <v:path arrowok="t" o:connecttype="custom" o:connectlocs="267690,0;5826760,0;5826760,0;5826760,2770785;5559070,3038475;0,3038475;0,3038475;0,267690;267690,0" o:connectangles="0,0,0,0,0,0,0,0,0" textboxrect="0,0,5826760,3038475"/>
                <v:textbox>
                  <w:txbxContent>
                    <w:p w:rsidR="00891EED" w:rsidRPr="00E05D08" w:rsidRDefault="00891EED" w:rsidP="00E05D08">
                      <w:pPr>
                        <w:pStyle w:val="HStandard"/>
                        <w:rPr>
                          <w:b/>
                          <w:color w:val="F07E31"/>
                          <w:sz w:val="18"/>
                          <w:szCs w:val="18"/>
                        </w:rPr>
                      </w:pPr>
                      <w:r>
                        <w:rPr>
                          <w:noProof/>
                          <w:lang w:val="en-GB" w:eastAsia="en-GB"/>
                        </w:rPr>
                        <w:drawing>
                          <wp:inline distT="0" distB="0" distL="0" distR="0" wp14:anchorId="1A08A66B" wp14:editId="58E50F37">
                            <wp:extent cx="353060" cy="359410"/>
                            <wp:effectExtent l="0" t="0" r="8890" b="2540"/>
                            <wp:docPr id="4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Voorbeeld: De doorlopende evaluatie van het EIP-AGRI in Zweden</w:t>
                      </w:r>
                    </w:p>
                    <w:p w:rsidR="00891EED" w:rsidRPr="00275EE5" w:rsidRDefault="00891EED" w:rsidP="00E05D08">
                      <w:pPr>
                        <w:pStyle w:val="HBox"/>
                      </w:pPr>
                      <w:r>
                        <w:rPr>
                          <w:bCs/>
                          <w14:textFill>
                            <w14:solidFill>
                              <w14:srgbClr w14:val="373737">
                                <w14:lumMod w14:val="75000"/>
                              </w14:srgbClr>
                            </w14:solidFill>
                          </w14:textFill>
                        </w:rPr>
                        <w:t>In Zweden wordt de evaluatie van innovatie uitgevoerd als onderdeel van de POP-evaluatie en bestaat ze uit een kwantitatieve en een kwalitatieve component. Beide componenten worden beheerd door het evaluatiesecretariaat</w:t>
                      </w:r>
                      <w:r>
                        <w:rPr>
                          <w:bCs/>
                          <w:vertAlign w:val="superscript"/>
                          <w14:textFill>
                            <w14:solidFill>
                              <w14:srgbClr w14:val="373737">
                                <w14:lumMod w14:val="75000"/>
                              </w14:srgbClr>
                            </w14:solidFill>
                          </w14:textFill>
                        </w:rPr>
                        <w:t>38</w:t>
                      </w:r>
                      <w:r>
                        <w:rPr>
                          <w:bCs/>
                          <w14:textFill>
                            <w14:solidFill>
                              <w14:srgbClr w14:val="373737">
                                <w14:lumMod w14:val="75000"/>
                              </w14:srgbClr>
                            </w14:solidFill>
                          </w14:textFill>
                        </w:rPr>
                        <w:t xml:space="preserve">. </w:t>
                      </w:r>
                      <w:r>
                        <w:rPr>
                          <w:color w:val="292929"/>
                        </w:rPr>
                        <w:t>De kwantitatieve evaluatie zal naar verwachting alleen bevindingen opleveren voor het in 2019 in te dienen JUV en de evaluatie achteraf</w:t>
                      </w:r>
                      <w:r>
                        <w:t>.</w:t>
                      </w:r>
                      <w:r>
                        <w:rPr>
                          <w:bCs/>
                          <w14:textFill>
                            <w14:solidFill>
                              <w14:srgbClr w14:val="373737">
                                <w14:lumMod w14:val="75000"/>
                              </w14:srgbClr>
                            </w14:solidFill>
                          </w14:textFill>
                        </w:rPr>
                        <w:t xml:space="preserve"> Voor een kwantitatieve beoordeling in 2017 waren er nog te weinig maatregelen in verband met innovatie ingevoerd. De kwalitatieve evaluatie is bedoeld als een doorlopende vormende evaluatie en is gericht op de implementatie van het EIP-AGRI. De evaluatie wordt uitgevoerd door een actie-onderzoeksteam van de universiteit van Umeå. Deze doorlopende evaluatie is bedoeld om voortdurende feedback en aanbevelingen te kunnen geven voor het beheer en de implementatie van het EIP-AGRI (POP M16). Bevindingen worden verwacht gedurende de hele programmeringsperiode, alsook voor het in 2017 ingediende en in 2019 in te dienen JUV en de evaluatie achteraf</w:t>
                      </w:r>
                      <w:r>
                        <w:t>.</w:t>
                      </w:r>
                      <w:r>
                        <w:rPr>
                          <w:bCs/>
                          <w14:textFill>
                            <w14:solidFill>
                              <w14:srgbClr w14:val="373737">
                                <w14:lumMod w14:val="75000"/>
                              </w14:srgbClr>
                            </w14:solidFill>
                          </w14:textFill>
                        </w:rPr>
                        <w:t xml:space="preserve"> Beide evaluatiecomponenten worden beoordeeld door onafhankelijke beoordelaars, die in overeenstemming met de wetgeving inzake overheidsopdrachten via een aanbestedingsprocedure worden geselecteerd.</w:t>
                      </w:r>
                    </w:p>
                  </w:txbxContent>
                </v:textbox>
                <w10:wrap type="topAndBottom" anchorx="page" anchory="page"/>
              </v:shape>
            </w:pict>
          </mc:Fallback>
        </mc:AlternateContent>
      </w:r>
      <w:r w:rsidR="00A45935">
        <w:rPr>
          <w:b/>
          <w:szCs w:val="20"/>
        </w:rPr>
        <w:t>Andere vormen van rapportage</w:t>
      </w:r>
      <w:r w:rsidR="00A45935">
        <w:t>, behalve die welke voor het EU-niveau bedoeld zijn, kunnen door de beheersautoriteit worden gebruikt om innovatieactoren, belanghebbenden van plattelandsontwikkeling en het bredere publiek te informeren over de POP-evaluatiebevindingen (zie ook andere richtsnoeren</w:t>
      </w:r>
      <w:r w:rsidR="00A45935">
        <w:rPr>
          <w:rFonts w:eastAsia="Times New Roman" w:cs="Times New Roman"/>
          <w:szCs w:val="20"/>
          <w:vertAlign w:val="superscript"/>
          <w:lang w:eastAsia="de-DE"/>
        </w:rPr>
        <w:footnoteReference w:id="37"/>
      </w:r>
      <w:r w:rsidR="00A45935">
        <w:t xml:space="preserve">). Eventueel kunnen sommige lidstaten ook besluiten een eigenmachtige evaluatie van innovatie uit te voeren en specifieke evaluatieverslagen uit te werken.  </w:t>
      </w:r>
    </w:p>
    <w:p w:rsidR="00583AC8" w:rsidRDefault="00583AC8" w:rsidP="00804433">
      <w:pPr>
        <w:spacing w:after="120" w:line="280" w:lineRule="atLeast"/>
        <w:mirrorIndents/>
        <w:rPr>
          <w:rFonts w:eastAsia="Times New Roman" w:cs="Times New Roman"/>
          <w:b/>
          <w:szCs w:val="20"/>
        </w:rPr>
      </w:pPr>
      <w:r>
        <w:rPr>
          <w:rStyle w:val="FootnoteReference"/>
          <w:rFonts w:eastAsia="Times New Roman" w:cs="Times New Roman"/>
          <w:color w:val="FFFFFF" w:themeColor="background1"/>
          <w:szCs w:val="20"/>
          <w:lang w:eastAsia="de-DE"/>
        </w:rPr>
        <w:footnoteReference w:id="38"/>
      </w:r>
    </w:p>
    <w:p w:rsidR="00A45935" w:rsidRPr="00E05D08" w:rsidRDefault="00626C0C" w:rsidP="00804433">
      <w:pPr>
        <w:spacing w:after="120" w:line="280" w:lineRule="atLeast"/>
        <w:mirrorIndents/>
        <w:rPr>
          <w:rFonts w:eastAsia="Times New Roman" w:cs="Times New Roman"/>
          <w:szCs w:val="20"/>
        </w:rPr>
      </w:pPr>
      <w:r>
        <w:rPr>
          <w:b/>
          <w:szCs w:val="20"/>
        </w:rPr>
        <w:t>Het rechtskader vereist dat alle relevante innovatiegerelateerde evaluatievragen worden beantwoord</w:t>
      </w:r>
      <w:r>
        <w:rPr>
          <w:rFonts w:eastAsia="Times New Roman" w:cs="Times New Roman"/>
          <w:szCs w:val="20"/>
          <w:vertAlign w:val="superscript"/>
          <w:lang w:eastAsia="de-DE"/>
        </w:rPr>
        <w:footnoteReference w:id="39"/>
      </w:r>
      <w:r>
        <w:t xml:space="preserve"> door de relevante gemeenschappelijke indicatoren te beoordelen</w:t>
      </w:r>
      <w:r>
        <w:rPr>
          <w:rFonts w:eastAsia="Times New Roman" w:cs="Times New Roman"/>
          <w:szCs w:val="20"/>
          <w:vertAlign w:val="superscript"/>
          <w:lang w:eastAsia="de-DE"/>
        </w:rPr>
        <w:footnoteReference w:id="40"/>
      </w:r>
      <w:r>
        <w:t xml:space="preserve"> en door de resultaten van het plattelandsbeleid van de EU voor innovatiebevordering te registreren. </w:t>
      </w:r>
    </w:p>
    <w:p w:rsidR="00576A73" w:rsidRDefault="00A45935" w:rsidP="00576A73">
      <w:pPr>
        <w:spacing w:after="120" w:line="280" w:lineRule="atLeast"/>
        <w:mirrorIndents/>
        <w:rPr>
          <w:rFonts w:eastAsia="Times New Roman" w:cs="Times New Roman"/>
          <w:szCs w:val="20"/>
        </w:rPr>
      </w:pPr>
      <w:r>
        <w:t>De volgende niet-bindende werkstappen worden voorgesteld:</w:t>
      </w:r>
    </w:p>
    <w:p w:rsidR="00A45935" w:rsidRPr="00E05D08" w:rsidRDefault="00A45935" w:rsidP="00B421B9">
      <w:pPr>
        <w:pStyle w:val="HHeading4"/>
        <w:rPr>
          <w:rFonts w:eastAsia="Calibri"/>
          <w:shd w:val="clear" w:color="auto" w:fill="FFFFFF"/>
        </w:rPr>
      </w:pPr>
      <w:r>
        <w:rPr>
          <w:shd w:val="clear" w:color="auto" w:fill="FFFFFF"/>
        </w:rPr>
        <w:t>Het innovatiepotentieel van POP-maatregelen/-submaatregelen screenen (aanbevolen)</w:t>
      </w:r>
    </w:p>
    <w:p w:rsidR="00A45935" w:rsidRPr="00E05D08" w:rsidRDefault="00A45935" w:rsidP="00E05D08">
      <w:pPr>
        <w:spacing w:after="120" w:line="280" w:lineRule="atLeast"/>
        <w:mirrorIndents/>
        <w:rPr>
          <w:rFonts w:eastAsia="Times New Roman" w:cs="Times New Roman"/>
          <w:szCs w:val="20"/>
        </w:rPr>
      </w:pPr>
      <w:r>
        <w:t xml:space="preserve">Voordat de evaluatieactiviteiten ter beantwoording van de innovatiegerelateerde evaluatie beginnen, willen de beheersautoriteiten en/of evaluatiedeskundigen mogelijk het innovatiepotentieel van de POP-maatregelen/-submaatregelen screenen (blauwe gebied in figuur 6). Deze stap helpt de beoordelaar en beheersautoriteit te begrijpen hoe elke maatregel/submaatregel kan bijdragen aan de verwezenlijking van innovatiegerelateerde POP-doelstellingen (zie </w:t>
      </w:r>
      <w:hyperlink w:anchor="Screening_Potential" w:history="1">
        <w:r>
          <w:rPr>
            <w:rStyle w:val="Hyperlink"/>
            <w:sz w:val="20"/>
            <w:szCs w:val="20"/>
          </w:rPr>
          <w:t>paragraaf 2.2</w:t>
        </w:r>
      </w:hyperlink>
      <w:r>
        <w:t>).</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De gemeenschappelijke evaluatie-elementen voor innovatie aanvullen (aanbevolen)</w:t>
      </w:r>
    </w:p>
    <w:p w:rsidR="00A45935" w:rsidRPr="00E05D08" w:rsidRDefault="00A45935" w:rsidP="00E05D08">
      <w:pPr>
        <w:spacing w:after="120" w:line="280" w:lineRule="atLeast"/>
        <w:mirrorIndents/>
        <w:rPr>
          <w:rFonts w:eastAsia="Times New Roman" w:cs="Times New Roman"/>
          <w:szCs w:val="20"/>
        </w:rPr>
      </w:pPr>
      <w:r>
        <w:t>Het GMES verschaft fundamentele evaluatie-elementen ter beantwoording van de innovatiegerelateerde gemeenschappelijke evaluatievragen. Als gemeenschappelijke beoordelingselementen (beoordelingscriteria</w:t>
      </w:r>
      <w:r>
        <w:rPr>
          <w:rFonts w:eastAsia="Times New Roman" w:cs="Times New Roman"/>
          <w:szCs w:val="20"/>
          <w:vertAlign w:val="superscript"/>
          <w:lang w:eastAsia="de-DE"/>
        </w:rPr>
        <w:footnoteReference w:id="41"/>
      </w:r>
      <w:r>
        <w:t xml:space="preserve"> en gemeenschappelijke indicatoren</w:t>
      </w:r>
      <w:r>
        <w:rPr>
          <w:rFonts w:eastAsia="Times New Roman" w:cs="Times New Roman"/>
          <w:szCs w:val="20"/>
          <w:vertAlign w:val="superscript"/>
          <w:lang w:eastAsia="de-DE"/>
        </w:rPr>
        <w:footnoteReference w:id="42"/>
      </w:r>
      <w:r>
        <w:t xml:space="preserve">) niet volstaan om alle verwachte effecten te meten, kunnen de ontbrekende elementen (bv. evaluatiesubvragen, </w:t>
      </w:r>
      <w:r>
        <w:lastRenderedPageBreak/>
        <w:t>aanvullende beoordelingscriteria</w:t>
      </w:r>
      <w:r>
        <w:rPr>
          <w:rFonts w:eastAsia="Times New Roman" w:cs="Times New Roman"/>
          <w:szCs w:val="20"/>
          <w:vertAlign w:val="superscript"/>
          <w:lang w:eastAsia="de-DE"/>
        </w:rPr>
        <w:footnoteReference w:id="43"/>
      </w:r>
      <w:r>
        <w:t xml:space="preserve"> en aanvullende kwantitatieve en kwalitatieve indicatoren</w:t>
      </w:r>
      <w:r>
        <w:rPr>
          <w:rFonts w:eastAsia="Times New Roman" w:cs="Times New Roman"/>
          <w:szCs w:val="20"/>
          <w:vertAlign w:val="superscript"/>
          <w:lang w:eastAsia="de-DE"/>
        </w:rPr>
        <w:footnoteReference w:id="44"/>
      </w:r>
      <w:r>
        <w:t xml:space="preserve">) door de beheersautoriteiten worden uitgewerkt, idealiter in samenwerking met de evaluatiedeskundigen (groene delen in figuur 6), (zie </w:t>
      </w:r>
      <w:hyperlink w:anchor="Complementing" w:history="1">
        <w:r>
          <w:rPr>
            <w:rStyle w:val="Hyperlink"/>
            <w:sz w:val="20"/>
            <w:szCs w:val="20"/>
          </w:rPr>
          <w:t>paragraaf 2.3</w:t>
        </w:r>
      </w:hyperlink>
      <w:r>
        <w:t>).</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De relevante gemeenschappelijke evaluatievragen beantwoorden (verplicht)</w:t>
      </w:r>
    </w:p>
    <w:p w:rsidR="00A45935" w:rsidRPr="00E05D08" w:rsidRDefault="00A45935" w:rsidP="00E05D08">
      <w:pPr>
        <w:spacing w:after="120" w:line="280" w:lineRule="atLeast"/>
        <w:mirrorIndents/>
        <w:rPr>
          <w:rFonts w:eastAsia="Times New Roman" w:cs="Times New Roman"/>
          <w:szCs w:val="20"/>
        </w:rPr>
      </w:pPr>
      <w:r>
        <w:t xml:space="preserve">De POP-beoordelaars evalueren de POP-resultaten op het gebied van innovatiebevordering en de bijdragen van het POP aan de nationale/regionale en Europese beleidsdoelstellingen voor plattelandsontwikkeling. Ze gebruiken de evaluatiebevindingen om antwoorden op gemeenschappelijke, aanvullende en programmaspecifieke evaluatievragen te formuleren (oranje delen in figuur 6). Om de innovatiegerelateerde evaluatievragen te beantwoorden is een specifieke benadering vereist (zie </w:t>
      </w:r>
      <w:hyperlink w:anchor="Answering" w:history="1">
        <w:r>
          <w:rPr>
            <w:rStyle w:val="Hyperlink"/>
            <w:sz w:val="20"/>
            <w:szCs w:val="20"/>
          </w:rPr>
          <w:t>paragraaf 2.4</w:t>
        </w:r>
      </w:hyperlink>
      <w:r>
        <w:t>).</w:t>
      </w:r>
    </w:p>
    <w:p w:rsidR="00A45935" w:rsidRPr="00EC5172" w:rsidRDefault="00626C0C" w:rsidP="00B421B9">
      <w:pPr>
        <w:pStyle w:val="HHeadingfigures"/>
      </w:pPr>
      <w:bookmarkStart w:id="91" w:name="_Toc511656298"/>
      <w:r>
        <w:t>Benadering voor de evaluatie van innovatie in POP's</w:t>
      </w:r>
      <w:bookmarkEnd w:id="91"/>
    </w:p>
    <w:p w:rsidR="00A45935" w:rsidRPr="00E05D08" w:rsidRDefault="00367362" w:rsidP="00E05D08">
      <w:pPr>
        <w:spacing w:after="120" w:line="280" w:lineRule="atLeast"/>
        <w:mirrorIndents/>
        <w:jc w:val="center"/>
        <w:rPr>
          <w:rFonts w:eastAsia="Times New Roman" w:cs="Times New Roman"/>
          <w:szCs w:val="20"/>
          <w:lang w:eastAsia="de-DE"/>
        </w:rPr>
      </w:pPr>
      <w:r w:rsidRPr="00367362">
        <w:rPr>
          <w:noProof/>
          <w:lang w:val="en-GB" w:eastAsia="en-GB"/>
        </w:rPr>
        <w:drawing>
          <wp:inline distT="0" distB="0" distL="0" distR="0" wp14:anchorId="2F0E827B" wp14:editId="5AB07735">
            <wp:extent cx="5731510" cy="334073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340735"/>
                    </a:xfrm>
                    <a:prstGeom prst="rect">
                      <a:avLst/>
                    </a:prstGeom>
                    <a:noFill/>
                    <a:ln>
                      <a:noFill/>
                    </a:ln>
                  </pic:spPr>
                </pic:pic>
              </a:graphicData>
            </a:graphic>
          </wp:inline>
        </w:drawing>
      </w:r>
    </w:p>
    <w:p w:rsidR="00A45935" w:rsidRPr="00B421B9" w:rsidRDefault="00A45935" w:rsidP="00B421B9">
      <w:pPr>
        <w:suppressAutoHyphens/>
        <w:spacing w:before="60" w:after="140" w:line="240" w:lineRule="auto"/>
        <w:ind w:left="1134" w:right="1134"/>
        <w:mirrorIndents/>
        <w:jc w:val="center"/>
        <w:rPr>
          <w:rFonts w:eastAsia="Times New Roman" w:cs="Times New Roman"/>
          <w:i/>
          <w:sz w:val="16"/>
          <w:szCs w:val="20"/>
        </w:rPr>
        <w:sectPr w:rsidR="00A45935" w:rsidRPr="00B421B9" w:rsidSect="00055039">
          <w:endnotePr>
            <w:numFmt w:val="decimal"/>
          </w:endnotePr>
          <w:type w:val="continuous"/>
          <w:pgSz w:w="11906" w:h="16838" w:code="9"/>
          <w:pgMar w:top="1440" w:right="1440" w:bottom="1134" w:left="1440" w:header="567" w:footer="1021" w:gutter="0"/>
          <w:cols w:space="708"/>
          <w:noEndnote/>
          <w:docGrid w:linePitch="360"/>
        </w:sectPr>
      </w:pPr>
      <w:r>
        <w:rPr>
          <w:i/>
          <w:sz w:val="16"/>
          <w:szCs w:val="20"/>
        </w:rPr>
        <w:t>Bron: Europese evaluatiehelpdesk voor plattelandsontwikkeling, 2017</w:t>
      </w:r>
      <w:bookmarkStart w:id="92" w:name="_Toc493151902"/>
      <w:bookmarkStart w:id="93" w:name="_Toc501382128"/>
    </w:p>
    <w:p w:rsidR="00A45935" w:rsidRPr="002271D9" w:rsidRDefault="00A45935" w:rsidP="00B421B9">
      <w:pPr>
        <w:pStyle w:val="HHeading2"/>
        <w:numPr>
          <w:ilvl w:val="1"/>
          <w:numId w:val="119"/>
        </w:numPr>
        <w:ind w:left="567" w:hanging="567"/>
      </w:pPr>
      <w:bookmarkStart w:id="94" w:name="Screening_Potential"/>
      <w:bookmarkStart w:id="95" w:name="_Toc511656271"/>
      <w:bookmarkEnd w:id="94"/>
      <w:r>
        <w:lastRenderedPageBreak/>
        <w:t>Het innovatiepotentieel van POP-maatregelen/-submaatregelen screenen (aanbevolen)</w:t>
      </w:r>
      <w:bookmarkEnd w:id="92"/>
      <w:bookmarkEnd w:id="93"/>
      <w:bookmarkEnd w:id="95"/>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Waarom moeten we POP-maatregelen screenen op innovatiepotentieel? </w:t>
      </w:r>
    </w:p>
    <w:p w:rsidR="00C64B64" w:rsidRPr="00E05D08" w:rsidRDefault="00A45935" w:rsidP="00E05D08">
      <w:pPr>
        <w:spacing w:after="120" w:line="280" w:lineRule="atLeast"/>
        <w:mirrorIndents/>
        <w:rPr>
          <w:rFonts w:eastAsia="Times New Roman" w:cs="Times New Roman"/>
          <w:szCs w:val="20"/>
        </w:rPr>
      </w:pPr>
      <w:r>
        <w:t xml:space="preserve">In het kader van de AG's genieten beheersautoriteiten een aanzienlijke vrijheid om verschillende plattelandsontwikkelingsmaatregelen te combineren en bedenken, wat leidt tot zeer uiteenlopende POP-benaderingen van innovatie. Screenen van de selectie en combinatie van maatregelen/submaatregelen in het POP helpt om de specifieke innovatiebenadering en het innovatiepotentieel van het POP beter te begrijpen. Dit is een nuttige basis voor beantwoording van innovatiegerelateerde gemeenschappelijke evaluatievragen, vooral in de latere fasen van de evaluatie (bv. JUV in 2019 of evaluatie achteraf), wanneer het mogelijk wordt om de effecten van het POP op de innovatieprocessen te meten. </w:t>
      </w:r>
    </w:p>
    <w:p w:rsidR="00A45935" w:rsidRPr="00E05D08" w:rsidRDefault="00A45935" w:rsidP="00B421B9">
      <w:pPr>
        <w:pStyle w:val="HHeading4"/>
        <w:rPr>
          <w:rFonts w:eastAsia="Calibri"/>
          <w:shd w:val="clear" w:color="auto" w:fill="FFFFFF"/>
        </w:rPr>
      </w:pPr>
      <w:r>
        <w:rPr>
          <w:shd w:val="clear" w:color="auto" w:fill="FFFFFF"/>
        </w:rPr>
        <w:t xml:space="preserve">Wat is het innovatiepotentieel van POP-maatregelen/-submaatregelen? </w:t>
      </w:r>
    </w:p>
    <w:p w:rsidR="00A45935" w:rsidRPr="00E05D08" w:rsidRDefault="00A45935" w:rsidP="00E05D08">
      <w:pPr>
        <w:spacing w:after="120" w:line="280" w:lineRule="atLeast"/>
        <w:mirrorIndents/>
        <w:rPr>
          <w:rFonts w:eastAsia="Times New Roman" w:cs="Times New Roman"/>
          <w:szCs w:val="20"/>
        </w:rPr>
      </w:pPr>
      <w:r>
        <w:rPr>
          <w:b/>
          <w:szCs w:val="20"/>
        </w:rPr>
        <w:t>Het innovatiepotentieel van de POP-maatregelen/-submaatregelen</w:t>
      </w:r>
      <w:r>
        <w:t>, op zichzelf genomen of in combinatie met andere maatregelen/submaatregelen in het kader van de AG's, is te beschouwen als het vermogen om innovatie te bevorderen in een innovatiesysteem in plattelandsgebieden, door a) innovatieve ideeën te stimuleren, b) gezamenlijk innovatiecapaciteit op te bouwen en c) een faciliterende omgeving voor innovatie te scheppen.</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Wat zijn de werkstappen om het innovatiepotentieel van het POP vast te stellen? </w:t>
      </w:r>
    </w:p>
    <w:p w:rsidR="00A45935" w:rsidRPr="00E05D08" w:rsidRDefault="00A45935" w:rsidP="00E05D08">
      <w:pPr>
        <w:spacing w:after="120" w:line="280" w:lineRule="atLeast"/>
        <w:mirrorIndents/>
        <w:rPr>
          <w:rFonts w:eastAsia="Times New Roman" w:cs="Times New Roman"/>
          <w:szCs w:val="20"/>
        </w:rPr>
      </w:pPr>
      <w:r>
        <w:rPr>
          <w:b/>
          <w:szCs w:val="20"/>
        </w:rPr>
        <w:t>Bij het screenen van POP-maatregelen en -submaatregelen</w:t>
      </w:r>
      <w:r>
        <w:t xml:space="preserve"> wordt bekeken wat de maatregelen beogen om nieuwe ideeën te stimuleren, innovatiecapaciteit op te bouwen of een faciliterende omgeving voor innovatie te scheppen. De werkmethode kan een beoordeling door een deskundige behelzen of een beoordeling waaraan meerdere belangrijke POP-belanghebbenden deelnemen. Een dergelijke screening kan worden uitgevoerd door de voorgestelde kernvragen te beantwoorden (zie </w:t>
      </w:r>
      <w:hyperlink w:anchor="Steps_of_the_screenig" w:history="1">
        <w:r>
          <w:rPr>
            <w:rStyle w:val="Hyperlink"/>
            <w:sz w:val="20"/>
            <w:szCs w:val="20"/>
          </w:rPr>
          <w:t>figuur 7</w:t>
        </w:r>
      </w:hyperlink>
      <w:r>
        <w:t>).</w:t>
      </w:r>
    </w:p>
    <w:p w:rsidR="00A45935" w:rsidRPr="00F117CA" w:rsidRDefault="000A6795" w:rsidP="00B421B9">
      <w:pPr>
        <w:pStyle w:val="HHeadingfigures"/>
      </w:pPr>
      <w:bookmarkStart w:id="96" w:name="Steps_of_the_screenig"/>
      <w:bookmarkStart w:id="97" w:name="_Toc511656299"/>
      <w:bookmarkEnd w:id="96"/>
      <w:r w:rsidRPr="001E4A08">
        <w:rPr>
          <w:noProof/>
          <w:lang w:val="en-GB" w:eastAsia="en-GB"/>
        </w:rPr>
        <w:drawing>
          <wp:anchor distT="0" distB="0" distL="114300" distR="114300" simplePos="0" relativeHeight="251658752" behindDoc="0" locked="0" layoutInCell="1" allowOverlap="1" wp14:anchorId="3EDA13E1">
            <wp:simplePos x="0" y="0"/>
            <wp:positionH relativeFrom="column">
              <wp:posOffset>-95250</wp:posOffset>
            </wp:positionH>
            <wp:positionV relativeFrom="paragraph">
              <wp:posOffset>260350</wp:posOffset>
            </wp:positionV>
            <wp:extent cx="5731510" cy="2726690"/>
            <wp:effectExtent l="0" t="0" r="254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726690"/>
                    </a:xfrm>
                    <a:prstGeom prst="rect">
                      <a:avLst/>
                    </a:prstGeom>
                    <a:noFill/>
                    <a:ln>
                      <a:noFill/>
                    </a:ln>
                  </pic:spPr>
                </pic:pic>
              </a:graphicData>
            </a:graphic>
          </wp:anchor>
        </w:drawing>
      </w:r>
      <w:r w:rsidR="00626C0C">
        <w:t>Stappen om POP-maatregelen/-submaatregelen te screenen op innovatiepotentieel</w:t>
      </w:r>
      <w:bookmarkEnd w:id="97"/>
    </w:p>
    <w:p w:rsidR="00A45935" w:rsidRPr="00E05D08" w:rsidRDefault="00A45935" w:rsidP="00891EED">
      <w:pPr>
        <w:suppressAutoHyphens/>
        <w:spacing w:before="60" w:after="0" w:line="240" w:lineRule="auto"/>
        <w:ind w:left="1134" w:right="1134"/>
        <w:mirrorIndents/>
        <w:rPr>
          <w:rFonts w:eastAsia="Times New Roman" w:cs="Times New Roman"/>
          <w:i/>
          <w:sz w:val="16"/>
          <w:szCs w:val="20"/>
          <w:lang w:eastAsia="de-DE"/>
        </w:rPr>
      </w:pPr>
    </w:p>
    <w:p w:rsidR="00A45935" w:rsidRDefault="00A45935" w:rsidP="00E05D08">
      <w:pPr>
        <w:suppressAutoHyphens/>
        <w:spacing w:before="60" w:after="0" w:line="240" w:lineRule="auto"/>
        <w:ind w:left="1134" w:right="1134"/>
        <w:mirrorIndents/>
        <w:jc w:val="center"/>
        <w:rPr>
          <w:rFonts w:eastAsia="Times New Roman" w:cs="Times New Roman"/>
          <w:i/>
          <w:sz w:val="16"/>
          <w:szCs w:val="20"/>
        </w:rPr>
      </w:pPr>
      <w:r>
        <w:rPr>
          <w:i/>
          <w:sz w:val="16"/>
          <w:szCs w:val="20"/>
        </w:rPr>
        <w:t>Bron: Europese evaluatiehelpdesk voor plattelandsontwikkeling, 2017</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Wat moet er gescreend worden in het POP?</w:t>
      </w:r>
    </w:p>
    <w:p w:rsidR="00A45935" w:rsidRPr="00E05D08" w:rsidRDefault="007A450E" w:rsidP="00E05D08">
      <w:pPr>
        <w:spacing w:after="120" w:line="280" w:lineRule="atLeast"/>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665408" behindDoc="0" locked="0" layoutInCell="1" allowOverlap="1" wp14:anchorId="6C072999" wp14:editId="69D3BF60">
                <wp:simplePos x="0" y="0"/>
                <wp:positionH relativeFrom="column">
                  <wp:posOffset>3114675</wp:posOffset>
                </wp:positionH>
                <wp:positionV relativeFrom="paragraph">
                  <wp:posOffset>619125</wp:posOffset>
                </wp:positionV>
                <wp:extent cx="2640965" cy="3152775"/>
                <wp:effectExtent l="0" t="0" r="26035" b="28575"/>
                <wp:wrapSquare wrapText="bothSides"/>
                <wp:docPr id="64" name="Rectangle: Diagonal Corners Rounded 64"/>
                <wp:cNvGraphicFramePr/>
                <a:graphic xmlns:a="http://schemas.openxmlformats.org/drawingml/2006/main">
                  <a:graphicData uri="http://schemas.microsoft.com/office/word/2010/wordprocessingShape">
                    <wps:wsp>
                      <wps:cNvSpPr/>
                      <wps:spPr>
                        <a:xfrm>
                          <a:off x="0" y="0"/>
                          <a:ext cx="2640965" cy="3152775"/>
                        </a:xfrm>
                        <a:prstGeom prst="round2DiagRect">
                          <a:avLst>
                            <a:gd name="adj1" fmla="val 6437"/>
                            <a:gd name="adj2" fmla="val 0"/>
                          </a:avLst>
                        </a:prstGeom>
                        <a:noFill/>
                        <a:ln w="25400" cap="flat" cmpd="sng" algn="ctr">
                          <a:solidFill>
                            <a:srgbClr val="BE4A35"/>
                          </a:solidFill>
                          <a:prstDash val="solid"/>
                        </a:ln>
                        <a:effectLst/>
                      </wps:spPr>
                      <wps:txbx>
                        <w:txbxContent>
                          <w:p w:rsidR="00891EED" w:rsidRPr="00275EE5" w:rsidRDefault="00891EED" w:rsidP="00626C0C">
                            <w:pPr>
                              <w:pStyle w:val="Normal12PTcouleurgris"/>
                            </w:pPr>
                            <w:r>
                              <w:rPr>
                                <w:noProof/>
                                <w:lang w:val="en-GB" w:eastAsia="en-GB"/>
                              </w:rPr>
                              <w:drawing>
                                <wp:inline distT="0" distB="0" distL="0" distR="0" wp14:anchorId="0C775486" wp14:editId="58F23F57">
                                  <wp:extent cx="664845" cy="487680"/>
                                  <wp:effectExtent l="0" t="0" r="0" b="7620"/>
                                  <wp:docPr id="49"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Artikel 15 van Verordening (EU) nr. 1305/2013 wijst zeven elementen aan die in aanmerking moeten komen voor</w:t>
                            </w:r>
                            <w:r>
                              <w:rPr>
                                <w:color w:val="BE4A35"/>
                                <w:sz w:val="18"/>
                              </w:rPr>
                              <w:t xml:space="preserve"> </w:t>
                            </w:r>
                            <w:r>
                              <w:rPr>
                                <w:b/>
                                <w:color w:val="BE4A35"/>
                                <w:sz w:val="18"/>
                              </w:rPr>
                              <w:t>advies en adviesdiensten</w:t>
                            </w:r>
                            <w:r>
                              <w:rPr>
                                <w:sz w:val="18"/>
                                <w:vertAlign w:val="superscript"/>
                              </w:rPr>
                              <w:t>45</w:t>
                            </w:r>
                            <w:r>
                              <w:rPr>
                                <w:sz w:val="18"/>
                              </w:rPr>
                              <w:t>. In slechts één daarvan (punt 4c) wordt uitdrukkelijk melding gemaakt van innovatie. Er is geen eis of zekerheid dat andere soorten advies (bv. punt 4g - specifiek advies voor landbouwers die voor het eerst een bedrijf opstarten) innovatie bevorderen. Bijgevolg kan uit de analyse van het ontwerp van een maatregel in een specifiek POP blijken of de maatregel (of submaatregel indien van toepassing) relevant kan zijn om innovatie te bevorderen.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072999" id="Rectangle: Diagonal Corners Rounded 64" o:spid="_x0000_s1037" style="position:absolute;left:0;text-align:left;margin-left:245.25pt;margin-top:48.75pt;width:207.95pt;height:248.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40965,3152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" adj="-11796480,,5400" path="m169999,l2640965,r,l2640965,2982776v,93888,-76111,169999,-169999,169999l,3152775r,l,169999c,76111,76111,,169999,xe" filled="f" strokecolor="#be4a35" strokeweight="2pt">
                <v:stroke joinstyle="miter"/>
                <v:formulas/>
                <v:path arrowok="t" o:connecttype="custom" o:connectlocs="169999,0;2640965,0;2640965,0;2640965,2982776;2470966,3152775;0,3152775;0,3152775;0,169999;169999,0" o:connectangles="0,0,0,0,0,0,0,0,0" textboxrect="0,0,2640965,3152775"/>
                <v:textbox>
                  <w:txbxContent>
                    <w:p w:rsidR="00891EED" w:rsidRPr="00275EE5" w:rsidRDefault="00891EED" w:rsidP="00626C0C">
                      <w:pPr>
                        <w:pStyle w:val="Normal12PTcouleurgris"/>
                      </w:pPr>
                      <w:r>
                        <w:rPr>
                          <w:noProof/>
                          <w:lang w:val="en-GB" w:eastAsia="en-GB"/>
                        </w:rPr>
                        <w:drawing>
                          <wp:inline distT="0" distB="0" distL="0" distR="0" wp14:anchorId="0C775486" wp14:editId="58F23F57">
                            <wp:extent cx="664845" cy="487680"/>
                            <wp:effectExtent l="0" t="0" r="0" b="7620"/>
                            <wp:docPr id="49"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Artikel 15 van Verordening (EU) nr. 1305/2013 wijst zeven elementen aan die in aanmerking moeten komen voor</w:t>
                      </w:r>
                      <w:r>
                        <w:rPr>
                          <w:color w:val="BE4A35"/>
                          <w:sz w:val="18"/>
                        </w:rPr>
                        <w:t xml:space="preserve"> </w:t>
                      </w:r>
                      <w:r>
                        <w:rPr>
                          <w:b/>
                          <w:color w:val="BE4A35"/>
                          <w:sz w:val="18"/>
                        </w:rPr>
                        <w:t>advies en adviesdiensten</w:t>
                      </w:r>
                      <w:r>
                        <w:rPr>
                          <w:sz w:val="18"/>
                          <w:vertAlign w:val="superscript"/>
                        </w:rPr>
                        <w:t>45</w:t>
                      </w:r>
                      <w:r>
                        <w:rPr>
                          <w:sz w:val="18"/>
                        </w:rPr>
                        <w:t>. In slechts één daarvan (punt 4c) wordt uitdrukkelijk melding gemaakt van innovatie. Er is geen eis of zekerheid dat andere soorten advies (bv. punt 4g - specifiek advies voor landbouwers die voor het eerst een bedrijf opstarten) innovatie bevorderen. Bijgevolg kan uit de analyse van het ontwerp van een maatregel in een specifiek POP blijken of de maatregel (of submaatregel indien van toepassing) relevant kan zijn om innovatie te bevorderen.</w:t>
                      </w:r>
                    </w:p>
                  </w:txbxContent>
                </v:textbox>
                <w10:wrap type="square"/>
              </v:shape>
            </w:pict>
          </mc:Fallback>
        </mc:AlternateContent>
      </w:r>
      <w:r>
        <w:rPr>
          <w:b/>
          <w:szCs w:val="20"/>
        </w:rPr>
        <w:t>De screening moet gericht zijn op het vermogen van individuele en groepsmaatregelen om in het kader van de AG's</w:t>
      </w:r>
      <w:r>
        <w:t xml:space="preserve"> innovatie te bevorderen (bv. het vermogen om aan de drie innovatietrajecten bij te dragen zoals uitgelegd in </w:t>
      </w:r>
      <w:hyperlink w:anchor="Innovation_RD" w:history="1">
        <w:r>
          <w:rPr>
            <w:rStyle w:val="Hyperlink"/>
            <w:sz w:val="20"/>
            <w:szCs w:val="20"/>
          </w:rPr>
          <w:t>paragraaf 1.1</w:t>
        </w:r>
      </w:hyperlink>
      <w:r>
        <w:t>)</w:t>
      </w:r>
      <w:r>
        <w:rPr>
          <w:rStyle w:val="FootnoteReference"/>
          <w:rFonts w:eastAsia="Times New Roman" w:cs="Times New Roman"/>
          <w:color w:val="FFFFFF" w:themeColor="background1"/>
          <w:szCs w:val="20"/>
          <w:lang w:eastAsia="de-DE"/>
        </w:rPr>
        <w:footnoteReference w:id="45"/>
      </w:r>
      <w:r>
        <w:t xml:space="preserve">. Het </w:t>
      </w:r>
      <w:r>
        <w:rPr>
          <w:b/>
          <w:szCs w:val="20"/>
        </w:rPr>
        <w:t>innovatiebevorderend vermogen van het NPN</w:t>
      </w:r>
      <w:r>
        <w:t xml:space="preserve"> kan op vergelijkbare wijze worden vastgesteld door de NPN-acties te screenen (zie </w:t>
      </w:r>
      <w:hyperlink w:anchor="CEQ_NRN" w:history="1">
        <w:r>
          <w:rPr>
            <w:rStyle w:val="Hyperlink"/>
            <w:sz w:val="20"/>
            <w:szCs w:val="20"/>
          </w:rPr>
          <w:t>paragraaf 2.4.3</w:t>
        </w:r>
      </w:hyperlink>
      <w:r>
        <w:t xml:space="preserve">). </w:t>
      </w:r>
    </w:p>
    <w:p w:rsidR="00A45935" w:rsidRPr="00E05D08" w:rsidRDefault="00A45935" w:rsidP="00E05D08">
      <w:pPr>
        <w:spacing w:after="120" w:line="280" w:lineRule="atLeast"/>
        <w:mirrorIndents/>
        <w:rPr>
          <w:rFonts w:eastAsia="Times New Roman" w:cs="Times New Roman"/>
          <w:szCs w:val="20"/>
        </w:rPr>
      </w:pPr>
      <w:r>
        <w:t xml:space="preserve">Over het geheel genomen moet de screening van het innovatiepotentieel ten minste betrekking hebben op de maatregelen die gekoppeld zijn aan de volgende CEQ's: </w:t>
      </w:r>
    </w:p>
    <w:p w:rsidR="00A45935" w:rsidRPr="00E05D08"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t>CEQ nr. 1 is gekoppeld aan M1, M2 en M16 (respectievelijk artikel 14, 15 en 35 van Verordening (EU) nr. 1305/2013). De screening is gericht op het innovatiepotentieel van deze maatregelen en helpt om het innovatiedeel van de CEQ te beantwoorden.</w:t>
      </w:r>
    </w:p>
    <w:p w:rsidR="00A45935" w:rsidRPr="00E05D08"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t>CEQ nr. 2 is gekoppeld aan M16 (samenwerking). De submaatregelen van M16 worden voornamelijk gescreend op hun vermogen om aan de drie trajecten bij te dragen. De resultaten helpen het innovatiedeel van de CEQ te beantwoorden.</w:t>
      </w:r>
    </w:p>
    <w:p w:rsidR="00A45935" w:rsidRPr="00E05D08" w:rsidRDefault="00A45935" w:rsidP="007A450E">
      <w:pPr>
        <w:numPr>
          <w:ilvl w:val="0"/>
          <w:numId w:val="3"/>
        </w:numPr>
        <w:tabs>
          <w:tab w:val="clear" w:pos="644"/>
        </w:tabs>
        <w:spacing w:before="60" w:after="120" w:line="280" w:lineRule="atLeast"/>
        <w:ind w:hanging="567"/>
        <w:mirrorIndents/>
        <w:rPr>
          <w:rFonts w:eastAsia="Times New Roman" w:cs="Times New Roman"/>
          <w:szCs w:val="20"/>
        </w:rPr>
      </w:pPr>
      <w:r>
        <w:t>CEQ nr. 21 heeft betrekking op de vier NPN-doelstellingen. De screening van het NPN-innovatiepotentieel is gericht op de concrete acties van het NPN, die bijdragen aan de gemeenschappelijke doelstelling van het NPN om "innovatie in de landbouw, de voedselproductie, de bosbouw en in plattelandsgebieden te bevorderen". Deze screening helpt het innovatiegerelateerde deel van de CEQ te beantwoorden.</w:t>
      </w:r>
    </w:p>
    <w:p w:rsidR="00A45935" w:rsidRPr="00E05D08" w:rsidRDefault="00A45935" w:rsidP="00E05D08">
      <w:pPr>
        <w:numPr>
          <w:ilvl w:val="0"/>
          <w:numId w:val="3"/>
        </w:numPr>
        <w:spacing w:before="60" w:after="120" w:line="280" w:lineRule="atLeast"/>
        <w:ind w:hanging="567"/>
        <w:mirrorIndents/>
        <w:rPr>
          <w:rFonts w:eastAsia="Times New Roman" w:cs="Times New Roman"/>
          <w:szCs w:val="20"/>
        </w:rPr>
      </w:pPr>
      <w:r>
        <w:t>CEQ nr. 23 wordt beantwoord met de evaluatie van de bijdragen van het POP aan de verwezenlijking van de kerndoelstelling voor O&amp;O/innovatie om 3 % van het bbp van de EU te bereiken (publiek en privaat gecombineerd)</w:t>
      </w:r>
      <w:r>
        <w:rPr>
          <w:rFonts w:eastAsia="Times New Roman" w:cs="Times New Roman"/>
          <w:szCs w:val="20"/>
          <w:vertAlign w:val="superscript"/>
          <w:lang w:eastAsia="de-DE"/>
        </w:rPr>
        <w:footnoteReference w:id="46"/>
      </w:r>
      <w:r>
        <w:t>, met behulp van indicatoren die met die doelstelling verband houden. De screening van alle POP-maatregelen voor het innovatiepotentieel is belangrijk om: a) maatregelen vast te stellen die bijdragen aan de bevordering van innovatie en b) rekening te houden met de uitgaven in verband met deze maatregelen bij het berekenen van de indicatoren die gebruikt worden om CEQ nr. 23 te beantwoorden.</w:t>
      </w:r>
    </w:p>
    <w:p w:rsidR="00A45935" w:rsidRPr="00E05D08" w:rsidRDefault="00A45935" w:rsidP="00E05D08">
      <w:pPr>
        <w:numPr>
          <w:ilvl w:val="0"/>
          <w:numId w:val="3"/>
        </w:numPr>
        <w:spacing w:before="60" w:after="120" w:line="280" w:lineRule="atLeast"/>
        <w:ind w:hanging="567"/>
        <w:mirrorIndents/>
        <w:rPr>
          <w:rFonts w:eastAsia="Times New Roman" w:cs="Times New Roman"/>
          <w:szCs w:val="20"/>
        </w:rPr>
      </w:pPr>
      <w:r>
        <w:t xml:space="preserve">CEQ nr. 30 is gekoppeld aan de horizontale doelstelling voor innovatie. Hier worden alle maatregelen/submaatregelen en combinaties ervan in het kader van elk AG gescreend om vast te stellen welke ervan innovatie kunnen bevorderen via de drie trajecten. Deze analyse helpt de beoordelaar een casestudy-evaluatie op te stellen op basis van de veranderingstheorie die voor het beantwoorden van CEQ nr. 30 wordt voorgesteld.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Wat is het resultaat? </w:t>
      </w:r>
    </w:p>
    <w:p w:rsidR="00A45935" w:rsidRDefault="00A45935" w:rsidP="00E05D08">
      <w:pPr>
        <w:spacing w:after="120" w:line="280" w:lineRule="atLeast"/>
        <w:mirrorIndents/>
        <w:rPr>
          <w:rFonts w:eastAsia="Times New Roman" w:cs="Times New Roman"/>
          <w:szCs w:val="20"/>
        </w:rPr>
      </w:pPr>
      <w:r>
        <w:rPr>
          <w:b/>
          <w:szCs w:val="20"/>
        </w:rPr>
        <w:t>De screening helpt de innovatiegerelateerde logica van het POP explicieter te maken.</w:t>
      </w:r>
      <w:r>
        <w:t xml:space="preserve"> Met de screening wordt vastgesteld welke POP-maatregelen het grootste potentieel hebben om innovatie te bevorderen en wordt tevens verduidelijkt met welke gebieden (trajecten) ze verband houden. Tijdens </w:t>
      </w:r>
      <w:r>
        <w:lastRenderedPageBreak/>
        <w:t xml:space="preserve">de latere evaluatie van de effecten worden de resultaten van deze screening in aanmerking genomen om het potentieel te vergelijken met de daadwerkelijk bereikte innovatiebevordering van het POP. Dat helpt om het werk van de beoordelaar te richten op de maatregelen en submaatregelen die van bijzonder belang worden geacht voor het bevorderen van innovatie. </w:t>
      </w:r>
    </w:p>
    <w:p w:rsidR="007A450E" w:rsidRPr="00E05D08" w:rsidRDefault="007A450E" w:rsidP="00E05D08">
      <w:pPr>
        <w:spacing w:after="120" w:line="280" w:lineRule="atLeast"/>
        <w:mirrorIndents/>
        <w:rPr>
          <w:rFonts w:eastAsia="Times New Roman" w:cs="Times New Roman"/>
          <w:szCs w:val="20"/>
          <w:lang w:eastAsia="de-DE"/>
        </w:rPr>
      </w:pPr>
    </w:p>
    <w:p w:rsidR="00A45935" w:rsidRPr="00E05D08" w:rsidRDefault="00A45935" w:rsidP="009F5AB5">
      <w:pPr>
        <w:pStyle w:val="HStandard"/>
      </w:pPr>
    </w:p>
    <w:p w:rsidR="000A43B7" w:rsidRDefault="000A43B7" w:rsidP="009F5AB5">
      <w:pPr>
        <w:pStyle w:val="HStandard"/>
      </w:pPr>
    </w:p>
    <w:p w:rsidR="007A450E" w:rsidRDefault="008A7A63">
      <w:pPr>
        <w:jc w:val="left"/>
        <w:rPr>
          <w:rFonts w:eastAsia="Times New Roman" w:cs="Times New Roman"/>
          <w:b/>
          <w:szCs w:val="20"/>
        </w:rPr>
      </w:pPr>
      <w:bookmarkStart w:id="98" w:name="_Toc493151903"/>
      <w:bookmarkStart w:id="99" w:name="_Toc501382129"/>
      <w:r>
        <w:rPr>
          <w:b/>
          <w:noProof/>
          <w:lang w:val="en-GB" w:eastAsia="en-GB"/>
        </w:rPr>
        <mc:AlternateContent>
          <mc:Choice Requires="wps">
            <w:drawing>
              <wp:anchor distT="0" distB="0" distL="114300" distR="114300" simplePos="0" relativeHeight="251666432" behindDoc="0" locked="0" layoutInCell="1" allowOverlap="1" wp14:anchorId="7B61BC2F" wp14:editId="6F7D5002">
                <wp:simplePos x="0" y="0"/>
                <wp:positionH relativeFrom="page">
                  <wp:posOffset>1685925</wp:posOffset>
                </wp:positionH>
                <wp:positionV relativeFrom="page">
                  <wp:posOffset>2476500</wp:posOffset>
                </wp:positionV>
                <wp:extent cx="4153546" cy="2400300"/>
                <wp:effectExtent l="0" t="0" r="18415" b="19050"/>
                <wp:wrapSquare wrapText="bothSides"/>
                <wp:docPr id="67" name="Rectangle: Diagonal Corners Rounded 67"/>
                <wp:cNvGraphicFramePr/>
                <a:graphic xmlns:a="http://schemas.openxmlformats.org/drawingml/2006/main">
                  <a:graphicData uri="http://schemas.microsoft.com/office/word/2010/wordprocessingShape">
                    <wps:wsp>
                      <wps:cNvSpPr/>
                      <wps:spPr>
                        <a:xfrm>
                          <a:off x="0" y="0"/>
                          <a:ext cx="4153546" cy="2400300"/>
                        </a:xfrm>
                        <a:prstGeom prst="round2DiagRect">
                          <a:avLst>
                            <a:gd name="adj1" fmla="val 9754"/>
                            <a:gd name="adj2" fmla="val 0"/>
                          </a:avLst>
                        </a:prstGeom>
                        <a:noFill/>
                        <a:ln w="25400" cap="flat" cmpd="sng" algn="ctr">
                          <a:solidFill>
                            <a:srgbClr val="8BAB80"/>
                          </a:solidFill>
                          <a:prstDash val="solid"/>
                        </a:ln>
                        <a:effectLst/>
                      </wps:spPr>
                      <wps:txbx>
                        <w:txbxContent>
                          <w:p w:rsidR="00891EED" w:rsidRPr="00275EE5" w:rsidRDefault="00891EED" w:rsidP="007A450E">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128"/>
                              <w:gridCol w:w="3084"/>
                            </w:tblGrid>
                            <w:tr w:rsidR="00891EED" w:rsidRPr="0079762F" w:rsidTr="00E05D08">
                              <w:tc>
                                <w:tcPr>
                                  <w:tcW w:w="3402" w:type="dxa"/>
                                  <w:shd w:val="clear" w:color="auto" w:fill="FFFFFF"/>
                                </w:tcPr>
                                <w:p w:rsidR="00891EED" w:rsidRPr="00B63DE8" w:rsidRDefault="00891EED" w:rsidP="007A450E">
                                  <w:pPr>
                                    <w:suppressOverlap/>
                                    <w:jc w:val="left"/>
                                    <w:rPr>
                                      <w:rFonts w:cs="Arial"/>
                                      <w:b/>
                                      <w:color w:val="404040"/>
                                      <w:szCs w:val="18"/>
                                    </w:rPr>
                                  </w:pPr>
                                  <w:r>
                                    <w:rPr>
                                      <w:b/>
                                      <w:color w:val="404040"/>
                                      <w:szCs w:val="18"/>
                                    </w:rPr>
                                    <w:t>Wel doen</w:t>
                                  </w:r>
                                </w:p>
                                <w:p w:rsidR="00891EED" w:rsidRPr="00B63DE8" w:rsidRDefault="00891EED" w:rsidP="007A450E">
                                  <w:pPr>
                                    <w:pStyle w:val="Hlistbullet"/>
                                    <w:spacing w:line="160" w:lineRule="atLeast"/>
                                    <w:jc w:val="left"/>
                                    <w:rPr>
                                      <w:sz w:val="18"/>
                                      <w:szCs w:val="18"/>
                                    </w:rPr>
                                  </w:pPr>
                                  <w:r>
                                    <w:rPr>
                                      <w:sz w:val="18"/>
                                      <w:szCs w:val="18"/>
                                    </w:rPr>
                                    <w:t xml:space="preserve">Het ontwerp van de maatregel (koppeling met behoeften, doelstellingen, selectiecriteria, begunstigden) beoordelen op innovatiebevorderend potentieel en intensiteit. </w:t>
                                  </w:r>
                                </w:p>
                                <w:p w:rsidR="00891EED" w:rsidRPr="00B63DE8" w:rsidRDefault="00891EED" w:rsidP="007A450E">
                                  <w:pPr>
                                    <w:pStyle w:val="Hlistbullet"/>
                                    <w:spacing w:line="160" w:lineRule="atLeast"/>
                                    <w:jc w:val="left"/>
                                  </w:pPr>
                                  <w:r>
                                    <w:rPr>
                                      <w:sz w:val="18"/>
                                      <w:szCs w:val="18"/>
                                    </w:rPr>
                                    <w:t>De onderliggende innovatiegerelateerde interventielogica van het POP vaststellen.</w:t>
                                  </w:r>
                                  <w:r>
                                    <w:t xml:space="preserve"> </w:t>
                                  </w:r>
                                </w:p>
                              </w:tc>
                              <w:tc>
                                <w:tcPr>
                                  <w:tcW w:w="3402" w:type="dxa"/>
                                  <w:shd w:val="clear" w:color="auto" w:fill="auto"/>
                                </w:tcPr>
                                <w:p w:rsidR="00891EED" w:rsidRPr="00B63DE8" w:rsidRDefault="00891EED" w:rsidP="007A450E">
                                  <w:pPr>
                                    <w:suppressOverlap/>
                                    <w:jc w:val="left"/>
                                    <w:rPr>
                                      <w:rFonts w:cs="Arial"/>
                                      <w:b/>
                                      <w:color w:val="404040"/>
                                      <w:szCs w:val="18"/>
                                    </w:rPr>
                                  </w:pPr>
                                  <w:r>
                                    <w:rPr>
                                      <w:b/>
                                      <w:color w:val="404040"/>
                                      <w:szCs w:val="18"/>
                                    </w:rPr>
                                    <w:t>Niet doen</w:t>
                                  </w:r>
                                </w:p>
                                <w:p w:rsidR="00891EED" w:rsidRPr="00B63DE8" w:rsidRDefault="00891EED" w:rsidP="007A450E">
                                  <w:pPr>
                                    <w:pStyle w:val="Hlistbullet"/>
                                    <w:spacing w:line="160" w:lineRule="atLeast"/>
                                    <w:jc w:val="left"/>
                                    <w:rPr>
                                      <w:sz w:val="18"/>
                                      <w:szCs w:val="18"/>
                                    </w:rPr>
                                  </w:pPr>
                                  <w:r>
                                    <w:rPr>
                                      <w:sz w:val="18"/>
                                      <w:szCs w:val="18"/>
                                    </w:rPr>
                                    <w:t xml:space="preserve">De screening van het innovatiepotentieel van het POP beperken tot de vermelding van het woord "innovatief" in de selectiecriteria en maatregelen. </w:t>
                                  </w:r>
                                </w:p>
                                <w:p w:rsidR="00891EED" w:rsidRPr="00B63DE8" w:rsidRDefault="00891EED" w:rsidP="007A450E">
                                  <w:pPr>
                                    <w:suppressOverlap/>
                                    <w:jc w:val="left"/>
                                    <w:rPr>
                                      <w:rFonts w:cs="Arial"/>
                                      <w:color w:val="1A1A1A"/>
                                      <w:szCs w:val="18"/>
                                    </w:rPr>
                                  </w:pPr>
                                </w:p>
                              </w:tc>
                            </w:tr>
                          </w:tbl>
                          <w:p w:rsidR="00891EED" w:rsidRPr="00275EE5" w:rsidRDefault="00891EED" w:rsidP="007A450E">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1BC2F" id="Rectangle: Diagonal Corners Rounded 67" o:spid="_x0000_s1038" style="position:absolute;margin-left:132.75pt;margin-top:195pt;width:327.05pt;height:18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153546,2400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" adj="-11796480,,5400" path="m234125,l4153546,r,l4153546,2166175v,129304,-104821,234125,-234125,234125l,2400300r,l,234125c,104821,104821,,234125,xe" filled="f" strokecolor="#8bab80" strokeweight="2pt">
                <v:stroke joinstyle="miter"/>
                <v:formulas/>
                <v:path arrowok="t" o:connecttype="custom" o:connectlocs="234125,0;4153546,0;4153546,0;4153546,2166175;3919421,2400300;0,2400300;0,2400300;0,234125;234125,0" o:connectangles="0,0,0,0,0,0,0,0,0" textboxrect="0,0,4153546,2400300"/>
                <v:textbox>
                  <w:txbxContent>
                    <w:p w:rsidR="00891EED" w:rsidRPr="00275EE5" w:rsidRDefault="00891EED" w:rsidP="007A450E">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128"/>
                        <w:gridCol w:w="3084"/>
                      </w:tblGrid>
                      <w:tr w:rsidR="00891EED" w:rsidRPr="0079762F" w:rsidTr="00E05D08">
                        <w:tc>
                          <w:tcPr>
                            <w:tcW w:w="3402" w:type="dxa"/>
                            <w:shd w:val="clear" w:color="auto" w:fill="FFFFFF"/>
                          </w:tcPr>
                          <w:p w:rsidR="00891EED" w:rsidRPr="00B63DE8" w:rsidRDefault="00891EED" w:rsidP="007A450E">
                            <w:pPr>
                              <w:suppressOverlap/>
                              <w:jc w:val="left"/>
                              <w:rPr>
                                <w:rFonts w:cs="Arial"/>
                                <w:b/>
                                <w:color w:val="404040"/>
                                <w:szCs w:val="18"/>
                              </w:rPr>
                            </w:pPr>
                            <w:r>
                              <w:rPr>
                                <w:b/>
                                <w:color w:val="404040"/>
                                <w:szCs w:val="18"/>
                              </w:rPr>
                              <w:t>Wel doen</w:t>
                            </w:r>
                          </w:p>
                          <w:p w:rsidR="00891EED" w:rsidRPr="00B63DE8" w:rsidRDefault="00891EED" w:rsidP="007A450E">
                            <w:pPr>
                              <w:pStyle w:val="Hlistbullet"/>
                              <w:spacing w:line="160" w:lineRule="atLeast"/>
                              <w:jc w:val="left"/>
                              <w:rPr>
                                <w:sz w:val="18"/>
                                <w:szCs w:val="18"/>
                              </w:rPr>
                            </w:pPr>
                            <w:r>
                              <w:rPr>
                                <w:sz w:val="18"/>
                                <w:szCs w:val="18"/>
                              </w:rPr>
                              <w:t xml:space="preserve">Het ontwerp van de maatregel (koppeling met behoeften, doelstellingen, selectiecriteria, begunstigden) beoordelen op innovatiebevorderend potentieel en intensiteit. </w:t>
                            </w:r>
                          </w:p>
                          <w:p w:rsidR="00891EED" w:rsidRPr="00B63DE8" w:rsidRDefault="00891EED" w:rsidP="007A450E">
                            <w:pPr>
                              <w:pStyle w:val="Hlistbullet"/>
                              <w:spacing w:line="160" w:lineRule="atLeast"/>
                              <w:jc w:val="left"/>
                            </w:pPr>
                            <w:r>
                              <w:rPr>
                                <w:sz w:val="18"/>
                                <w:szCs w:val="18"/>
                              </w:rPr>
                              <w:t>De onderliggende innovatiegerelateerde interventielogica van het POP vaststellen.</w:t>
                            </w:r>
                            <w:r>
                              <w:t xml:space="preserve"> </w:t>
                            </w:r>
                          </w:p>
                        </w:tc>
                        <w:tc>
                          <w:tcPr>
                            <w:tcW w:w="3402" w:type="dxa"/>
                            <w:shd w:val="clear" w:color="auto" w:fill="auto"/>
                          </w:tcPr>
                          <w:p w:rsidR="00891EED" w:rsidRPr="00B63DE8" w:rsidRDefault="00891EED" w:rsidP="007A450E">
                            <w:pPr>
                              <w:suppressOverlap/>
                              <w:jc w:val="left"/>
                              <w:rPr>
                                <w:rFonts w:cs="Arial"/>
                                <w:b/>
                                <w:color w:val="404040"/>
                                <w:szCs w:val="18"/>
                              </w:rPr>
                            </w:pPr>
                            <w:r>
                              <w:rPr>
                                <w:b/>
                                <w:color w:val="404040"/>
                                <w:szCs w:val="18"/>
                              </w:rPr>
                              <w:t>Niet doen</w:t>
                            </w:r>
                          </w:p>
                          <w:p w:rsidR="00891EED" w:rsidRPr="00B63DE8" w:rsidRDefault="00891EED" w:rsidP="007A450E">
                            <w:pPr>
                              <w:pStyle w:val="Hlistbullet"/>
                              <w:spacing w:line="160" w:lineRule="atLeast"/>
                              <w:jc w:val="left"/>
                              <w:rPr>
                                <w:sz w:val="18"/>
                                <w:szCs w:val="18"/>
                              </w:rPr>
                            </w:pPr>
                            <w:r>
                              <w:rPr>
                                <w:sz w:val="18"/>
                                <w:szCs w:val="18"/>
                              </w:rPr>
                              <w:t xml:space="preserve">De screening van het innovatiepotentieel van het POP beperken tot de vermelding van het woord "innovatief" in de selectiecriteria en maatregelen. </w:t>
                            </w:r>
                          </w:p>
                          <w:p w:rsidR="00891EED" w:rsidRPr="00B63DE8" w:rsidRDefault="00891EED" w:rsidP="007A450E">
                            <w:pPr>
                              <w:suppressOverlap/>
                              <w:jc w:val="left"/>
                              <w:rPr>
                                <w:rFonts w:cs="Arial"/>
                                <w:color w:val="1A1A1A"/>
                                <w:szCs w:val="18"/>
                              </w:rPr>
                            </w:pPr>
                          </w:p>
                        </w:tc>
                      </w:tr>
                    </w:tbl>
                    <w:p w:rsidR="00891EED" w:rsidRPr="00275EE5" w:rsidRDefault="00891EED" w:rsidP="007A450E">
                      <w:pPr>
                        <w:pStyle w:val="Normal12PTcouleurgris"/>
                      </w:pPr>
                    </w:p>
                  </w:txbxContent>
                </v:textbox>
                <w10:wrap type="square" anchorx="page" anchory="page"/>
              </v:shape>
            </w:pict>
          </mc:Fallback>
        </mc:AlternateContent>
      </w:r>
      <w:r w:rsidR="007A450E">
        <w:br w:type="page"/>
      </w:r>
    </w:p>
    <w:p w:rsidR="00A45935" w:rsidRPr="00FC7364" w:rsidRDefault="00A45935" w:rsidP="00B421B9">
      <w:pPr>
        <w:pStyle w:val="HHeading2"/>
        <w:numPr>
          <w:ilvl w:val="1"/>
          <w:numId w:val="119"/>
        </w:numPr>
        <w:ind w:left="567" w:hanging="567"/>
      </w:pPr>
      <w:bookmarkStart w:id="100" w:name="Complementing"/>
      <w:bookmarkStart w:id="101" w:name="_Toc511656272"/>
      <w:bookmarkEnd w:id="100"/>
      <w:r>
        <w:lastRenderedPageBreak/>
        <w:t>De gemeenschappelijke evaluatie-elementen voor innovatie aanvullen (aanbevolen)</w:t>
      </w:r>
      <w:bookmarkEnd w:id="98"/>
      <w:bookmarkEnd w:id="99"/>
      <w:bookmarkEnd w:id="101"/>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Waarom en wanneer het GMES aanvullen? </w:t>
      </w:r>
    </w:p>
    <w:p w:rsidR="00A45935" w:rsidRPr="00E05D08" w:rsidRDefault="00A45935" w:rsidP="00E05D08">
      <w:pPr>
        <w:spacing w:after="120" w:line="280" w:lineRule="atLeast"/>
        <w:mirrorIndents/>
        <w:rPr>
          <w:rFonts w:eastAsia="Times New Roman" w:cs="Times New Roman"/>
          <w:szCs w:val="20"/>
        </w:rPr>
      </w:pPr>
      <w:r>
        <w:rPr>
          <w:b/>
          <w:szCs w:val="20"/>
        </w:rPr>
        <w:t>Het GMES verschaft een aantal fundamentele evaluatie-elementen</w:t>
      </w:r>
      <w:r>
        <w:t xml:space="preserve"> (gemeenschappelijke outputindicatoren) om de relevante gemeenschappelijke evaluatievragen nr. 1, 2 en 21 te beantwoorden (zie </w:t>
      </w:r>
      <w:hyperlink w:anchor="Policy_framework" w:history="1">
        <w:r>
          <w:rPr>
            <w:rStyle w:val="Hyperlink"/>
            <w:sz w:val="20"/>
            <w:szCs w:val="20"/>
          </w:rPr>
          <w:t>paragraaf 1.2.1</w:t>
        </w:r>
      </w:hyperlink>
      <w:r>
        <w:t xml:space="preserve">). Bovendien worden beoordelingscriteria voor alle CEQ's die gekoppeld zijn aan innovatie en enkele aanvullende indicatoren voorgesteld in het werkdocument, </w:t>
      </w:r>
      <w:hyperlink r:id="rId32" w:history="1">
        <w:r>
          <w:rPr>
            <w:rStyle w:val="Hyperlink"/>
            <w:sz w:val="20"/>
            <w:szCs w:val="20"/>
          </w:rPr>
          <w:t>Common Evaluation Questions for RDPs 2014-2020</w:t>
        </w:r>
      </w:hyperlink>
      <w:r>
        <w:t>. CEQ nr. 23 is bijvoorbeeld gekoppeld aan de kerndoelstelling van EU 2020, die als basis gebruikt kan worden om deze vraag te beantwoorden. CEQ nr. 30 is de enige vraag die vergezeld gaat van aanvullende indicatoren</w:t>
      </w:r>
      <w:r>
        <w:rPr>
          <w:rFonts w:eastAsia="Times New Roman" w:cs="Times New Roman"/>
          <w:szCs w:val="20"/>
          <w:vertAlign w:val="superscript"/>
          <w:lang w:eastAsia="de-DE"/>
        </w:rPr>
        <w:footnoteReference w:id="47"/>
      </w:r>
      <w:r>
        <w:t xml:space="preserve">. </w:t>
      </w:r>
    </w:p>
    <w:p w:rsidR="00A45935" w:rsidRPr="00E05D08" w:rsidRDefault="00A45935" w:rsidP="00E05D08">
      <w:pPr>
        <w:spacing w:after="120" w:line="280" w:lineRule="atLeast"/>
        <w:mirrorIndents/>
        <w:rPr>
          <w:rFonts w:eastAsia="Times New Roman" w:cs="Times New Roman"/>
          <w:szCs w:val="20"/>
        </w:rPr>
      </w:pPr>
      <w:r>
        <w:rPr>
          <w:b/>
          <w:szCs w:val="20"/>
        </w:rPr>
        <w:t>De gemeenschappelijke evaluatie-elementen worden beoordeeld voordat de evaluatie begint</w:t>
      </w:r>
      <w:r>
        <w:t xml:space="preserve"> en worden voltooid indien nodig. Bij dit onderzoek kunnen de bevindingen uit de screening van het innovatiebevorderend potentieel van het POP in aanmerking worden genomen (zie </w:t>
      </w:r>
      <w:hyperlink w:anchor="Screening_Potential" w:history="1">
        <w:r>
          <w:rPr>
            <w:rStyle w:val="Hyperlink"/>
            <w:sz w:val="20"/>
            <w:szCs w:val="20"/>
          </w:rPr>
          <w:t>paragraaf 2.2</w:t>
        </w:r>
      </w:hyperlink>
      <w:r>
        <w:t xml:space="preserve">).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Wat zijn de stappen voor ontwikkeling van aanvullende en programmaspecifieke evaluatie-elementen?</w:t>
      </w:r>
    </w:p>
    <w:p w:rsidR="00A45935" w:rsidRPr="00E05D08" w:rsidRDefault="00A45935" w:rsidP="00E05D08">
      <w:pPr>
        <w:spacing w:after="120" w:line="280" w:lineRule="atLeast"/>
        <w:mirrorIndents/>
        <w:rPr>
          <w:rFonts w:eastAsia="Calibri" w:cs="Times New Roman"/>
          <w:szCs w:val="20"/>
        </w:rPr>
      </w:pPr>
      <w:r>
        <w:t xml:space="preserve">De ontwikkeling van aanvullende evaluatie-elementen (gedetailleerd beschreven in de richtsnoeren, </w:t>
      </w:r>
      <w:hyperlink r:id="rId33" w:history="1">
        <w:r>
          <w:rPr>
            <w:rStyle w:val="Hyperlink"/>
            <w:sz w:val="20"/>
            <w:szCs w:val="20"/>
          </w:rPr>
          <w:t>Assessment of RDP results how to prepare for reporting on evaluation in 2017</w:t>
        </w:r>
      </w:hyperlink>
      <w:r>
        <w:t xml:space="preserve">) kan als volgt worden samengevat: </w:t>
      </w:r>
    </w:p>
    <w:p w:rsidR="00A45935" w:rsidRPr="00B10B3C" w:rsidRDefault="00576A73" w:rsidP="00B421B9">
      <w:pPr>
        <w:pStyle w:val="Hlistbullet"/>
        <w:rPr>
          <w:rFonts w:eastAsia="Calibri"/>
        </w:rPr>
      </w:pPr>
      <w:r>
        <w:rPr>
          <w:noProof/>
          <w:highlight w:val="yellow"/>
          <w:lang w:val="en-GB" w:eastAsia="en-GB"/>
        </w:rPr>
        <mc:AlternateContent>
          <mc:Choice Requires="wps">
            <w:drawing>
              <wp:anchor distT="0" distB="0" distL="114300" distR="114300" simplePos="0" relativeHeight="251650048" behindDoc="0" locked="0" layoutInCell="1" allowOverlap="1" wp14:anchorId="35733D03" wp14:editId="20F85F4E">
                <wp:simplePos x="0" y="0"/>
                <wp:positionH relativeFrom="column">
                  <wp:posOffset>2828925</wp:posOffset>
                </wp:positionH>
                <wp:positionV relativeFrom="paragraph">
                  <wp:posOffset>76200</wp:posOffset>
                </wp:positionV>
                <wp:extent cx="2832735" cy="2438400"/>
                <wp:effectExtent l="0" t="0" r="24765" b="19050"/>
                <wp:wrapSquare wrapText="bothSides"/>
                <wp:docPr id="34" name="Rectangle: Diagonal Corners Rounded 34"/>
                <wp:cNvGraphicFramePr/>
                <a:graphic xmlns:a="http://schemas.openxmlformats.org/drawingml/2006/main">
                  <a:graphicData uri="http://schemas.microsoft.com/office/word/2010/wordprocessingShape">
                    <wps:wsp>
                      <wps:cNvSpPr/>
                      <wps:spPr>
                        <a:xfrm>
                          <a:off x="0" y="0"/>
                          <a:ext cx="2832735" cy="2438400"/>
                        </a:xfrm>
                        <a:prstGeom prst="round2DiagRect">
                          <a:avLst>
                            <a:gd name="adj1" fmla="val 7843"/>
                            <a:gd name="adj2" fmla="val 0"/>
                          </a:avLst>
                        </a:prstGeom>
                        <a:noFill/>
                        <a:ln w="25400" cap="flat" cmpd="sng" algn="ctr">
                          <a:solidFill>
                            <a:srgbClr val="BE4A35"/>
                          </a:solidFill>
                          <a:prstDash val="solid"/>
                        </a:ln>
                        <a:effectLst/>
                      </wps:spPr>
                      <wps:txbx>
                        <w:txbxContent>
                          <w:p w:rsidR="00891EED" w:rsidRPr="00D450FE" w:rsidRDefault="00891EED" w:rsidP="00E05D08">
                            <w:pPr>
                              <w:pStyle w:val="HStandard"/>
                              <w:rPr>
                                <w:sz w:val="18"/>
                                <w:szCs w:val="18"/>
                              </w:rPr>
                            </w:pPr>
                            <w:r>
                              <w:rPr>
                                <w:noProof/>
                                <w:lang w:val="en-GB" w:eastAsia="en-GB"/>
                              </w:rPr>
                              <w:drawing>
                                <wp:inline distT="0" distB="0" distL="0" distR="0" wp14:anchorId="7B31A9B6" wp14:editId="3B48A63A">
                                  <wp:extent cx="664845" cy="487680"/>
                                  <wp:effectExtent l="0" t="0" r="0" b="7620"/>
                                  <wp:docPr id="50"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De aanvullende evaluatie-elementen (aanvullende evaluatievragen, aanvullende beoordelingscriteria en aanvullende indicatoren) die in deze richtsnoeren in paragraaf 2.4 worden voorgesteld,</w:t>
                            </w:r>
                            <w:r>
                              <w:rPr>
                                <w:sz w:val="18"/>
                                <w:szCs w:val="18"/>
                              </w:rPr>
                              <w:t xml:space="preserve"> zijn </w:t>
                            </w:r>
                            <w:r>
                              <w:rPr>
                                <w:b/>
                                <w:sz w:val="18"/>
                                <w:szCs w:val="18"/>
                              </w:rPr>
                              <w:t xml:space="preserve">NIET BINDEND! </w:t>
                            </w:r>
                            <w:r>
                              <w:rPr>
                                <w:sz w:val="18"/>
                                <w:szCs w:val="18"/>
                              </w:rPr>
                              <w:t xml:space="preserve">Elke beheersautoriteit kan besluiten haar eigen aanvullende en programmaspecifieke evaluatie-elementen te ontwikkelen en gebruiken.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33D03" id="Rectangle: Diagonal Corners Rounded 34" o:spid="_x0000_s1039" style="position:absolute;left:0;text-align:left;margin-left:222.75pt;margin-top:6pt;width:223.05pt;height:1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2735,2438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" adj="-11796480,,5400" path="m191244,l2832735,r,l2832735,2247156v,105621,-85623,191244,-191244,191244l,2438400r,l,191244c,85623,85623,,191244,xe" filled="f" strokecolor="#be4a35" strokeweight="2pt">
                <v:stroke joinstyle="miter"/>
                <v:formulas/>
                <v:path arrowok="t" o:connecttype="custom" o:connectlocs="191244,0;2832735,0;2832735,0;2832735,2247156;2641491,2438400;0,2438400;0,2438400;0,191244;191244,0" o:connectangles="0,0,0,0,0,0,0,0,0" textboxrect="0,0,2832735,2438400"/>
                <v:textbox>
                  <w:txbxContent>
                    <w:p w:rsidR="00891EED" w:rsidRPr="00D450FE" w:rsidRDefault="00891EED" w:rsidP="00E05D08">
                      <w:pPr>
                        <w:pStyle w:val="HStandard"/>
                        <w:rPr>
                          <w:sz w:val="18"/>
                          <w:szCs w:val="18"/>
                        </w:rPr>
                      </w:pPr>
                      <w:r>
                        <w:rPr>
                          <w:noProof/>
                          <w:lang w:val="en-GB" w:eastAsia="en-GB"/>
                        </w:rPr>
                        <w:drawing>
                          <wp:inline distT="0" distB="0" distL="0" distR="0" wp14:anchorId="7B31A9B6" wp14:editId="3B48A63A">
                            <wp:extent cx="664845" cy="487680"/>
                            <wp:effectExtent l="0" t="0" r="0" b="7620"/>
                            <wp:docPr id="50"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De aanvullende evaluatie-elementen (aanvullende evaluatievragen, aanvullende beoordelingscriteria en aanvullende indicatoren) die in deze richtsnoeren in paragraaf 2.4 worden voorgesteld,</w:t>
                      </w:r>
                      <w:r>
                        <w:rPr>
                          <w:sz w:val="18"/>
                          <w:szCs w:val="18"/>
                        </w:rPr>
                        <w:t xml:space="preserve"> zijn </w:t>
                      </w:r>
                      <w:r>
                        <w:rPr>
                          <w:b/>
                          <w:sz w:val="18"/>
                          <w:szCs w:val="18"/>
                        </w:rPr>
                        <w:t xml:space="preserve">NIET BINDEND! </w:t>
                      </w:r>
                      <w:r>
                        <w:rPr>
                          <w:sz w:val="18"/>
                          <w:szCs w:val="18"/>
                        </w:rPr>
                        <w:t xml:space="preserve">Elke beheersautoriteit kan besluiten haar eigen aanvullende en programmaspecifieke evaluatie-elementen te ontwikkelen en gebruiken. </w:t>
                      </w:r>
                    </w:p>
                  </w:txbxContent>
                </v:textbox>
                <w10:wrap type="square"/>
              </v:shape>
            </w:pict>
          </mc:Fallback>
        </mc:AlternateContent>
      </w:r>
      <w:r>
        <w:t xml:space="preserve">de onderliggende interventielogica voor innovatie van het POP opnieuw bekijken (zie </w:t>
      </w:r>
      <w:hyperlink w:anchor="Screening_Potential" w:history="1">
        <w:r>
          <w:rPr>
            <w:rStyle w:val="Hyperlink"/>
            <w:sz w:val="20"/>
          </w:rPr>
          <w:t>paragraaf 2.2</w:t>
        </w:r>
      </w:hyperlink>
      <w:r>
        <w:t>);</w:t>
      </w:r>
    </w:p>
    <w:p w:rsidR="00A45935" w:rsidRPr="00B10B3C" w:rsidRDefault="00A45935" w:rsidP="00B421B9">
      <w:pPr>
        <w:pStyle w:val="Hlistbullet"/>
        <w:rPr>
          <w:rFonts w:eastAsia="Calibri"/>
        </w:rPr>
      </w:pPr>
      <w:r>
        <w:t xml:space="preserve">gemeenschappelijke evaluatievragen, beoordelingscriteria en aan innovatie gekoppelde indicatoren beoordelen en controleren of ze volstaan om de innovatiegerelateerde CEQ's te beantwoorden; </w:t>
      </w:r>
    </w:p>
    <w:p w:rsidR="00576A73" w:rsidRPr="00576A73" w:rsidRDefault="00A45935" w:rsidP="00B421B9">
      <w:pPr>
        <w:pStyle w:val="Hlistbullet"/>
        <w:rPr>
          <w:rFonts w:eastAsia="Calibri"/>
        </w:rPr>
      </w:pPr>
      <w:r>
        <w:t>het GMES aanvullen met extra innovatiegerelateerde evaluatie-elementen als de gemeenschappelijke elementen niet volstaan om de innovatiegerelateerde CEQ's te beantwoorden;</w:t>
      </w:r>
    </w:p>
    <w:p w:rsidR="008A7A63" w:rsidRPr="008A7A63" w:rsidRDefault="00A45935" w:rsidP="008A7A63">
      <w:pPr>
        <w:pStyle w:val="Hlistbullet"/>
        <w:rPr>
          <w:rFonts w:eastAsia="Calibri"/>
        </w:rPr>
      </w:pPr>
      <w:r>
        <w:t>programmaspecifieke evaluatie-elementen ter beoordeling van innovatie ontwikkelen die verband houden met programmaspecifieke AG's en evaluatievragen die van specifiek belang zijn voor de beheersautoriteit.</w:t>
      </w:r>
      <w:r>
        <w:rPr>
          <w:highlight w:val="yellow"/>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6786"/>
        <w:gridCol w:w="2456"/>
      </w:tblGrid>
      <w:tr w:rsidR="003C4BC9" w:rsidRPr="00654F10" w:rsidTr="00891EED">
        <w:tc>
          <w:tcPr>
            <w:tcW w:w="2991" w:type="dxa"/>
            <w:shd w:val="clear" w:color="auto" w:fill="FFFFFF"/>
          </w:tcPr>
          <w:p w:rsidR="003C4BC9" w:rsidRDefault="003C4BC9">
            <w:r w:rsidRPr="00CC09EE">
              <w:rPr>
                <w:rFonts w:cs="Arial"/>
                <w:b/>
                <w:noProof/>
                <w:color w:val="F07E31"/>
                <w:lang w:val="en-GB" w:eastAsia="en-GB"/>
              </w:rPr>
              <w:lastRenderedPageBreak/>
              <mc:AlternateContent>
                <mc:Choice Requires="wps">
                  <w:drawing>
                    <wp:inline distT="0" distB="0" distL="0" distR="0" wp14:anchorId="699F824B" wp14:editId="2756629F">
                      <wp:extent cx="4154170" cy="2609850"/>
                      <wp:effectExtent l="0" t="0" r="17780" b="19050"/>
                      <wp:docPr id="7" name="Rectangle: Diagonal Corners Rounded 70"/>
                      <wp:cNvGraphicFramePr/>
                      <a:graphic xmlns:a="http://schemas.openxmlformats.org/drawingml/2006/main">
                        <a:graphicData uri="http://schemas.microsoft.com/office/word/2010/wordprocessingShape">
                          <wps:wsp>
                            <wps:cNvSpPr/>
                            <wps:spPr>
                              <a:xfrm>
                                <a:off x="0" y="0"/>
                                <a:ext cx="4154170" cy="2609850"/>
                              </a:xfrm>
                              <a:prstGeom prst="round2DiagRect">
                                <a:avLst>
                                  <a:gd name="adj1" fmla="val 1422"/>
                                  <a:gd name="adj2" fmla="val 0"/>
                                </a:avLst>
                              </a:prstGeom>
                              <a:noFill/>
                              <a:ln w="25400" cap="flat" cmpd="sng" algn="ctr">
                                <a:solidFill>
                                  <a:srgbClr val="8BAB80"/>
                                </a:solidFill>
                                <a:prstDash val="solid"/>
                              </a:ln>
                              <a:effectLst/>
                            </wps:spPr>
                            <wps:txbx>
                              <w:txbxContent>
                                <w:p w:rsidR="00891EED" w:rsidRPr="00275EE5" w:rsidRDefault="00891EED" w:rsidP="003C4BC9">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891EED" w:rsidRPr="0079762F" w:rsidTr="00E05D08">
                                    <w:tc>
                                      <w:tcPr>
                                        <w:tcW w:w="2991" w:type="dxa"/>
                                        <w:shd w:val="clear" w:color="auto" w:fill="FFFFFF"/>
                                      </w:tcPr>
                                      <w:p w:rsidR="00891EED" w:rsidRPr="00654F10" w:rsidRDefault="00891EED" w:rsidP="001744D0">
                                        <w:pPr>
                                          <w:pStyle w:val="Normal12PTcouleurgris"/>
                                          <w:rPr>
                                            <w:b/>
                                            <w:color w:val="404040"/>
                                            <w:sz w:val="18"/>
                                          </w:rPr>
                                        </w:pPr>
                                        <w:r>
                                          <w:rPr>
                                            <w:b/>
                                            <w:color w:val="404040"/>
                                            <w:sz w:val="18"/>
                                          </w:rPr>
                                          <w:t>Wel doen</w:t>
                                        </w:r>
                                      </w:p>
                                      <w:p w:rsidR="00891EED" w:rsidRPr="00654F10" w:rsidRDefault="00891EED" w:rsidP="007A450E">
                                        <w:pPr>
                                          <w:pStyle w:val="Hlistbullet"/>
                                          <w:spacing w:line="160" w:lineRule="atLeast"/>
                                          <w:jc w:val="left"/>
                                          <w:rPr>
                                            <w:sz w:val="18"/>
                                            <w:szCs w:val="18"/>
                                          </w:rPr>
                                        </w:pPr>
                                        <w:r>
                                          <w:rPr>
                                            <w:sz w:val="18"/>
                                            <w:szCs w:val="18"/>
                                          </w:rPr>
                                          <w:t>De beoordelingscriteria en indicatoren van het GMES screenen om te verifiëren dat ze de CEQ's voldoende kunnen beantwoorden.</w:t>
                                        </w:r>
                                      </w:p>
                                      <w:p w:rsidR="00891EED" w:rsidRPr="00654F10" w:rsidRDefault="00891EED" w:rsidP="007A450E">
                                        <w:pPr>
                                          <w:pStyle w:val="Hlistbullet"/>
                                          <w:spacing w:line="160" w:lineRule="atLeast"/>
                                          <w:jc w:val="left"/>
                                          <w:rPr>
                                            <w:sz w:val="18"/>
                                            <w:szCs w:val="18"/>
                                          </w:rPr>
                                        </w:pPr>
                                        <w:r>
                                          <w:rPr>
                                            <w:sz w:val="18"/>
                                            <w:szCs w:val="18"/>
                                          </w:rPr>
                                          <w:t>Aanvullende beoordelingscriteria en indicatoren ontwikkelen als de gemeenschappelijke niet volstaan om bewijsmateriaal ter beantwoording van de CEQ's te verzamelen.</w:t>
                                        </w:r>
                                      </w:p>
                                    </w:tc>
                                    <w:tc>
                                      <w:tcPr>
                                        <w:tcW w:w="2960" w:type="dxa"/>
                                        <w:shd w:val="clear" w:color="auto" w:fill="auto"/>
                                      </w:tcPr>
                                      <w:p w:rsidR="00891EED" w:rsidRPr="00654F10" w:rsidRDefault="00891EED" w:rsidP="001744D0">
                                        <w:pPr>
                                          <w:pStyle w:val="Normal12PTcouleurgris"/>
                                          <w:rPr>
                                            <w:b/>
                                            <w:color w:val="404040"/>
                                            <w:sz w:val="18"/>
                                          </w:rPr>
                                        </w:pPr>
                                        <w:r>
                                          <w:rPr>
                                            <w:b/>
                                            <w:color w:val="404040"/>
                                            <w:sz w:val="18"/>
                                          </w:rPr>
                                          <w:t>Niet doen</w:t>
                                        </w:r>
                                      </w:p>
                                      <w:p w:rsidR="00891EED" w:rsidRPr="00654F10" w:rsidRDefault="00891EED" w:rsidP="007A450E">
                                        <w:pPr>
                                          <w:pStyle w:val="Hlistbullet"/>
                                          <w:spacing w:line="160" w:lineRule="atLeast"/>
                                          <w:jc w:val="left"/>
                                          <w:rPr>
                                            <w:sz w:val="18"/>
                                            <w:szCs w:val="18"/>
                                          </w:rPr>
                                        </w:pPr>
                                        <w:r>
                                          <w:rPr>
                                            <w:sz w:val="18"/>
                                            <w:szCs w:val="18"/>
                                          </w:rPr>
                                          <w:t>Voor beantwoording van de CEQ's alleen outputindicatoren gebruiken (daarmee kan de doelmatigheid van het beleid niet volledig worden aangetoond).</w:t>
                                        </w:r>
                                      </w:p>
                                      <w:p w:rsidR="00891EED" w:rsidRPr="00654F10" w:rsidRDefault="00891EED" w:rsidP="001744D0">
                                        <w:pPr>
                                          <w:pStyle w:val="Normal12PTcouleurgris"/>
                                          <w:rPr>
                                            <w:color w:val="1A1A1A"/>
                                            <w:sz w:val="18"/>
                                          </w:rPr>
                                        </w:pPr>
                                      </w:p>
                                    </w:tc>
                                  </w:tr>
                                </w:tbl>
                                <w:p w:rsidR="00891EED" w:rsidRPr="00275EE5" w:rsidRDefault="00891EED" w:rsidP="003C4BC9">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9F824B" id="Rectangle: Diagonal Corners Rounded 70" o:spid="_x0000_s1040" style="width:327.1pt;height:205.5pt;visibility:visible;mso-wrap-style:square;mso-left-percent:-10001;mso-top-percent:-10001;mso-position-horizontal:absolute;mso-position-horizontal-relative:char;mso-position-vertical:absolute;mso-position-vertical-relative:line;mso-left-percent:-10001;mso-top-percent:-10001;v-text-anchor:middle" coordsize="4154170,2609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" adj="-11796480,,5400" path="m37112,l4154170,r,l4154170,2572738v,20496,-16616,37112,-37112,37112l,2609850r,l,37112c,16616,16616,,37112,xe" filled="f" strokecolor="#8bab80" strokeweight="2pt">
                      <v:stroke joinstyle="miter"/>
                      <v:formulas/>
                      <v:path arrowok="t" o:connecttype="custom" o:connectlocs="37112,0;4154170,0;4154170,0;4154170,2572738;4117058,2609850;0,2609850;0,2609850;0,37112;37112,0" o:connectangles="0,0,0,0,0,0,0,0,0" textboxrect="0,0,4154170,2609850"/>
                      <v:textbox>
                        <w:txbxContent>
                          <w:p w:rsidR="00891EED" w:rsidRPr="00275EE5" w:rsidRDefault="00891EED" w:rsidP="003C4BC9">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891EED" w:rsidRPr="0079762F" w:rsidTr="00E05D08">
                              <w:tc>
                                <w:tcPr>
                                  <w:tcW w:w="2991" w:type="dxa"/>
                                  <w:shd w:val="clear" w:color="auto" w:fill="FFFFFF"/>
                                </w:tcPr>
                                <w:p w:rsidR="00891EED" w:rsidRPr="00654F10" w:rsidRDefault="00891EED" w:rsidP="001744D0">
                                  <w:pPr>
                                    <w:pStyle w:val="Normal12PTcouleurgris"/>
                                    <w:rPr>
                                      <w:b/>
                                      <w:color w:val="404040"/>
                                      <w:sz w:val="18"/>
                                    </w:rPr>
                                  </w:pPr>
                                  <w:r>
                                    <w:rPr>
                                      <w:b/>
                                      <w:color w:val="404040"/>
                                      <w:sz w:val="18"/>
                                    </w:rPr>
                                    <w:t>Wel doen</w:t>
                                  </w:r>
                                </w:p>
                                <w:p w:rsidR="00891EED" w:rsidRPr="00654F10" w:rsidRDefault="00891EED" w:rsidP="007A450E">
                                  <w:pPr>
                                    <w:pStyle w:val="Hlistbullet"/>
                                    <w:spacing w:line="160" w:lineRule="atLeast"/>
                                    <w:jc w:val="left"/>
                                    <w:rPr>
                                      <w:sz w:val="18"/>
                                      <w:szCs w:val="18"/>
                                    </w:rPr>
                                  </w:pPr>
                                  <w:r>
                                    <w:rPr>
                                      <w:sz w:val="18"/>
                                      <w:szCs w:val="18"/>
                                    </w:rPr>
                                    <w:t>De beoordelingscriteria en indicatoren van het GMES screenen om te verifiëren dat ze de CEQ's voldoende kunnen beantwoorden.</w:t>
                                  </w:r>
                                </w:p>
                                <w:p w:rsidR="00891EED" w:rsidRPr="00654F10" w:rsidRDefault="00891EED" w:rsidP="007A450E">
                                  <w:pPr>
                                    <w:pStyle w:val="Hlistbullet"/>
                                    <w:spacing w:line="160" w:lineRule="atLeast"/>
                                    <w:jc w:val="left"/>
                                    <w:rPr>
                                      <w:sz w:val="18"/>
                                      <w:szCs w:val="18"/>
                                    </w:rPr>
                                  </w:pPr>
                                  <w:r>
                                    <w:rPr>
                                      <w:sz w:val="18"/>
                                      <w:szCs w:val="18"/>
                                    </w:rPr>
                                    <w:t>Aanvullende beoordelingscriteria en indicatoren ontwikkelen als de gemeenschappelijke niet volstaan om bewijsmateriaal ter beantwoording van de CEQ's te verzamelen.</w:t>
                                  </w:r>
                                </w:p>
                              </w:tc>
                              <w:tc>
                                <w:tcPr>
                                  <w:tcW w:w="2960" w:type="dxa"/>
                                  <w:shd w:val="clear" w:color="auto" w:fill="auto"/>
                                </w:tcPr>
                                <w:p w:rsidR="00891EED" w:rsidRPr="00654F10" w:rsidRDefault="00891EED" w:rsidP="001744D0">
                                  <w:pPr>
                                    <w:pStyle w:val="Normal12PTcouleurgris"/>
                                    <w:rPr>
                                      <w:b/>
                                      <w:color w:val="404040"/>
                                      <w:sz w:val="18"/>
                                    </w:rPr>
                                  </w:pPr>
                                  <w:r>
                                    <w:rPr>
                                      <w:b/>
                                      <w:color w:val="404040"/>
                                      <w:sz w:val="18"/>
                                    </w:rPr>
                                    <w:t>Niet doen</w:t>
                                  </w:r>
                                </w:p>
                                <w:p w:rsidR="00891EED" w:rsidRPr="00654F10" w:rsidRDefault="00891EED" w:rsidP="007A450E">
                                  <w:pPr>
                                    <w:pStyle w:val="Hlistbullet"/>
                                    <w:spacing w:line="160" w:lineRule="atLeast"/>
                                    <w:jc w:val="left"/>
                                    <w:rPr>
                                      <w:sz w:val="18"/>
                                      <w:szCs w:val="18"/>
                                    </w:rPr>
                                  </w:pPr>
                                  <w:r>
                                    <w:rPr>
                                      <w:sz w:val="18"/>
                                      <w:szCs w:val="18"/>
                                    </w:rPr>
                                    <w:t>Voor beantwoording van de CEQ's alleen outputindicatoren gebruiken (daarmee kan de doelmatigheid van het beleid niet volledig worden aangetoond).</w:t>
                                  </w:r>
                                </w:p>
                                <w:p w:rsidR="00891EED" w:rsidRPr="00654F10" w:rsidRDefault="00891EED" w:rsidP="001744D0">
                                  <w:pPr>
                                    <w:pStyle w:val="Normal12PTcouleurgris"/>
                                    <w:rPr>
                                      <w:color w:val="1A1A1A"/>
                                      <w:sz w:val="18"/>
                                    </w:rPr>
                                  </w:pPr>
                                </w:p>
                              </w:tc>
                            </w:tr>
                          </w:tbl>
                          <w:p w:rsidR="00891EED" w:rsidRPr="00275EE5" w:rsidRDefault="00891EED" w:rsidP="003C4BC9">
                            <w:pPr>
                              <w:pStyle w:val="Normal12PTcouleurgris"/>
                            </w:pPr>
                          </w:p>
                        </w:txbxContent>
                      </v:textbox>
                      <w10:anchorlock/>
                    </v:shape>
                  </w:pict>
                </mc:Fallback>
              </mc:AlternateContent>
            </w:r>
          </w:p>
        </w:tc>
        <w:tc>
          <w:tcPr>
            <w:tcW w:w="2991" w:type="dxa"/>
            <w:shd w:val="clear" w:color="auto" w:fill="FFFFFF"/>
          </w:tcPr>
          <w:p w:rsidR="003C4BC9" w:rsidRDefault="003C4BC9"/>
        </w:tc>
      </w:tr>
    </w:tbl>
    <w:p w:rsidR="000A43B7" w:rsidRDefault="000A43B7" w:rsidP="000A43B7">
      <w:pPr>
        <w:rPr>
          <w:noProof/>
          <w:szCs w:val="20"/>
          <w:highlight w:val="yellow"/>
        </w:rPr>
      </w:pPr>
    </w:p>
    <w:p w:rsidR="00A92E91" w:rsidRPr="00A92E91" w:rsidRDefault="00A45935" w:rsidP="00B421B9">
      <w:pPr>
        <w:pStyle w:val="HHeading2"/>
        <w:numPr>
          <w:ilvl w:val="1"/>
          <w:numId w:val="119"/>
        </w:numPr>
        <w:ind w:left="567" w:hanging="567"/>
        <w:rPr>
          <w:noProof/>
          <w:snapToGrid w:val="0"/>
        </w:rPr>
      </w:pPr>
      <w:bookmarkStart w:id="102" w:name="Answering"/>
      <w:bookmarkStart w:id="103" w:name="_Toc493151904"/>
      <w:bookmarkStart w:id="104" w:name="_Toc501382130"/>
      <w:bookmarkStart w:id="105" w:name="_Toc511656273"/>
      <w:bookmarkEnd w:id="10"/>
      <w:bookmarkEnd w:id="102"/>
      <w:r>
        <w:t>De relevante gemeenschappelijke evaluatievragen beantwoorden (verplicht)</w:t>
      </w:r>
      <w:bookmarkEnd w:id="103"/>
      <w:bookmarkEnd w:id="104"/>
      <w:bookmarkEnd w:id="105"/>
    </w:p>
    <w:p w:rsidR="007A450E" w:rsidRDefault="007A450E" w:rsidP="00725801">
      <w:pPr>
        <w:spacing w:after="120" w:line="280" w:lineRule="atLeast"/>
        <w:mirrorIndents/>
        <w:rPr>
          <w:rFonts w:eastAsia="Times New Roman" w:cs="Times New Roman"/>
          <w:szCs w:val="20"/>
          <w:shd w:val="clear" w:color="auto" w:fill="FFFFFF"/>
        </w:rPr>
      </w:pPr>
      <w:r>
        <w:rPr>
          <w:noProof/>
          <w:color w:val="F07E31"/>
          <w:highlight w:val="yellow"/>
          <w:lang w:val="en-GB" w:eastAsia="en-GB"/>
        </w:rPr>
        <mc:AlternateContent>
          <mc:Choice Requires="wps">
            <w:drawing>
              <wp:anchor distT="0" distB="0" distL="114300" distR="114300" simplePos="0" relativeHeight="251651072" behindDoc="0" locked="0" layoutInCell="1" allowOverlap="1" wp14:anchorId="0E4CDC17" wp14:editId="35A42670">
                <wp:simplePos x="0" y="0"/>
                <wp:positionH relativeFrom="page">
                  <wp:posOffset>914400</wp:posOffset>
                </wp:positionH>
                <wp:positionV relativeFrom="paragraph">
                  <wp:posOffset>921385</wp:posOffset>
                </wp:positionV>
                <wp:extent cx="5795645" cy="3457575"/>
                <wp:effectExtent l="0" t="0" r="14605" b="28575"/>
                <wp:wrapSquare wrapText="bothSides"/>
                <wp:docPr id="19" name="Rectangle: Diagonal Corners Rounded 19"/>
                <wp:cNvGraphicFramePr/>
                <a:graphic xmlns:a="http://schemas.openxmlformats.org/drawingml/2006/main">
                  <a:graphicData uri="http://schemas.microsoft.com/office/word/2010/wordprocessingShape">
                    <wps:wsp>
                      <wps:cNvSpPr/>
                      <wps:spPr>
                        <a:xfrm>
                          <a:off x="0" y="0"/>
                          <a:ext cx="5795645" cy="3457575"/>
                        </a:xfrm>
                        <a:prstGeom prst="round2DiagRect">
                          <a:avLst>
                            <a:gd name="adj1" fmla="val 7843"/>
                            <a:gd name="adj2" fmla="val 0"/>
                          </a:avLst>
                        </a:prstGeom>
                        <a:noFill/>
                        <a:ln w="25400" cap="flat" cmpd="sng" algn="ctr">
                          <a:solidFill>
                            <a:srgbClr val="BE4A35"/>
                          </a:solidFill>
                          <a:prstDash val="solid"/>
                        </a:ln>
                        <a:effectLst/>
                      </wps:spPr>
                      <wps:txbx>
                        <w:txbxContent>
                          <w:p w:rsidR="00891EED" w:rsidRPr="00AC3522" w:rsidRDefault="00891EED" w:rsidP="00E05D08">
                            <w:pPr>
                              <w:pStyle w:val="Normal12PTcouleurgris"/>
                              <w:rPr>
                                <w:shd w:val="clear" w:color="auto" w:fill="FFFFFF"/>
                              </w:rPr>
                            </w:pPr>
                            <w:r>
                              <w:rPr>
                                <w:noProof/>
                                <w:lang w:val="en-GB" w:eastAsia="en-GB"/>
                              </w:rPr>
                              <w:drawing>
                                <wp:inline distT="0" distB="0" distL="0" distR="0" wp14:anchorId="3D8BB099" wp14:editId="3302BC4B">
                                  <wp:extent cx="664845" cy="487680"/>
                                  <wp:effectExtent l="0" t="0" r="0" b="7620"/>
                                  <wp:docPr id="707"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 xml:space="preserve">Voor elke CEQ wordt de volgende indeling aangehouden: </w:t>
                            </w:r>
                          </w:p>
                          <w:p w:rsidR="00891EED" w:rsidRPr="00A92E91" w:rsidRDefault="00891EED" w:rsidP="008C0B17">
                            <w:pPr>
                              <w:pStyle w:val="Normal12PTcouleurgris"/>
                              <w:numPr>
                                <w:ilvl w:val="0"/>
                                <w:numId w:val="78"/>
                              </w:numPr>
                              <w:ind w:left="284" w:hanging="284"/>
                              <w:jc w:val="left"/>
                              <w:rPr>
                                <w:b/>
                                <w:shd w:val="clear" w:color="auto" w:fill="FFFFFF"/>
                              </w:rPr>
                            </w:pPr>
                            <w:r>
                              <w:rPr>
                                <w:b/>
                                <w:shd w:val="clear" w:color="auto" w:fill="FFFFFF"/>
                              </w:rPr>
                              <w:t>De CEQ begrijpen</w:t>
                            </w:r>
                          </w:p>
                          <w:p w:rsidR="00891EED" w:rsidRPr="00A92E91" w:rsidRDefault="00891EED" w:rsidP="008C0B17">
                            <w:pPr>
                              <w:pStyle w:val="Normal12PTcouleurgris"/>
                              <w:numPr>
                                <w:ilvl w:val="0"/>
                                <w:numId w:val="78"/>
                              </w:numPr>
                              <w:ind w:left="284" w:hanging="284"/>
                              <w:jc w:val="left"/>
                              <w:rPr>
                                <w:b/>
                                <w:shd w:val="clear" w:color="auto" w:fill="FFFFFF"/>
                              </w:rPr>
                            </w:pPr>
                            <w:r>
                              <w:rPr>
                                <w:b/>
                                <w:shd w:val="clear" w:color="auto" w:fill="FFFFFF"/>
                              </w:rPr>
                              <w:t xml:space="preserve">Specifieke uitdagingen </w:t>
                            </w:r>
                          </w:p>
                          <w:p w:rsidR="00891EED" w:rsidRPr="00A92E91" w:rsidRDefault="00891EED" w:rsidP="008C0B17">
                            <w:pPr>
                              <w:pStyle w:val="Normal12PTcouleurgris"/>
                              <w:numPr>
                                <w:ilvl w:val="0"/>
                                <w:numId w:val="78"/>
                              </w:numPr>
                              <w:ind w:left="284" w:hanging="284"/>
                              <w:jc w:val="left"/>
                              <w:rPr>
                                <w:shd w:val="clear" w:color="auto" w:fill="FFFFFF"/>
                              </w:rPr>
                            </w:pPr>
                            <w:r>
                              <w:rPr>
                                <w:b/>
                                <w:shd w:val="clear" w:color="auto" w:fill="FFFFFF"/>
                              </w:rPr>
                              <w:t>Voorgestelde aanpak om de CEQ te beantwoorden</w:t>
                            </w:r>
                            <w:r>
                              <w:rPr>
                                <w:shd w:val="clear" w:color="auto" w:fill="FFFFFF"/>
                              </w:rPr>
                              <w:t xml:space="preserve">: </w:t>
                            </w:r>
                            <w:r>
                              <w:rPr>
                                <w:i/>
                                <w:shd w:val="clear" w:color="auto" w:fill="FFFFFF"/>
                              </w:rPr>
                              <w:t xml:space="preserve">In dit hoofdstuk worden stappen, methoden en adviezen gegeven voor de manier waarop de gemeenschappelijke en aanvullende indicatoren ter beantwoording van de CEQ moeten worden gebruikt. </w:t>
                            </w:r>
                          </w:p>
                          <w:p w:rsidR="00891EED" w:rsidRPr="00A92E91" w:rsidRDefault="00891EED" w:rsidP="008C0B17">
                            <w:pPr>
                              <w:pStyle w:val="Hlistabc2"/>
                              <w:numPr>
                                <w:ilvl w:val="0"/>
                                <w:numId w:val="54"/>
                              </w:numPr>
                              <w:spacing w:before="120" w:after="120"/>
                              <w:rPr>
                                <w:sz w:val="18"/>
                                <w:szCs w:val="18"/>
                              </w:rPr>
                            </w:pPr>
                            <w:r>
                              <w:rPr>
                                <w:sz w:val="18"/>
                                <w:szCs w:val="18"/>
                              </w:rPr>
                              <w:t xml:space="preserve">Interventielogica </w:t>
                            </w:r>
                          </w:p>
                          <w:p w:rsidR="00891EED" w:rsidRPr="00A92E91" w:rsidRDefault="00891EED" w:rsidP="008C0B17">
                            <w:pPr>
                              <w:pStyle w:val="Hlistabc2"/>
                              <w:numPr>
                                <w:ilvl w:val="0"/>
                                <w:numId w:val="54"/>
                              </w:numPr>
                              <w:spacing w:before="120" w:after="120"/>
                              <w:rPr>
                                <w:sz w:val="18"/>
                                <w:szCs w:val="18"/>
                              </w:rPr>
                            </w:pPr>
                            <w:r>
                              <w:rPr>
                                <w:sz w:val="18"/>
                                <w:szCs w:val="18"/>
                              </w:rPr>
                              <w:t xml:space="preserve">Evaluatie-elementen </w:t>
                            </w:r>
                          </w:p>
                          <w:p w:rsidR="00891EED" w:rsidRPr="00A92E91" w:rsidRDefault="00891EED" w:rsidP="008C0B17">
                            <w:pPr>
                              <w:pStyle w:val="Hlistabc2"/>
                              <w:numPr>
                                <w:ilvl w:val="0"/>
                                <w:numId w:val="54"/>
                              </w:numPr>
                              <w:spacing w:before="120" w:after="120"/>
                              <w:rPr>
                                <w:sz w:val="18"/>
                                <w:szCs w:val="18"/>
                              </w:rPr>
                            </w:pPr>
                            <w:r>
                              <w:rPr>
                                <w:sz w:val="18"/>
                                <w:szCs w:val="18"/>
                              </w:rPr>
                              <w:t xml:space="preserve">Voorgestelde evaluatiemethodologie </w:t>
                            </w:r>
                          </w:p>
                          <w:p w:rsidR="00891EED" w:rsidRPr="00A92E91" w:rsidRDefault="00891EED" w:rsidP="008C0B17">
                            <w:pPr>
                              <w:pStyle w:val="Hlistabc2"/>
                              <w:numPr>
                                <w:ilvl w:val="0"/>
                                <w:numId w:val="54"/>
                              </w:numPr>
                              <w:spacing w:before="120" w:after="120"/>
                              <w:rPr>
                                <w:sz w:val="18"/>
                                <w:szCs w:val="18"/>
                              </w:rPr>
                            </w:pPr>
                            <w:r>
                              <w:rPr>
                                <w:sz w:val="18"/>
                                <w:szCs w:val="18"/>
                              </w:rPr>
                              <w:t xml:space="preserve">Risico's en oplossingen </w:t>
                            </w:r>
                          </w:p>
                          <w:p w:rsidR="00891EED" w:rsidRPr="00A92E91" w:rsidRDefault="00891EED" w:rsidP="008C0B17">
                            <w:pPr>
                              <w:pStyle w:val="Hlistabc2"/>
                              <w:numPr>
                                <w:ilvl w:val="0"/>
                                <w:numId w:val="54"/>
                              </w:numPr>
                              <w:spacing w:before="120" w:after="120"/>
                              <w:rPr>
                                <w:sz w:val="18"/>
                                <w:szCs w:val="18"/>
                              </w:rPr>
                            </w:pPr>
                            <w:r>
                              <w:rPr>
                                <w:sz w:val="18"/>
                                <w:szCs w:val="18"/>
                              </w:rPr>
                              <w:t>Conclusies en aanbevelingen</w:t>
                            </w:r>
                          </w:p>
                          <w:p w:rsidR="00891EED" w:rsidRPr="00A92E91" w:rsidRDefault="00891EED" w:rsidP="007372CD">
                            <w:pPr>
                              <w:pStyle w:val="Normal12PTcouleurgris"/>
                              <w:numPr>
                                <w:ilvl w:val="0"/>
                                <w:numId w:val="78"/>
                              </w:numPr>
                              <w:ind w:left="284" w:hanging="284"/>
                              <w:jc w:val="left"/>
                              <w:rPr>
                                <w:b/>
                                <w:shd w:val="clear" w:color="auto" w:fill="FFFFFF"/>
                              </w:rPr>
                            </w:pPr>
                            <w:r>
                              <w:rPr>
                                <w:b/>
                                <w:shd w:val="clear" w:color="auto" w:fill="FFFFFF"/>
                              </w:rPr>
                              <w:t>Meer informatie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CDC17" id="Rectangle: Diagonal Corners Rounded 19" o:spid="_x0000_s1041" style="position:absolute;left:0;text-align:left;margin-left:1in;margin-top:72.55pt;width:456.35pt;height:272.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795645,3457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" adj="-11796480,,5400" path="m271178,l5795645,r,l5795645,3186397v,149767,-121411,271178,-271178,271178l,3457575r,l,271178c,121411,121411,,271178,xe" filled="f" strokecolor="#be4a35" strokeweight="2pt">
                <v:stroke joinstyle="miter"/>
                <v:formulas/>
                <v:path arrowok="t" o:connecttype="custom" o:connectlocs="271178,0;5795645,0;5795645,0;5795645,3186397;5524467,3457575;0,3457575;0,3457575;0,271178;271178,0" o:connectangles="0,0,0,0,0,0,0,0,0" textboxrect="0,0,5795645,3457575"/>
                <v:textbox>
                  <w:txbxContent>
                    <w:p w:rsidR="00891EED" w:rsidRPr="00AC3522" w:rsidRDefault="00891EED" w:rsidP="00E05D08">
                      <w:pPr>
                        <w:pStyle w:val="Normal12PTcouleurgris"/>
                        <w:rPr>
                          <w:shd w:val="clear" w:color="auto" w:fill="FFFFFF"/>
                        </w:rPr>
                      </w:pPr>
                      <w:r>
                        <w:rPr>
                          <w:noProof/>
                          <w:lang w:val="en-GB" w:eastAsia="en-GB"/>
                        </w:rPr>
                        <w:drawing>
                          <wp:inline distT="0" distB="0" distL="0" distR="0" wp14:anchorId="3D8BB099" wp14:editId="3302BC4B">
                            <wp:extent cx="664845" cy="487680"/>
                            <wp:effectExtent l="0" t="0" r="0" b="7620"/>
                            <wp:docPr id="707"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 xml:space="preserve">Voor elke CEQ wordt de volgende indeling aangehouden: </w:t>
                      </w:r>
                    </w:p>
                    <w:p w:rsidR="00891EED" w:rsidRPr="00A92E91" w:rsidRDefault="00891EED" w:rsidP="008C0B17">
                      <w:pPr>
                        <w:pStyle w:val="Normal12PTcouleurgris"/>
                        <w:numPr>
                          <w:ilvl w:val="0"/>
                          <w:numId w:val="78"/>
                        </w:numPr>
                        <w:ind w:left="284" w:hanging="284"/>
                        <w:jc w:val="left"/>
                        <w:rPr>
                          <w:b/>
                          <w:shd w:val="clear" w:color="auto" w:fill="FFFFFF"/>
                        </w:rPr>
                      </w:pPr>
                      <w:r>
                        <w:rPr>
                          <w:b/>
                          <w:shd w:val="clear" w:color="auto" w:fill="FFFFFF"/>
                        </w:rPr>
                        <w:t>De CEQ begrijpen</w:t>
                      </w:r>
                    </w:p>
                    <w:p w:rsidR="00891EED" w:rsidRPr="00A92E91" w:rsidRDefault="00891EED" w:rsidP="008C0B17">
                      <w:pPr>
                        <w:pStyle w:val="Normal12PTcouleurgris"/>
                        <w:numPr>
                          <w:ilvl w:val="0"/>
                          <w:numId w:val="78"/>
                        </w:numPr>
                        <w:ind w:left="284" w:hanging="284"/>
                        <w:jc w:val="left"/>
                        <w:rPr>
                          <w:b/>
                          <w:shd w:val="clear" w:color="auto" w:fill="FFFFFF"/>
                        </w:rPr>
                      </w:pPr>
                      <w:r>
                        <w:rPr>
                          <w:b/>
                          <w:shd w:val="clear" w:color="auto" w:fill="FFFFFF"/>
                        </w:rPr>
                        <w:t xml:space="preserve">Specifieke uitdagingen </w:t>
                      </w:r>
                    </w:p>
                    <w:p w:rsidR="00891EED" w:rsidRPr="00A92E91" w:rsidRDefault="00891EED" w:rsidP="008C0B17">
                      <w:pPr>
                        <w:pStyle w:val="Normal12PTcouleurgris"/>
                        <w:numPr>
                          <w:ilvl w:val="0"/>
                          <w:numId w:val="78"/>
                        </w:numPr>
                        <w:ind w:left="284" w:hanging="284"/>
                        <w:jc w:val="left"/>
                        <w:rPr>
                          <w:shd w:val="clear" w:color="auto" w:fill="FFFFFF"/>
                        </w:rPr>
                      </w:pPr>
                      <w:r>
                        <w:rPr>
                          <w:b/>
                          <w:shd w:val="clear" w:color="auto" w:fill="FFFFFF"/>
                        </w:rPr>
                        <w:t>Voorgestelde aanpak om de CEQ te beantwoorden</w:t>
                      </w:r>
                      <w:r>
                        <w:rPr>
                          <w:shd w:val="clear" w:color="auto" w:fill="FFFFFF"/>
                        </w:rPr>
                        <w:t xml:space="preserve">: </w:t>
                      </w:r>
                      <w:r>
                        <w:rPr>
                          <w:i/>
                          <w:shd w:val="clear" w:color="auto" w:fill="FFFFFF"/>
                        </w:rPr>
                        <w:t xml:space="preserve">In dit hoofdstuk worden stappen, methoden en adviezen gegeven voor de manier waarop de gemeenschappelijke en aanvullende indicatoren ter beantwoording van de CEQ moeten worden gebruikt. </w:t>
                      </w:r>
                    </w:p>
                    <w:p w:rsidR="00891EED" w:rsidRPr="00A92E91" w:rsidRDefault="00891EED" w:rsidP="008C0B17">
                      <w:pPr>
                        <w:pStyle w:val="Hlistabc2"/>
                        <w:numPr>
                          <w:ilvl w:val="0"/>
                          <w:numId w:val="54"/>
                        </w:numPr>
                        <w:spacing w:before="120" w:after="120"/>
                        <w:rPr>
                          <w:sz w:val="18"/>
                          <w:szCs w:val="18"/>
                        </w:rPr>
                      </w:pPr>
                      <w:r>
                        <w:rPr>
                          <w:sz w:val="18"/>
                          <w:szCs w:val="18"/>
                        </w:rPr>
                        <w:t xml:space="preserve">Interventielogica </w:t>
                      </w:r>
                    </w:p>
                    <w:p w:rsidR="00891EED" w:rsidRPr="00A92E91" w:rsidRDefault="00891EED" w:rsidP="008C0B17">
                      <w:pPr>
                        <w:pStyle w:val="Hlistabc2"/>
                        <w:numPr>
                          <w:ilvl w:val="0"/>
                          <w:numId w:val="54"/>
                        </w:numPr>
                        <w:spacing w:before="120" w:after="120"/>
                        <w:rPr>
                          <w:sz w:val="18"/>
                          <w:szCs w:val="18"/>
                        </w:rPr>
                      </w:pPr>
                      <w:r>
                        <w:rPr>
                          <w:sz w:val="18"/>
                          <w:szCs w:val="18"/>
                        </w:rPr>
                        <w:t xml:space="preserve">Evaluatie-elementen </w:t>
                      </w:r>
                    </w:p>
                    <w:p w:rsidR="00891EED" w:rsidRPr="00A92E91" w:rsidRDefault="00891EED" w:rsidP="008C0B17">
                      <w:pPr>
                        <w:pStyle w:val="Hlistabc2"/>
                        <w:numPr>
                          <w:ilvl w:val="0"/>
                          <w:numId w:val="54"/>
                        </w:numPr>
                        <w:spacing w:before="120" w:after="120"/>
                        <w:rPr>
                          <w:sz w:val="18"/>
                          <w:szCs w:val="18"/>
                        </w:rPr>
                      </w:pPr>
                      <w:r>
                        <w:rPr>
                          <w:sz w:val="18"/>
                          <w:szCs w:val="18"/>
                        </w:rPr>
                        <w:t xml:space="preserve">Voorgestelde evaluatiemethodologie </w:t>
                      </w:r>
                    </w:p>
                    <w:p w:rsidR="00891EED" w:rsidRPr="00A92E91" w:rsidRDefault="00891EED" w:rsidP="008C0B17">
                      <w:pPr>
                        <w:pStyle w:val="Hlistabc2"/>
                        <w:numPr>
                          <w:ilvl w:val="0"/>
                          <w:numId w:val="54"/>
                        </w:numPr>
                        <w:spacing w:before="120" w:after="120"/>
                        <w:rPr>
                          <w:sz w:val="18"/>
                          <w:szCs w:val="18"/>
                        </w:rPr>
                      </w:pPr>
                      <w:r>
                        <w:rPr>
                          <w:sz w:val="18"/>
                          <w:szCs w:val="18"/>
                        </w:rPr>
                        <w:t xml:space="preserve">Risico's en oplossingen </w:t>
                      </w:r>
                    </w:p>
                    <w:p w:rsidR="00891EED" w:rsidRPr="00A92E91" w:rsidRDefault="00891EED" w:rsidP="008C0B17">
                      <w:pPr>
                        <w:pStyle w:val="Hlistabc2"/>
                        <w:numPr>
                          <w:ilvl w:val="0"/>
                          <w:numId w:val="54"/>
                        </w:numPr>
                        <w:spacing w:before="120" w:after="120"/>
                        <w:rPr>
                          <w:sz w:val="18"/>
                          <w:szCs w:val="18"/>
                        </w:rPr>
                      </w:pPr>
                      <w:r>
                        <w:rPr>
                          <w:sz w:val="18"/>
                          <w:szCs w:val="18"/>
                        </w:rPr>
                        <w:t>Conclusies en aanbevelingen</w:t>
                      </w:r>
                    </w:p>
                    <w:p w:rsidR="00891EED" w:rsidRPr="00A92E91" w:rsidRDefault="00891EED" w:rsidP="007372CD">
                      <w:pPr>
                        <w:pStyle w:val="Normal12PTcouleurgris"/>
                        <w:numPr>
                          <w:ilvl w:val="0"/>
                          <w:numId w:val="78"/>
                        </w:numPr>
                        <w:ind w:left="284" w:hanging="284"/>
                        <w:jc w:val="left"/>
                        <w:rPr>
                          <w:b/>
                          <w:shd w:val="clear" w:color="auto" w:fill="FFFFFF"/>
                        </w:rPr>
                      </w:pPr>
                      <w:r>
                        <w:rPr>
                          <w:b/>
                          <w:shd w:val="clear" w:color="auto" w:fill="FFFFFF"/>
                        </w:rPr>
                        <w:t>Meer informatie</w:t>
                      </w:r>
                    </w:p>
                  </w:txbxContent>
                </v:textbox>
                <w10:wrap type="square" anchorx="page"/>
              </v:shape>
            </w:pict>
          </mc:Fallback>
        </mc:AlternateContent>
      </w:r>
      <w:r>
        <w:rPr>
          <w:szCs w:val="20"/>
          <w:shd w:val="clear" w:color="auto" w:fill="FFFFFF"/>
        </w:rPr>
        <w:t>Het is verplicht om de CEQ's te beantwoorden, maar in dit hoofdstuk worden niet-bindende richtsnoeren gegeven voor beantwoording van de innovatiegerelateerde CEQ's nr. 1, 2, 21, 23 en 30. Deze vragen moeten worden beantwoord in het in 2019 in te dienen uitgebreide Jaarlijkse uitvoeringsverslag en in de evaluatie achteraf.</w:t>
      </w:r>
    </w:p>
    <w:p w:rsidR="00A45935" w:rsidRPr="00E05D08" w:rsidRDefault="00A45935" w:rsidP="00582F60">
      <w:pPr>
        <w:spacing w:after="120" w:line="280" w:lineRule="atLeast"/>
        <w:mirrorIndents/>
        <w:rPr>
          <w:rFonts w:eastAsia="Times New Roman" w:cs="Times New Roman"/>
          <w:color w:val="F07E31"/>
          <w:szCs w:val="20"/>
        </w:rPr>
        <w:sectPr w:rsidR="00A45935" w:rsidRPr="00E05D08" w:rsidSect="00055039">
          <w:headerReference w:type="even" r:id="rId34"/>
          <w:footerReference w:type="even" r:id="rId35"/>
          <w:footerReference w:type="default" r:id="rId36"/>
          <w:footerReference w:type="first" r:id="rId37"/>
          <w:endnotePr>
            <w:numFmt w:val="decimal"/>
          </w:endnotePr>
          <w:type w:val="continuous"/>
          <w:pgSz w:w="11906" w:h="16838" w:code="9"/>
          <w:pgMar w:top="1440" w:right="1440" w:bottom="1134" w:left="1440" w:header="567" w:footer="1021" w:gutter="0"/>
          <w:cols w:space="708"/>
          <w:noEndnote/>
          <w:titlePg/>
          <w:docGrid w:linePitch="360"/>
        </w:sectPr>
      </w:pPr>
      <w:r>
        <w:rPr>
          <w:szCs w:val="20"/>
          <w:shd w:val="clear" w:color="auto" w:fill="FFFFFF"/>
        </w:rPr>
        <w:t xml:space="preserve"> </w:t>
      </w:r>
      <w:bookmarkStart w:id="106" w:name="_Toc501382131"/>
      <w:r>
        <w:br w:type="page"/>
      </w:r>
    </w:p>
    <w:p w:rsidR="00A45935" w:rsidRPr="00501827" w:rsidRDefault="00A45935" w:rsidP="009B603C">
      <w:pPr>
        <w:pStyle w:val="HHeading3"/>
        <w:numPr>
          <w:ilvl w:val="2"/>
          <w:numId w:val="119"/>
        </w:numPr>
        <w:tabs>
          <w:tab w:val="clear" w:pos="567"/>
        </w:tabs>
        <w:spacing w:line="280" w:lineRule="exact"/>
        <w:ind w:left="567" w:hanging="578"/>
      </w:pPr>
      <w:bookmarkStart w:id="107" w:name="_Toc511656274"/>
      <w:r>
        <w:lastRenderedPageBreak/>
        <w:t>CEQ nr. 1: "In hoeverre hebben de steunmaatregelen in het kader van het POP innovatie, samenwerking en de ontwikkeling van de kennisbasis in plattelandsgebieden ondersteund?"</w:t>
      </w:r>
      <w:bookmarkEnd w:id="106"/>
      <w:bookmarkEnd w:id="107"/>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De CEQ begrijpen</w:t>
      </w:r>
    </w:p>
    <w:p w:rsidR="00A45935" w:rsidRPr="00E05D08" w:rsidRDefault="00A45935" w:rsidP="00E05D08">
      <w:pPr>
        <w:spacing w:after="120" w:line="280" w:lineRule="atLeast"/>
        <w:mirrorIndents/>
        <w:rPr>
          <w:rFonts w:eastAsia="Times New Roman" w:cs="Times New Roman"/>
          <w:szCs w:val="20"/>
        </w:rPr>
      </w:pPr>
      <w:r>
        <w:t>Er zijn drie maatregelen die het meeste bijdragen aan de verwezenlijking van de aan CEQ nr. 1 gekoppelde doelstelling (nl. ondersteuning van innovatie): M1 (art. 14 "Acties inzake kennisoverdracht en voorlichting"), M2 (art. 15 "Bedrijfsadviesdiensten, bedrijfsbeheersdiensten en bedrijfsverzorgingsdiensten") en M16 (art. 35 "Samenwerking")</w:t>
      </w:r>
      <w:r>
        <w:rPr>
          <w:rFonts w:eastAsia="Times New Roman" w:cs="Times New Roman"/>
          <w:szCs w:val="20"/>
          <w:vertAlign w:val="superscript"/>
          <w:lang w:eastAsia="de-DE"/>
        </w:rPr>
        <w:footnoteReference w:id="48"/>
      </w:r>
      <w:r>
        <w:t>. Bovendien kan M19 (art. 42 en art. 35 van Verordening (EU) nr. 1303/2013) ook beschouwd worden als een belangrijke bijdrage aan het innovatie-aspect van de voormelde doelstelling.</w:t>
      </w:r>
    </w:p>
    <w:p w:rsidR="00A45935" w:rsidRPr="00E05D08" w:rsidRDefault="00A45935" w:rsidP="00E05D08">
      <w:pPr>
        <w:spacing w:after="120" w:line="280" w:lineRule="atLeast"/>
        <w:mirrorIndents/>
        <w:rPr>
          <w:rFonts w:eastAsia="Times New Roman" w:cs="Times New Roman"/>
          <w:szCs w:val="20"/>
        </w:rPr>
      </w:pPr>
      <w:r>
        <w:t xml:space="preserve">Het is van cruciaal belang te onderzoeken welke aspecten van de maatregelen innovatie ondersteunen. Zo kan uit een gegeven interventielogica van prioriteit 1 blijken dat M1 en M16 ook rechtstreeks bijdragen aan AG 1B (M16) of AG 1C (M1) en niet alleen aan AG 1A. </w:t>
      </w:r>
    </w:p>
    <w:p w:rsidR="00A45935" w:rsidRPr="00E05D08" w:rsidRDefault="00654F10" w:rsidP="00E05D08">
      <w:pPr>
        <w:spacing w:after="120" w:line="280" w:lineRule="atLeast"/>
        <w:mirrorIndents/>
        <w:rPr>
          <w:rFonts w:eastAsia="Times New Roman" w:cs="Times New Roman"/>
          <w:szCs w:val="20"/>
        </w:rPr>
      </w:pPr>
      <w:r>
        <w:t xml:space="preserve">De innovatiegerelateerde elementen van deze maatregelen kunnen als volgt worden ingedeeld: </w:t>
      </w:r>
    </w:p>
    <w:p w:rsidR="00A45935" w:rsidRDefault="00A45935" w:rsidP="00E05D08">
      <w:pPr>
        <w:spacing w:after="120" w:line="280" w:lineRule="atLeast"/>
        <w:mirrorIndents/>
        <w:rPr>
          <w:rFonts w:eastAsia="Times New Roman" w:cs="Times New Roman"/>
          <w:szCs w:val="20"/>
        </w:rPr>
      </w:pPr>
      <w:r>
        <w:rPr>
          <w:b/>
          <w:szCs w:val="20"/>
        </w:rPr>
        <w:t>M1</w:t>
      </w:r>
      <w:r>
        <w:t xml:space="preserve"> (art. 14) heeft betrekking op beroepsopleiding en verwerving van deskundigheid, demonstratieactiviteiten en voorlichtingsacties. Daarnaast kan deze maatregel voorzien in uitwisselingen op landbouw- en bosbouwbeheersniveau en bezoeken aan landbouw- en bosbouwbedrijven. Hoewel artikel 14 niet uitdrukkelijk melding maakt van innovatie, kunnen deze acties een belangrijke rol spelen bij het </w:t>
      </w:r>
      <w:r>
        <w:rPr>
          <w:b/>
          <w:szCs w:val="20"/>
        </w:rPr>
        <w:t>opbouwen van innovatiecapaciteit</w:t>
      </w:r>
      <w:r>
        <w:t>.</w:t>
      </w:r>
    </w:p>
    <w:p w:rsidR="00A45935" w:rsidRPr="00E05D08" w:rsidRDefault="00A45935" w:rsidP="00E05D08">
      <w:pPr>
        <w:spacing w:after="120" w:line="280" w:lineRule="atLeast"/>
        <w:mirrorIndents/>
        <w:rPr>
          <w:rFonts w:eastAsia="Times New Roman" w:cs="Times New Roman"/>
          <w:szCs w:val="20"/>
        </w:rPr>
      </w:pPr>
      <w:r>
        <w:rPr>
          <w:b/>
          <w:szCs w:val="20"/>
        </w:rPr>
        <w:t>M2</w:t>
      </w:r>
      <w:r>
        <w:t xml:space="preserve"> (art. 15) betreft advies aan individuele landbouwers, jonge landbouwers en andere landbeheerders, alsook opleiding van adviseurs of verleners van innovatiesteundiensten. Dit omvat verschillende elementen, zoals het advies inzake POP-maatregelen op het niveau van het landbouwbedrijf die onder meer gericht zijn op innovatie</w:t>
      </w:r>
      <w:r>
        <w:rPr>
          <w:rFonts w:eastAsia="Times New Roman" w:cs="Times New Roman"/>
          <w:szCs w:val="20"/>
          <w:vertAlign w:val="superscript"/>
          <w:lang w:eastAsia="de-DE"/>
        </w:rPr>
        <w:footnoteReference w:id="49"/>
      </w:r>
      <w:r>
        <w:t xml:space="preserve">. Verlening van adviesdiensten is één manier om </w:t>
      </w:r>
      <w:r>
        <w:rPr>
          <w:b/>
          <w:szCs w:val="20"/>
        </w:rPr>
        <w:t>innovatiecapaciteit op te bouwen</w:t>
      </w:r>
      <w:r>
        <w:t xml:space="preserve"> (zie </w:t>
      </w:r>
      <w:hyperlink w:anchor="Innovation_RD" w:history="1">
        <w:r>
          <w:rPr>
            <w:rStyle w:val="Hyperlink"/>
            <w:sz w:val="20"/>
            <w:szCs w:val="20"/>
          </w:rPr>
          <w:t>paragraaf 1.1</w:t>
        </w:r>
      </w:hyperlink>
      <w:r>
        <w:t>) door de mogelijkheid tot kennisoverdracht te bieden. In de context van het EIP vervullen adviseurs/innovatiesteundiensten bovendien een "coachende" rol in de interactieve innovatieprocessen in het kader van OG's.</w:t>
      </w:r>
    </w:p>
    <w:p w:rsidR="00A45935" w:rsidRDefault="00A45935" w:rsidP="00E05D08">
      <w:pPr>
        <w:spacing w:after="120" w:line="280" w:lineRule="atLeast"/>
        <w:mirrorIndents/>
        <w:rPr>
          <w:rFonts w:eastAsia="Times New Roman" w:cs="Times New Roman"/>
          <w:szCs w:val="20"/>
        </w:rPr>
      </w:pPr>
      <w:r>
        <w:rPr>
          <w:b/>
          <w:szCs w:val="20"/>
        </w:rPr>
        <w:t>M16</w:t>
      </w:r>
      <w:r>
        <w:t xml:space="preserve"> (art. 35) ondersteunt (a) samenwerking tussen een grote verscheidenheid van actoren die bijdragen tot de verwezenlijking van de doelstellingen van plattelandsontwikkelingsbeleid (onder meer de landbouw- en bosbouwsector, de voedselketen, producentengroepen, coöperaties en brancheorganisaties); (b) instelling van clusters en netwerken, en (c) oprichting en werking van OG's van het EIP-AGRI. M16 omvat 10 submaatregelen en ondersteunt innovatie met betrekking tot </w:t>
      </w:r>
      <w:r>
        <w:rPr>
          <w:b/>
          <w:szCs w:val="20"/>
        </w:rPr>
        <w:t>alle drie de trajecten</w:t>
      </w:r>
      <w:r>
        <w:t xml:space="preserve"> die in paragraaf 1.1 zijn beschreven (zie kader hieronder).</w:t>
      </w:r>
    </w:p>
    <w:p w:rsidR="006F1601" w:rsidRDefault="00A45935" w:rsidP="00E05D08">
      <w:pPr>
        <w:spacing w:after="120" w:line="280" w:lineRule="atLeast"/>
        <w:mirrorIndents/>
        <w:rPr>
          <w:rFonts w:eastAsia="Times New Roman" w:cs="Times New Roman"/>
          <w:szCs w:val="20"/>
        </w:rPr>
      </w:pPr>
      <w:r>
        <w:rPr>
          <w:b/>
          <w:szCs w:val="20"/>
        </w:rPr>
        <w:t xml:space="preserve">M19 </w:t>
      </w:r>
      <w:r>
        <w:t>(art. 42) ondersteunt lokale plattelandsontwikkeling door toepassing van de LEADER-principes</w:t>
      </w:r>
      <w:r>
        <w:rPr>
          <w:rFonts w:eastAsia="Calibri" w:cs="Times New Roman"/>
          <w:szCs w:val="20"/>
          <w:vertAlign w:val="superscript"/>
          <w:lang w:eastAsia="de-DE"/>
        </w:rPr>
        <w:footnoteReference w:id="50"/>
      </w:r>
      <w:r>
        <w:t>. Een van deze principes is erop gericht innovaties te bevorderen met activiteiten van de lokale actiegroepen en de begunstigden van GGLO-strategieën. M19 omvat 5 submaatregelen die innovatie kunnen ondersteunen via een, twee of alle drie de trajecten die in paragraaf 1.1 zijn beschreven (zie kader hieronder).</w:t>
      </w:r>
    </w:p>
    <w:p w:rsidR="006F1601" w:rsidRDefault="006F1601" w:rsidP="00E05D08">
      <w:pPr>
        <w:spacing w:after="120" w:line="280" w:lineRule="atLeast"/>
        <w:mirrorIndents/>
        <w:rPr>
          <w:rFonts w:eastAsia="Calibri" w:cs="Times New Roman"/>
          <w:szCs w:val="20"/>
          <w:lang w:eastAsia="de-DE"/>
        </w:rPr>
      </w:pPr>
    </w:p>
    <w:p w:rsidR="00A66F3C" w:rsidRDefault="00345647" w:rsidP="00A66F3C">
      <w:pPr>
        <w:spacing w:after="120" w:line="280" w:lineRule="atLeast"/>
        <w:mirrorIndents/>
        <w:rPr>
          <w:rFonts w:eastAsia="Calibri" w:cs="Times New Roman"/>
          <w:b/>
          <w:color w:val="57825E"/>
          <w:szCs w:val="20"/>
          <w:shd w:val="clear" w:color="auto" w:fill="FFFFFF"/>
        </w:rPr>
      </w:pPr>
      <w:r>
        <w:rPr>
          <w:rFonts w:eastAsia="Times New Roman" w:cs="Times New Roman"/>
          <w:noProof/>
          <w:szCs w:val="20"/>
          <w:lang w:val="en-GB" w:eastAsia="en-GB"/>
        </w:rPr>
        <w:lastRenderedPageBreak/>
        <mc:AlternateContent>
          <mc:Choice Requires="wps">
            <w:drawing>
              <wp:anchor distT="0" distB="0" distL="114300" distR="114300" simplePos="0" relativeHeight="251660288" behindDoc="1" locked="0" layoutInCell="1" allowOverlap="1" wp14:anchorId="7563667C" wp14:editId="015F8E0C">
                <wp:simplePos x="0" y="0"/>
                <wp:positionH relativeFrom="column">
                  <wp:posOffset>257175</wp:posOffset>
                </wp:positionH>
                <wp:positionV relativeFrom="paragraph">
                  <wp:posOffset>-361950</wp:posOffset>
                </wp:positionV>
                <wp:extent cx="5724525" cy="8839200"/>
                <wp:effectExtent l="0" t="0" r="28575" b="19050"/>
                <wp:wrapTight wrapText="bothSides">
                  <wp:wrapPolygon edited="0">
                    <wp:start x="719" y="0"/>
                    <wp:lineTo x="0" y="326"/>
                    <wp:lineTo x="0" y="21600"/>
                    <wp:lineTo x="20989" y="21600"/>
                    <wp:lineTo x="21636" y="21321"/>
                    <wp:lineTo x="21636" y="0"/>
                    <wp:lineTo x="719" y="0"/>
                  </wp:wrapPolygon>
                </wp:wrapTight>
                <wp:docPr id="11" name="Rectangle: Diagonal Corners Rounded 11"/>
                <wp:cNvGraphicFramePr/>
                <a:graphic xmlns:a="http://schemas.openxmlformats.org/drawingml/2006/main">
                  <a:graphicData uri="http://schemas.microsoft.com/office/word/2010/wordprocessingShape">
                    <wps:wsp>
                      <wps:cNvSpPr/>
                      <wps:spPr>
                        <a:xfrm>
                          <a:off x="0" y="0"/>
                          <a:ext cx="5724525" cy="8839200"/>
                        </a:xfrm>
                        <a:prstGeom prst="round2DiagRect">
                          <a:avLst>
                            <a:gd name="adj1" fmla="val 5642"/>
                            <a:gd name="adj2" fmla="val 0"/>
                          </a:avLst>
                        </a:prstGeom>
                        <a:noFill/>
                        <a:ln w="25400" cap="flat" cmpd="sng" algn="ctr">
                          <a:solidFill>
                            <a:srgbClr val="F07E31"/>
                          </a:solidFill>
                          <a:prstDash val="solid"/>
                        </a:ln>
                        <a:effectLst/>
                      </wps:spPr>
                      <wps:txbx>
                        <w:txbxContent>
                          <w:p w:rsidR="00891EED" w:rsidRDefault="00891EED" w:rsidP="00C3334D">
                            <w:pPr>
                              <w:pStyle w:val="HStandard"/>
                              <w:ind w:left="284" w:right="23"/>
                            </w:pPr>
                            <w:r>
                              <w:rPr>
                                <w:noProof/>
                                <w:lang w:val="en-GB" w:eastAsia="en-GB"/>
                              </w:rPr>
                              <w:drawing>
                                <wp:inline distT="0" distB="0" distL="0" distR="0" wp14:anchorId="49F81565" wp14:editId="4D59AE2A">
                                  <wp:extent cx="353060" cy="359410"/>
                                  <wp:effectExtent l="0" t="0" r="8890" b="2540"/>
                                  <wp:docPr id="5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891EED" w:rsidRPr="00A66F3C" w:rsidRDefault="00891EED" w:rsidP="00A66F3C">
                            <w:pPr>
                              <w:pStyle w:val="HStandard"/>
                              <w:ind w:right="23"/>
                              <w:rPr>
                                <w:b/>
                                <w:color w:val="F07E31"/>
                                <w:sz w:val="18"/>
                                <w:szCs w:val="18"/>
                              </w:rPr>
                            </w:pPr>
                            <w:r>
                              <w:rPr>
                                <w:b/>
                                <w:color w:val="F07E31"/>
                                <w:sz w:val="18"/>
                                <w:szCs w:val="18"/>
                              </w:rPr>
                              <w:t>Voorbeelden van de manier waarop M1 innovatiecapaciteit kan opbouwen:</w:t>
                            </w:r>
                          </w:p>
                          <w:p w:rsidR="00891EED" w:rsidRPr="00A66F3C" w:rsidRDefault="00891EED" w:rsidP="00A66F3C">
                            <w:pPr>
                              <w:pStyle w:val="Hlistbullet"/>
                              <w:rPr>
                                <w:sz w:val="18"/>
                                <w:szCs w:val="18"/>
                              </w:rPr>
                            </w:pPr>
                            <w:r>
                              <w:rPr>
                                <w:sz w:val="18"/>
                                <w:szCs w:val="18"/>
                              </w:rPr>
                              <w:t>Nieuwe vaardigheden voor landbouwers/kmo's voor toepassing van innovatieve processen/technieken of nieuwe organisatorische vaardigheden.</w:t>
                            </w:r>
                          </w:p>
                          <w:p w:rsidR="00891EED" w:rsidRPr="00A66F3C" w:rsidRDefault="00891EED" w:rsidP="00A66F3C">
                            <w:pPr>
                              <w:pStyle w:val="Hlistbullet"/>
                              <w:rPr>
                                <w:sz w:val="18"/>
                                <w:szCs w:val="18"/>
                              </w:rPr>
                            </w:pPr>
                            <w:r>
                              <w:rPr>
                                <w:sz w:val="18"/>
                                <w:szCs w:val="18"/>
                              </w:rPr>
                              <w:t>Uitwisselingen en bezoeken die helpen om kennis over te dragen tussen landbouwbedrijven/regio's.</w:t>
                            </w:r>
                          </w:p>
                          <w:p w:rsidR="00891EED" w:rsidRPr="00A66F3C" w:rsidRDefault="00891EED" w:rsidP="00C3334D">
                            <w:pPr>
                              <w:pStyle w:val="HStandard"/>
                              <w:ind w:right="54"/>
                              <w:rPr>
                                <w:b/>
                                <w:color w:val="F07E31"/>
                                <w:sz w:val="18"/>
                                <w:szCs w:val="18"/>
                              </w:rPr>
                            </w:pPr>
                            <w:r>
                              <w:rPr>
                                <w:b/>
                                <w:color w:val="F07E31"/>
                                <w:sz w:val="18"/>
                                <w:szCs w:val="18"/>
                              </w:rPr>
                              <w:t>Voorbeelden van de manier waarop M16 innovatie ondersteunt:</w:t>
                            </w:r>
                          </w:p>
                          <w:p w:rsidR="00891EED" w:rsidRPr="00A66F3C" w:rsidRDefault="00891EED" w:rsidP="00A66F3C">
                            <w:pPr>
                              <w:pStyle w:val="Hlistbullet"/>
                              <w:rPr>
                                <w:sz w:val="18"/>
                                <w:szCs w:val="18"/>
                              </w:rPr>
                            </w:pPr>
                            <w:r>
                              <w:rPr>
                                <w:sz w:val="18"/>
                                <w:szCs w:val="18"/>
                              </w:rPr>
                              <w:t>De ontwikkeling van nieuwe producten, praktijken en technologieën in de landbouw-, bosbouw- en de voedselsector (submaatregel M16.2</w:t>
                            </w:r>
                            <w:r>
                              <w:rPr>
                                <w:sz w:val="18"/>
                                <w:szCs w:val="18"/>
                                <w:vertAlign w:val="superscript"/>
                              </w:rPr>
                              <w:t>51</w:t>
                            </w:r>
                            <w:r>
                              <w:rPr>
                                <w:sz w:val="18"/>
                                <w:szCs w:val="18"/>
                              </w:rPr>
                              <w:t xml:space="preserve">) houdt verband met het gezamenlijk herkennen en stimuleren van innovatie. </w:t>
                            </w:r>
                          </w:p>
                          <w:p w:rsidR="00891EED" w:rsidRPr="00A66F3C" w:rsidRDefault="00891EED" w:rsidP="00A66F3C">
                            <w:pPr>
                              <w:pStyle w:val="Hlistbullet"/>
                              <w:rPr>
                                <w:sz w:val="18"/>
                                <w:szCs w:val="18"/>
                              </w:rPr>
                            </w:pPr>
                            <w:r>
                              <w:rPr>
                                <w:sz w:val="18"/>
                                <w:szCs w:val="18"/>
                              </w:rPr>
                              <w:t xml:space="preserve">Alle andere submaatregelen hebben het potentieel om </w:t>
                            </w:r>
                            <w:r>
                              <w:rPr>
                                <w:b/>
                                <w:sz w:val="18"/>
                                <w:szCs w:val="18"/>
                              </w:rPr>
                              <w:t>innovatiecapaciteit op te bouwen</w:t>
                            </w:r>
                            <w:r>
                              <w:rPr>
                                <w:sz w:val="18"/>
                                <w:szCs w:val="18"/>
                              </w:rPr>
                              <w:t>, aangezien het proces van samenwerking inhoudt dat collectief nieuwe kansen worden vastgesteld, nieuwe ideeën worden bedacht, met nieuwe technologie wordt geëxperimenteerd of nieuwe manieren worden vastgesteld om dingen te doen.</w:t>
                            </w:r>
                          </w:p>
                          <w:p w:rsidR="00891EED" w:rsidRPr="00A66F3C" w:rsidRDefault="00891EED" w:rsidP="00A66F3C">
                            <w:pPr>
                              <w:pStyle w:val="Hlistbullet"/>
                              <w:rPr>
                                <w:sz w:val="18"/>
                                <w:szCs w:val="18"/>
                              </w:rPr>
                            </w:pPr>
                            <w:r>
                              <w:rPr>
                                <w:sz w:val="18"/>
                                <w:szCs w:val="18"/>
                              </w:rPr>
                              <w:t xml:space="preserve">Bovendien kan de ondersteuning van adviseurs/innovatiesteundiensten aan samenwerkingsprojecten, daaronder begrepen de steun die NPN's daartoe verlenen, bijdragen aan het </w:t>
                            </w:r>
                            <w:r>
                              <w:rPr>
                                <w:b/>
                                <w:sz w:val="18"/>
                                <w:szCs w:val="18"/>
                              </w:rPr>
                              <w:t>opbouwen van innovatiecapaciteit</w:t>
                            </w:r>
                            <w:r>
                              <w:rPr>
                                <w:sz w:val="18"/>
                                <w:szCs w:val="18"/>
                              </w:rPr>
                              <w:t>.</w:t>
                            </w:r>
                          </w:p>
                          <w:p w:rsidR="00891EED" w:rsidRPr="00A66F3C" w:rsidRDefault="00891EED" w:rsidP="00A66F3C">
                            <w:pPr>
                              <w:pStyle w:val="Hlistbullet"/>
                              <w:rPr>
                                <w:sz w:val="18"/>
                                <w:szCs w:val="18"/>
                              </w:rPr>
                            </w:pPr>
                            <w:r>
                              <w:rPr>
                                <w:sz w:val="18"/>
                                <w:szCs w:val="18"/>
                              </w:rPr>
                              <w:t xml:space="preserve">De betrokkenheid van belanghebbenden van innovatie bij samenwerkingsprojecten (bv. innovatiesteundiensten, innovatie-afdelingen, O&amp;O-centra of innovatie- en technologiecentra) kan bijdragen aan het </w:t>
                            </w:r>
                            <w:r>
                              <w:rPr>
                                <w:b/>
                                <w:sz w:val="18"/>
                                <w:szCs w:val="18"/>
                              </w:rPr>
                              <w:t>scheppen van een faciliterende omgeving voor innovatie</w:t>
                            </w:r>
                            <w:r>
                              <w:rPr>
                                <w:sz w:val="18"/>
                                <w:szCs w:val="18"/>
                              </w:rPr>
                              <w:t>. Zo kan het resultaat van een collectief onderzoeksproject de wetgeving beïnvloeden (bv. milieuwetgeving).</w:t>
                            </w:r>
                          </w:p>
                          <w:p w:rsidR="00891EED" w:rsidRPr="00A66F3C" w:rsidRDefault="00891EED" w:rsidP="00A66F3C">
                            <w:pPr>
                              <w:pStyle w:val="Hlistbullet"/>
                              <w:rPr>
                                <w:sz w:val="18"/>
                                <w:szCs w:val="18"/>
                              </w:rPr>
                            </w:pPr>
                            <w:r>
                              <w:rPr>
                                <w:sz w:val="18"/>
                                <w:szCs w:val="18"/>
                              </w:rPr>
                              <w:t xml:space="preserve">De oprichting en werking van OG's kan een nog holistischere benadering van innovatie-ondersteuning met zich meebrengen doordat </w:t>
                            </w:r>
                            <w:r>
                              <w:rPr>
                                <w:b/>
                                <w:sz w:val="18"/>
                                <w:szCs w:val="18"/>
                              </w:rPr>
                              <w:t>alle drie de trajecten</w:t>
                            </w:r>
                            <w:r>
                              <w:rPr>
                                <w:sz w:val="18"/>
                                <w:szCs w:val="18"/>
                              </w:rPr>
                              <w:t xml:space="preserve"> gecombineerd worden: het vaststellen van nieuwe ideeën (het uitgangspunt voor OG's), de opbouw van innovatiecapaciteit (de ondersteuning van adviseurs/innovatiesteundiensten) en de schepping van een faciliterende omgeving voor innovatie (de projectresultaten van de OG's).</w:t>
                            </w:r>
                          </w:p>
                          <w:p w:rsidR="00891EED" w:rsidRPr="00A66F3C" w:rsidRDefault="00891EED" w:rsidP="00C3334D">
                            <w:pPr>
                              <w:pStyle w:val="Normal12PTcouleurgris"/>
                              <w:ind w:left="284"/>
                              <w:rPr>
                                <w:color w:val="F07E31"/>
                                <w:sz w:val="18"/>
                              </w:rPr>
                            </w:pPr>
                            <w:r>
                              <w:rPr>
                                <w:b/>
                                <w:color w:val="F07E31"/>
                                <w:sz w:val="18"/>
                              </w:rPr>
                              <w:t>Voorbeelden van de manier waarop M19 innovatie ondersteunt:</w:t>
                            </w:r>
                          </w:p>
                          <w:p w:rsidR="00891EED" w:rsidRPr="00A66F3C" w:rsidRDefault="00891EED" w:rsidP="00A66F3C">
                            <w:pPr>
                              <w:pStyle w:val="Hlistbullet"/>
                              <w:rPr>
                                <w:sz w:val="18"/>
                                <w:szCs w:val="18"/>
                              </w:rPr>
                            </w:pPr>
                            <w:r>
                              <w:rPr>
                                <w:sz w:val="18"/>
                                <w:szCs w:val="18"/>
                              </w:rPr>
                              <w:t xml:space="preserve">Nieuwe manieren van strategie-ontwerp toepassen, waaronder verschillende unieke vormen om deelname van de lokale bevolking aan strategische beslissingen te verzekeren (bv. verschillende bewustmakingsactiviteiten in verband met het vergaren van informatie, verschillende workshops en discussieplatforms enz.) en aldus bij te dragen </w:t>
                            </w:r>
                            <w:r>
                              <w:rPr>
                                <w:b/>
                                <w:sz w:val="18"/>
                                <w:szCs w:val="18"/>
                              </w:rPr>
                              <w:t>aan de faciliterende omgeving voor innovatie (traject 3).</w:t>
                            </w:r>
                          </w:p>
                          <w:p w:rsidR="00891EED" w:rsidRPr="00A66F3C" w:rsidRDefault="00891EED" w:rsidP="00A66F3C">
                            <w:pPr>
                              <w:pStyle w:val="Hlistbullet"/>
                              <w:rPr>
                                <w:sz w:val="18"/>
                                <w:szCs w:val="18"/>
                              </w:rPr>
                            </w:pPr>
                            <w:r>
                              <w:rPr>
                                <w:sz w:val="18"/>
                                <w:szCs w:val="18"/>
                              </w:rPr>
                              <w:t xml:space="preserve">Implementatie van innovatieve bewustmakingsactiviteiten die verder gaan dan het ontwerpen en implementeren van strategieën en ervoor zorgen dat een breed publiek betrokken wordt bij verschillende innovatieve acties van LAG's (bv. gericht op het opbouwen van een sterke territoriale identiteit door, bijvoorbeeld, natuurlijk en cultureel erfgoed een rol te laten spelen), die verdere ondersteuning bieden voor de </w:t>
                            </w:r>
                            <w:r>
                              <w:rPr>
                                <w:b/>
                                <w:sz w:val="18"/>
                                <w:szCs w:val="18"/>
                              </w:rPr>
                              <w:t>faciliterende omgeving en potentiële innovatieve ideeën stimuleren (traject 3 en 1)</w:t>
                            </w:r>
                            <w:r>
                              <w:rPr>
                                <w:sz w:val="18"/>
                                <w:szCs w:val="18"/>
                              </w:rPr>
                              <w:t>.</w:t>
                            </w:r>
                          </w:p>
                          <w:p w:rsidR="00891EED" w:rsidRPr="00A66F3C" w:rsidRDefault="00891EED" w:rsidP="00A66F3C">
                            <w:pPr>
                              <w:pStyle w:val="Hlistbullet"/>
                              <w:rPr>
                                <w:sz w:val="18"/>
                                <w:szCs w:val="18"/>
                              </w:rPr>
                            </w:pPr>
                            <w:r>
                              <w:rPr>
                                <w:sz w:val="18"/>
                                <w:szCs w:val="18"/>
                              </w:rPr>
                              <w:t xml:space="preserve">Innovatieve samenwerkingsprojecten in gang zetten, die overdracht van nieuwe kennis, ervaringen en technologieën naar het LAG-gebied mogelijk maken en een klimaat scheppen waarin </w:t>
                            </w:r>
                            <w:r>
                              <w:rPr>
                                <w:b/>
                                <w:sz w:val="18"/>
                                <w:szCs w:val="18"/>
                              </w:rPr>
                              <w:t>innovatieve ideeën gestimuleerd worden (traject 1)</w:t>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3667C" id="Rectangle: Diagonal Corners Rounded 11" o:spid="_x0000_s1042" style="position:absolute;left:0;text-align:left;margin-left:20.25pt;margin-top:-28.5pt;width:450.75pt;height:6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24525,8839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" adj="-11796480,,5400" path="m322978,l5724525,r,l5724525,8516222v,178376,-144602,322978,-322978,322978l,8839200r,l,322978c,144602,144602,,322978,xe" filled="f" strokecolor="#f07e31" strokeweight="2pt">
                <v:stroke joinstyle="miter"/>
                <v:formulas/>
                <v:path arrowok="t" o:connecttype="custom" o:connectlocs="322978,0;5724525,0;5724525,0;5724525,8516222;5401547,8839200;0,8839200;0,8839200;0,322978;322978,0" o:connectangles="0,0,0,0,0,0,0,0,0" textboxrect="0,0,5724525,8839200"/>
                <v:textbox>
                  <w:txbxContent>
                    <w:p w:rsidR="00891EED" w:rsidRDefault="00891EED" w:rsidP="00C3334D">
                      <w:pPr>
                        <w:pStyle w:val="HStandard"/>
                        <w:ind w:left="284" w:right="23"/>
                      </w:pPr>
                      <w:r>
                        <w:rPr>
                          <w:noProof/>
                          <w:lang w:val="en-GB" w:eastAsia="en-GB"/>
                        </w:rPr>
                        <w:drawing>
                          <wp:inline distT="0" distB="0" distL="0" distR="0" wp14:anchorId="49F81565" wp14:editId="4D59AE2A">
                            <wp:extent cx="353060" cy="359410"/>
                            <wp:effectExtent l="0" t="0" r="8890" b="2540"/>
                            <wp:docPr id="5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891EED" w:rsidRPr="00A66F3C" w:rsidRDefault="00891EED" w:rsidP="00A66F3C">
                      <w:pPr>
                        <w:pStyle w:val="HStandard"/>
                        <w:ind w:right="23"/>
                        <w:rPr>
                          <w:b/>
                          <w:color w:val="F07E31"/>
                          <w:sz w:val="18"/>
                          <w:szCs w:val="18"/>
                        </w:rPr>
                      </w:pPr>
                      <w:r>
                        <w:rPr>
                          <w:b/>
                          <w:color w:val="F07E31"/>
                          <w:sz w:val="18"/>
                          <w:szCs w:val="18"/>
                        </w:rPr>
                        <w:t>Voorbeelden van de manier waarop M1 innovatiecapaciteit kan opbouwen:</w:t>
                      </w:r>
                    </w:p>
                    <w:p w:rsidR="00891EED" w:rsidRPr="00A66F3C" w:rsidRDefault="00891EED" w:rsidP="00A66F3C">
                      <w:pPr>
                        <w:pStyle w:val="Hlistbullet"/>
                        <w:rPr>
                          <w:sz w:val="18"/>
                          <w:szCs w:val="18"/>
                        </w:rPr>
                      </w:pPr>
                      <w:r>
                        <w:rPr>
                          <w:sz w:val="18"/>
                          <w:szCs w:val="18"/>
                        </w:rPr>
                        <w:t>Nieuwe vaardigheden voor landbouwers/kmo's voor toepassing van innovatieve processen/technieken of nieuwe organisatorische vaardigheden.</w:t>
                      </w:r>
                    </w:p>
                    <w:p w:rsidR="00891EED" w:rsidRPr="00A66F3C" w:rsidRDefault="00891EED" w:rsidP="00A66F3C">
                      <w:pPr>
                        <w:pStyle w:val="Hlistbullet"/>
                        <w:rPr>
                          <w:sz w:val="18"/>
                          <w:szCs w:val="18"/>
                        </w:rPr>
                      </w:pPr>
                      <w:r>
                        <w:rPr>
                          <w:sz w:val="18"/>
                          <w:szCs w:val="18"/>
                        </w:rPr>
                        <w:t>Uitwisselingen en bezoeken die helpen om kennis over te dragen tussen landbouwbedrijven/regio's.</w:t>
                      </w:r>
                    </w:p>
                    <w:p w:rsidR="00891EED" w:rsidRPr="00A66F3C" w:rsidRDefault="00891EED" w:rsidP="00C3334D">
                      <w:pPr>
                        <w:pStyle w:val="HStandard"/>
                        <w:ind w:right="54"/>
                        <w:rPr>
                          <w:b/>
                          <w:color w:val="F07E31"/>
                          <w:sz w:val="18"/>
                          <w:szCs w:val="18"/>
                        </w:rPr>
                      </w:pPr>
                      <w:r>
                        <w:rPr>
                          <w:b/>
                          <w:color w:val="F07E31"/>
                          <w:sz w:val="18"/>
                          <w:szCs w:val="18"/>
                        </w:rPr>
                        <w:t>Voorbeelden van de manier waarop M16 innovatie ondersteunt:</w:t>
                      </w:r>
                    </w:p>
                    <w:p w:rsidR="00891EED" w:rsidRPr="00A66F3C" w:rsidRDefault="00891EED" w:rsidP="00A66F3C">
                      <w:pPr>
                        <w:pStyle w:val="Hlistbullet"/>
                        <w:rPr>
                          <w:sz w:val="18"/>
                          <w:szCs w:val="18"/>
                        </w:rPr>
                      </w:pPr>
                      <w:r>
                        <w:rPr>
                          <w:sz w:val="18"/>
                          <w:szCs w:val="18"/>
                        </w:rPr>
                        <w:t>De ontwikkeling van nieuwe producten, praktijken en technologieën in de landbouw-, bosbouw- en de voedselsector (submaatregel M16.2</w:t>
                      </w:r>
                      <w:r>
                        <w:rPr>
                          <w:sz w:val="18"/>
                          <w:szCs w:val="18"/>
                          <w:vertAlign w:val="superscript"/>
                        </w:rPr>
                        <w:t>51</w:t>
                      </w:r>
                      <w:r>
                        <w:rPr>
                          <w:sz w:val="18"/>
                          <w:szCs w:val="18"/>
                        </w:rPr>
                        <w:t xml:space="preserve">) houdt verband met het gezamenlijk herkennen en stimuleren van innovatie. </w:t>
                      </w:r>
                    </w:p>
                    <w:p w:rsidR="00891EED" w:rsidRPr="00A66F3C" w:rsidRDefault="00891EED" w:rsidP="00A66F3C">
                      <w:pPr>
                        <w:pStyle w:val="Hlistbullet"/>
                        <w:rPr>
                          <w:sz w:val="18"/>
                          <w:szCs w:val="18"/>
                        </w:rPr>
                      </w:pPr>
                      <w:r>
                        <w:rPr>
                          <w:sz w:val="18"/>
                          <w:szCs w:val="18"/>
                        </w:rPr>
                        <w:t xml:space="preserve">Alle andere submaatregelen hebben het potentieel om </w:t>
                      </w:r>
                      <w:r>
                        <w:rPr>
                          <w:b/>
                          <w:sz w:val="18"/>
                          <w:szCs w:val="18"/>
                        </w:rPr>
                        <w:t>innovatiecapaciteit op te bouwen</w:t>
                      </w:r>
                      <w:r>
                        <w:rPr>
                          <w:sz w:val="18"/>
                          <w:szCs w:val="18"/>
                        </w:rPr>
                        <w:t>, aangezien het proces van samenwerking inhoudt dat collectief nieuwe kansen worden vastgesteld, nieuwe ideeën worden bedacht, met nieuwe technologie wordt geëxperimenteerd of nieuwe manieren worden vastgesteld om dingen te doen.</w:t>
                      </w:r>
                    </w:p>
                    <w:p w:rsidR="00891EED" w:rsidRPr="00A66F3C" w:rsidRDefault="00891EED" w:rsidP="00A66F3C">
                      <w:pPr>
                        <w:pStyle w:val="Hlistbullet"/>
                        <w:rPr>
                          <w:sz w:val="18"/>
                          <w:szCs w:val="18"/>
                        </w:rPr>
                      </w:pPr>
                      <w:r>
                        <w:rPr>
                          <w:sz w:val="18"/>
                          <w:szCs w:val="18"/>
                        </w:rPr>
                        <w:t xml:space="preserve">Bovendien kan de ondersteuning van adviseurs/innovatiesteundiensten aan samenwerkingsprojecten, daaronder begrepen de steun die NPN's daartoe verlenen, bijdragen aan het </w:t>
                      </w:r>
                      <w:r>
                        <w:rPr>
                          <w:b/>
                          <w:sz w:val="18"/>
                          <w:szCs w:val="18"/>
                        </w:rPr>
                        <w:t>opbouwen van innovatiecapaciteit</w:t>
                      </w:r>
                      <w:r>
                        <w:rPr>
                          <w:sz w:val="18"/>
                          <w:szCs w:val="18"/>
                        </w:rPr>
                        <w:t>.</w:t>
                      </w:r>
                    </w:p>
                    <w:p w:rsidR="00891EED" w:rsidRPr="00A66F3C" w:rsidRDefault="00891EED" w:rsidP="00A66F3C">
                      <w:pPr>
                        <w:pStyle w:val="Hlistbullet"/>
                        <w:rPr>
                          <w:sz w:val="18"/>
                          <w:szCs w:val="18"/>
                        </w:rPr>
                      </w:pPr>
                      <w:r>
                        <w:rPr>
                          <w:sz w:val="18"/>
                          <w:szCs w:val="18"/>
                        </w:rPr>
                        <w:t xml:space="preserve">De betrokkenheid van belanghebbenden van innovatie bij samenwerkingsprojecten (bv. innovatiesteundiensten, innovatie-afdelingen, O&amp;O-centra of innovatie- en technologiecentra) kan bijdragen aan het </w:t>
                      </w:r>
                      <w:r>
                        <w:rPr>
                          <w:b/>
                          <w:sz w:val="18"/>
                          <w:szCs w:val="18"/>
                        </w:rPr>
                        <w:t>scheppen van een faciliterende omgeving voor innovatie</w:t>
                      </w:r>
                      <w:r>
                        <w:rPr>
                          <w:sz w:val="18"/>
                          <w:szCs w:val="18"/>
                        </w:rPr>
                        <w:t>. Zo kan het resultaat van een collectief onderzoeksproject de wetgeving beïnvloeden (bv. milieuwetgeving).</w:t>
                      </w:r>
                    </w:p>
                    <w:p w:rsidR="00891EED" w:rsidRPr="00A66F3C" w:rsidRDefault="00891EED" w:rsidP="00A66F3C">
                      <w:pPr>
                        <w:pStyle w:val="Hlistbullet"/>
                        <w:rPr>
                          <w:sz w:val="18"/>
                          <w:szCs w:val="18"/>
                        </w:rPr>
                      </w:pPr>
                      <w:r>
                        <w:rPr>
                          <w:sz w:val="18"/>
                          <w:szCs w:val="18"/>
                        </w:rPr>
                        <w:t xml:space="preserve">De oprichting en werking van OG's kan een nog holistischere benadering van innovatie-ondersteuning met zich meebrengen doordat </w:t>
                      </w:r>
                      <w:r>
                        <w:rPr>
                          <w:b/>
                          <w:sz w:val="18"/>
                          <w:szCs w:val="18"/>
                        </w:rPr>
                        <w:t>alle drie de trajecten</w:t>
                      </w:r>
                      <w:r>
                        <w:rPr>
                          <w:sz w:val="18"/>
                          <w:szCs w:val="18"/>
                        </w:rPr>
                        <w:t xml:space="preserve"> gecombineerd worden: het vaststellen van nieuwe ideeën (het uitgangspunt voor OG's), de opbouw van innovatiecapaciteit (de ondersteuning van adviseurs/innovatiesteundiensten) en de schepping van een faciliterende omgeving voor innovatie (de projectresultaten van de OG's).</w:t>
                      </w:r>
                    </w:p>
                    <w:p w:rsidR="00891EED" w:rsidRPr="00A66F3C" w:rsidRDefault="00891EED" w:rsidP="00C3334D">
                      <w:pPr>
                        <w:pStyle w:val="Normal12PTcouleurgris"/>
                        <w:ind w:left="284"/>
                        <w:rPr>
                          <w:color w:val="F07E31"/>
                          <w:sz w:val="18"/>
                        </w:rPr>
                      </w:pPr>
                      <w:r>
                        <w:rPr>
                          <w:b/>
                          <w:color w:val="F07E31"/>
                          <w:sz w:val="18"/>
                        </w:rPr>
                        <w:t>Voorbeelden van de manier waarop M19 innovatie ondersteunt:</w:t>
                      </w:r>
                    </w:p>
                    <w:p w:rsidR="00891EED" w:rsidRPr="00A66F3C" w:rsidRDefault="00891EED" w:rsidP="00A66F3C">
                      <w:pPr>
                        <w:pStyle w:val="Hlistbullet"/>
                        <w:rPr>
                          <w:sz w:val="18"/>
                          <w:szCs w:val="18"/>
                        </w:rPr>
                      </w:pPr>
                      <w:r>
                        <w:rPr>
                          <w:sz w:val="18"/>
                          <w:szCs w:val="18"/>
                        </w:rPr>
                        <w:t xml:space="preserve">Nieuwe manieren van strategie-ontwerp toepassen, waaronder verschillende unieke vormen om deelname van de lokale bevolking aan strategische beslissingen te verzekeren (bv. verschillende bewustmakingsactiviteiten in verband met het vergaren van informatie, verschillende workshops en discussieplatforms enz.) en aldus bij te dragen </w:t>
                      </w:r>
                      <w:r>
                        <w:rPr>
                          <w:b/>
                          <w:sz w:val="18"/>
                          <w:szCs w:val="18"/>
                        </w:rPr>
                        <w:t>aan de faciliterende omgeving voor innovatie (traject 3).</w:t>
                      </w:r>
                    </w:p>
                    <w:p w:rsidR="00891EED" w:rsidRPr="00A66F3C" w:rsidRDefault="00891EED" w:rsidP="00A66F3C">
                      <w:pPr>
                        <w:pStyle w:val="Hlistbullet"/>
                        <w:rPr>
                          <w:sz w:val="18"/>
                          <w:szCs w:val="18"/>
                        </w:rPr>
                      </w:pPr>
                      <w:r>
                        <w:rPr>
                          <w:sz w:val="18"/>
                          <w:szCs w:val="18"/>
                        </w:rPr>
                        <w:t xml:space="preserve">Implementatie van innovatieve bewustmakingsactiviteiten die verder gaan dan het ontwerpen en implementeren van strategieën en ervoor zorgen dat een breed publiek betrokken wordt bij verschillende innovatieve acties van LAG's (bv. gericht op het opbouwen van een sterke territoriale identiteit door, bijvoorbeeld, natuurlijk en cultureel erfgoed een rol te laten spelen), die verdere ondersteuning bieden voor de </w:t>
                      </w:r>
                      <w:r>
                        <w:rPr>
                          <w:b/>
                          <w:sz w:val="18"/>
                          <w:szCs w:val="18"/>
                        </w:rPr>
                        <w:t>faciliterende omgeving en potentiële innovatieve ideeën stimuleren (traject 3 en 1)</w:t>
                      </w:r>
                      <w:r>
                        <w:rPr>
                          <w:sz w:val="18"/>
                          <w:szCs w:val="18"/>
                        </w:rPr>
                        <w:t>.</w:t>
                      </w:r>
                    </w:p>
                    <w:p w:rsidR="00891EED" w:rsidRPr="00A66F3C" w:rsidRDefault="00891EED" w:rsidP="00A66F3C">
                      <w:pPr>
                        <w:pStyle w:val="Hlistbullet"/>
                        <w:rPr>
                          <w:sz w:val="18"/>
                          <w:szCs w:val="18"/>
                        </w:rPr>
                      </w:pPr>
                      <w:r>
                        <w:rPr>
                          <w:sz w:val="18"/>
                          <w:szCs w:val="18"/>
                        </w:rPr>
                        <w:t xml:space="preserve">Innovatieve samenwerkingsprojecten in gang zetten, die overdracht van nieuwe kennis, ervaringen en technologieën naar het LAG-gebied mogelijk maken en een klimaat scheppen waarin </w:t>
                      </w:r>
                      <w:r>
                        <w:rPr>
                          <w:b/>
                          <w:sz w:val="18"/>
                          <w:szCs w:val="18"/>
                        </w:rPr>
                        <w:t>innovatieve ideeën gestimuleerd worden (traject 1)</w:t>
                      </w:r>
                      <w:r>
                        <w:rPr>
                          <w:sz w:val="18"/>
                          <w:szCs w:val="18"/>
                        </w:rPr>
                        <w:t>.</w:t>
                      </w:r>
                    </w:p>
                  </w:txbxContent>
                </v:textbox>
                <w10:wrap type="tight"/>
              </v:shape>
            </w:pict>
          </mc:Fallback>
        </mc:AlternateContent>
      </w:r>
      <w:r w:rsidR="00C3092C">
        <w:rPr>
          <w:rStyle w:val="FootnoteReference"/>
          <w:rFonts w:eastAsia="Calibri" w:cs="Times New Roman"/>
          <w:b/>
          <w:color w:val="FFFFFF" w:themeColor="background1"/>
          <w:szCs w:val="20"/>
          <w:shd w:val="clear" w:color="auto" w:fill="FFFFFF"/>
        </w:rPr>
        <w:footnoteReference w:id="51"/>
      </w:r>
    </w:p>
    <w:p w:rsidR="00A45935" w:rsidRPr="00E05D08" w:rsidRDefault="00A45935" w:rsidP="00A66F3C">
      <w:pPr>
        <w:spacing w:after="120" w:line="280" w:lineRule="atLeast"/>
        <w:mirrorIndents/>
        <w:rPr>
          <w:rFonts w:eastAsia="Calibri" w:cs="Times New Roman"/>
          <w:b/>
          <w:color w:val="57825E"/>
          <w:szCs w:val="20"/>
          <w:shd w:val="clear" w:color="auto" w:fill="FFFFFF"/>
        </w:rPr>
      </w:pPr>
      <w:r>
        <w:rPr>
          <w:b/>
          <w:color w:val="57825E"/>
          <w:szCs w:val="20"/>
          <w:shd w:val="clear" w:color="auto" w:fill="FFFFFF"/>
        </w:rPr>
        <w:lastRenderedPageBreak/>
        <w:t xml:space="preserve">Specifieke uitdagingen </w:t>
      </w:r>
    </w:p>
    <w:p w:rsidR="00A45935" w:rsidRPr="000A718F" w:rsidRDefault="00A45935" w:rsidP="00A66F3C">
      <w:pPr>
        <w:pStyle w:val="Hlistbullet"/>
      </w:pPr>
      <w:r>
        <w:rPr>
          <w:b/>
          <w:shd w:val="clear" w:color="auto" w:fill="FFFFFF"/>
        </w:rPr>
        <w:t>Aanvullende en programmaspecifieke evaluatie-elementen ontwikkelen</w:t>
      </w:r>
      <w:r>
        <w:rPr>
          <w:shd w:val="clear" w:color="auto" w:fill="FFFFFF"/>
        </w:rPr>
        <w:t xml:space="preserve">: CEQ nr. 1 is gekoppeld aan één gemeenschappelijke doelindicator (D1), die mogelijk niet volstaat om de CEQ te beantwoorden en daarom misschien van aanvullende indicatoren vergezeld dient te gaan om de innovatiegerelateerde uitgaven van de relevante maatregelen te meten. Tegelijkertijd kunnen twee gemeenschappelijke outputindicatoren worden gebruikt ter beantwoording van CEQ nr. 1 (O13: Aantal geadviseerde begunstigden en O16: Aantal EIP-acties). Afhankelijk van de specifieke interventielogica kunnen verdere evaluatie-elementen nodig zijn om alle innovatiegerelateerde aspecten te beoordelen. </w:t>
      </w:r>
    </w:p>
    <w:p w:rsidR="00A45935" w:rsidRPr="000A718F" w:rsidRDefault="00A45935" w:rsidP="00A66F3C">
      <w:pPr>
        <w:pStyle w:val="Hlistbullet"/>
        <w:rPr>
          <w:rFonts w:eastAsia="Calibri"/>
          <w:shd w:val="clear" w:color="auto" w:fill="FFFFFF"/>
        </w:rPr>
      </w:pPr>
      <w:r>
        <w:rPr>
          <w:b/>
          <w:shd w:val="clear" w:color="auto" w:fill="FFFFFF"/>
        </w:rPr>
        <w:t>Toewijzing van waargenomen veranderingen</w:t>
      </w:r>
      <w:r>
        <w:rPr>
          <w:shd w:val="clear" w:color="auto" w:fill="FFFFFF"/>
        </w:rPr>
        <w:t xml:space="preserve"> met betrekking tot de ondersteuning van innovatie aan de </w:t>
      </w:r>
      <w:r>
        <w:rPr>
          <w:b/>
          <w:shd w:val="clear" w:color="auto" w:fill="FFFFFF"/>
        </w:rPr>
        <w:t>maatregelen</w:t>
      </w:r>
      <w:r>
        <w:rPr>
          <w:shd w:val="clear" w:color="auto" w:fill="FFFFFF"/>
        </w:rPr>
        <w:t xml:space="preserve"> M1, M2, M16 en M19.</w:t>
      </w:r>
    </w:p>
    <w:p w:rsidR="00A45935" w:rsidRPr="000A718F" w:rsidRDefault="00A45935" w:rsidP="00A66F3C">
      <w:pPr>
        <w:pStyle w:val="Hlistbullet"/>
        <w:rPr>
          <w:rFonts w:eastAsia="Calibri"/>
          <w:shd w:val="clear" w:color="auto" w:fill="FFFFFF"/>
        </w:rPr>
      </w:pPr>
      <w:r>
        <w:rPr>
          <w:b/>
          <w:shd w:val="clear" w:color="auto" w:fill="FFFFFF"/>
        </w:rPr>
        <w:t>Registreren welke bijdragen aan het ondersteunen van innovatie geleverd zijn met maatregelen die in het kader van andere AG's (anders dan FA 1B) zijn geprogrammeerd</w:t>
      </w:r>
      <w:r>
        <w:rPr>
          <w:shd w:val="clear" w:color="auto" w:fill="FFFFFF"/>
        </w:rPr>
        <w:t xml:space="preserve">.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Voorgestelde aanpak om CEQ nr. 1 te beantwoorden</w:t>
      </w:r>
    </w:p>
    <w:p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b/>
          <w:szCs w:val="20"/>
        </w:rPr>
        <w:t xml:space="preserve">Interventielogica </w:t>
      </w:r>
    </w:p>
    <w:p w:rsidR="00863DB0" w:rsidRDefault="00A45935" w:rsidP="00A66F3C">
      <w:pPr>
        <w:spacing w:after="120" w:line="280" w:lineRule="atLeast"/>
        <w:mirrorIndents/>
        <w:rPr>
          <w:rFonts w:eastAsia="Times New Roman" w:cs="Times New Roman"/>
          <w:szCs w:val="20"/>
        </w:rPr>
      </w:pPr>
      <w:r>
        <w:t xml:space="preserve">De aan CEQ nr. 1 gekoppelde interventielogica kan ook vanuit het oogpunt van innovatie worden herzien. Dit kan gebeuren op basis van de resultaten van de screening van het innovatiepotentieel (zie </w:t>
      </w:r>
      <w:hyperlink w:anchor="Screening_Potential" w:history="1">
        <w:r>
          <w:rPr>
            <w:rStyle w:val="Hyperlink"/>
            <w:sz w:val="20"/>
            <w:szCs w:val="20"/>
          </w:rPr>
          <w:t>paragraaf 2.2</w:t>
        </w:r>
      </w:hyperlink>
      <w:r>
        <w:t xml:space="preserve">) van de maatregelen M1, M2, M16 en M19, die gewoonlijk worden geprogrammeerd in het kader van AG's anders dan AG 1A, in combinatie met andere maatregelen. Dit helpt de programmaresultaten met betrekking tot de doelstellingen van AG 1A te registreren en vast te stellen welke POP-begunstigden en belanghebbenden verstrekkers van gegevens en informatie kunnen zijn. </w:t>
      </w:r>
    </w:p>
    <w:p w:rsidR="00863DB0" w:rsidRDefault="00863DB0">
      <w:pPr>
        <w:jc w:val="left"/>
        <w:rPr>
          <w:rFonts w:eastAsia="Times New Roman" w:cs="Times New Roman"/>
          <w:szCs w:val="20"/>
        </w:rPr>
      </w:pPr>
      <w:r>
        <w:br w:type="page"/>
      </w:r>
    </w:p>
    <w:p w:rsidR="00A45935" w:rsidRPr="00D66501" w:rsidRDefault="00DD247A" w:rsidP="00A66F3C">
      <w:pPr>
        <w:pStyle w:val="HHeadingfigures"/>
      </w:pPr>
      <w:bookmarkStart w:id="108" w:name="_Toc511656300"/>
      <w:r>
        <w:rPr>
          <w:i/>
          <w:noProof/>
          <w:sz w:val="18"/>
          <w:szCs w:val="24"/>
          <w:lang w:val="en-GB" w:eastAsia="en-GB"/>
        </w:rPr>
        <w:lastRenderedPageBreak/>
        <w:drawing>
          <wp:anchor distT="0" distB="0" distL="114300" distR="114300" simplePos="0" relativeHeight="251669504" behindDoc="0" locked="0" layoutInCell="1" allowOverlap="1" wp14:anchorId="49D92485" wp14:editId="2A5AEB12">
            <wp:simplePos x="0" y="0"/>
            <wp:positionH relativeFrom="column">
              <wp:posOffset>-441158</wp:posOffset>
            </wp:positionH>
            <wp:positionV relativeFrom="paragraph">
              <wp:posOffset>208280</wp:posOffset>
            </wp:positionV>
            <wp:extent cx="6225403" cy="3376864"/>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25403" cy="3376864"/>
                    </a:xfrm>
                    <a:prstGeom prst="rect">
                      <a:avLst/>
                    </a:prstGeom>
                  </pic:spPr>
                </pic:pic>
              </a:graphicData>
            </a:graphic>
          </wp:anchor>
        </w:drawing>
      </w:r>
      <w:r>
        <w:t>Voorbeeld van aan CEQ nr. 1 gekoppelde interventielogica</w:t>
      </w:r>
      <w:bookmarkEnd w:id="108"/>
      <w:r>
        <w:t xml:space="preserve"> </w:t>
      </w:r>
    </w:p>
    <w:p w:rsidR="007D2A0C" w:rsidRDefault="007D2A0C" w:rsidP="00690E70">
      <w:pPr>
        <w:spacing w:after="120" w:line="280" w:lineRule="atLeast"/>
        <w:mirrorIndents/>
        <w:jc w:val="center"/>
        <w:rPr>
          <w:rFonts w:eastAsia="Times New Roman" w:cs="Times New Roman"/>
          <w:i/>
          <w:sz w:val="16"/>
          <w:szCs w:val="16"/>
          <w:lang w:eastAsia="de-DE"/>
        </w:rPr>
      </w:pPr>
    </w:p>
    <w:p w:rsidR="00A45935" w:rsidRPr="00E05D08" w:rsidRDefault="007D2A0C" w:rsidP="00690E70">
      <w:pPr>
        <w:spacing w:after="120" w:line="280" w:lineRule="atLeast"/>
        <w:mirrorIndents/>
        <w:jc w:val="center"/>
        <w:rPr>
          <w:rFonts w:eastAsia="Times New Roman" w:cs="Times New Roman"/>
          <w:i/>
          <w:sz w:val="16"/>
          <w:szCs w:val="20"/>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r>
        <w:rPr>
          <w:rFonts w:eastAsia="Times New Roman" w:cs="Times New Roman"/>
          <w:i/>
          <w:noProof/>
          <w:sz w:val="18"/>
          <w:szCs w:val="24"/>
          <w:lang w:val="en-GB" w:eastAsia="en-GB"/>
        </w:rPr>
        <mc:AlternateContent>
          <mc:Choice Requires="wps">
            <w:drawing>
              <wp:anchor distT="0" distB="0" distL="114300" distR="114300" simplePos="0" relativeHeight="251668480" behindDoc="0" locked="0" layoutInCell="1" allowOverlap="1" wp14:anchorId="7CF8CDEE" wp14:editId="70010CBC">
                <wp:simplePos x="0" y="0"/>
                <wp:positionH relativeFrom="column">
                  <wp:posOffset>0</wp:posOffset>
                </wp:positionH>
                <wp:positionV relativeFrom="paragraph">
                  <wp:posOffset>304800</wp:posOffset>
                </wp:positionV>
                <wp:extent cx="5732780" cy="1924050"/>
                <wp:effectExtent l="0" t="0" r="20320" b="19050"/>
                <wp:wrapSquare wrapText="bothSides"/>
                <wp:docPr id="23" name="Rectangle: Diagonal Corners Rounded 23"/>
                <wp:cNvGraphicFramePr/>
                <a:graphic xmlns:a="http://schemas.openxmlformats.org/drawingml/2006/main">
                  <a:graphicData uri="http://schemas.microsoft.com/office/word/2010/wordprocessingShape">
                    <wps:wsp>
                      <wps:cNvSpPr/>
                      <wps:spPr>
                        <a:xfrm>
                          <a:off x="0" y="0"/>
                          <a:ext cx="5732780" cy="1924050"/>
                        </a:xfrm>
                        <a:prstGeom prst="round2DiagRect">
                          <a:avLst>
                            <a:gd name="adj1" fmla="val 11556"/>
                            <a:gd name="adj2" fmla="val 0"/>
                          </a:avLst>
                        </a:prstGeom>
                        <a:noFill/>
                        <a:ln w="25400" cap="flat" cmpd="sng" algn="ctr">
                          <a:solidFill>
                            <a:srgbClr val="F07E31"/>
                          </a:solidFill>
                          <a:prstDash val="solid"/>
                        </a:ln>
                        <a:effectLst/>
                      </wps:spPr>
                      <wps:txbx>
                        <w:txbxContent>
                          <w:p w:rsidR="00891EED" w:rsidRPr="00D33212" w:rsidRDefault="00891EED" w:rsidP="00863DB0">
                            <w:pPr>
                              <w:pStyle w:val="H-Standard"/>
                            </w:pPr>
                            <w:r>
                              <w:rPr>
                                <w:noProof/>
                                <w:lang w:val="en-GB" w:eastAsia="en-GB"/>
                              </w:rPr>
                              <w:drawing>
                                <wp:inline distT="0" distB="0" distL="0" distR="0" wp14:anchorId="6F451C45" wp14:editId="495A66A5">
                                  <wp:extent cx="353060" cy="359410"/>
                                  <wp:effectExtent l="0" t="0" r="8890" b="2540"/>
                                  <wp:docPr id="60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In dit voorbeeld is vastgesteld dat de submaatregel van M1 "opleiding en verwerving van deskundigheid" en de submaatregel van M2 "opleiding van adviseurs" innovatie kunnen ondersteunen door innovatiecapaciteit op te bouwen. De combinatie van M16.7 en M16.8 kan innovatie ondersteunen door innovatieve ideeën te stimuleren, terwijl M16.1 innovatie kan ondersteunen via alle drie de trajecten. Submaatregel 19.2 ondersteunt GGLO-strategieën en draagt aldus bij aan een faciliterende omgeving. De submaatregel inzake LEADER-samenwerking (M 19.3) helpt innovatieve ideeën gezamenlijk te ondersteunen en bouwt innovatiecapaciteit 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CDEE" id="Rectangle: Diagonal Corners Rounded 23" o:spid="_x0000_s1043" style="position:absolute;left:0;text-align:left;margin-left:0;margin-top:24pt;width:451.4pt;height:1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2780,1924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" adj="-11796480,,5400" path="m222343,l5732780,r,l5732780,1701707v,122797,-99546,222343,-222343,222343l,1924050r,l,222343c,99546,99546,,222343,xe" filled="f" strokecolor="#f07e31" strokeweight="2pt">
                <v:stroke joinstyle="miter"/>
                <v:formulas/>
                <v:path arrowok="t" o:connecttype="custom" o:connectlocs="222343,0;5732780,0;5732780,0;5732780,1701707;5510437,1924050;0,1924050;0,1924050;0,222343;222343,0" o:connectangles="0,0,0,0,0,0,0,0,0" textboxrect="0,0,5732780,1924050"/>
                <v:textbox>
                  <w:txbxContent>
                    <w:p w:rsidR="00891EED" w:rsidRPr="00D33212" w:rsidRDefault="00891EED" w:rsidP="00863DB0">
                      <w:pPr>
                        <w:pStyle w:val="H-Standard"/>
                      </w:pPr>
                      <w:r>
                        <w:rPr>
                          <w:noProof/>
                          <w:lang w:val="en-GB" w:eastAsia="en-GB"/>
                        </w:rPr>
                        <w:drawing>
                          <wp:inline distT="0" distB="0" distL="0" distR="0" wp14:anchorId="6F451C45" wp14:editId="495A66A5">
                            <wp:extent cx="353060" cy="359410"/>
                            <wp:effectExtent l="0" t="0" r="8890" b="2540"/>
                            <wp:docPr id="60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In dit voorbeeld is vastgesteld dat de submaatregel van M1 "opleiding en verwerving van deskundigheid" en de submaatregel van M2 "opleiding van adviseurs" innovatie kunnen ondersteunen door innovatiecapaciteit op te bouwen. De combinatie van M16.7 en M16.8 kan innovatie ondersteunen door innovatieve ideeën te stimuleren, terwijl M16.1 innovatie kan ondersteunen via alle drie de trajecten. Submaatregel 19.2 ondersteunt GGLO-strategieën en draagt aldus bij aan een faciliterende omgeving. De submaatregel inzake LEADER-samenwerking (M 19.3) helpt innovatieve ideeën gezamenlijk te ondersteunen en bouwt innovatiecapaciteit op.</w:t>
                      </w:r>
                    </w:p>
                  </w:txbxContent>
                </v:textbox>
                <w10:wrap type="square"/>
              </v:shape>
            </w:pict>
          </mc:Fallback>
        </mc:AlternateContent>
      </w:r>
      <w:r>
        <w:rPr>
          <w:i/>
          <w:sz w:val="16"/>
          <w:szCs w:val="16"/>
        </w:rPr>
        <w:t>Bron: Europese evaluatiehelpdesk voor plattelandsontwikkeling, 2017</w:t>
      </w:r>
    </w:p>
    <w:p w:rsidR="00A45935" w:rsidRDefault="00A45935" w:rsidP="008C0B17">
      <w:pPr>
        <w:numPr>
          <w:ilvl w:val="0"/>
          <w:numId w:val="55"/>
        </w:numPr>
        <w:spacing w:before="120" w:after="120" w:line="280" w:lineRule="atLeast"/>
        <w:ind w:left="567" w:hanging="567"/>
        <w:mirrorIndents/>
        <w:rPr>
          <w:rFonts w:eastAsia="Times New Roman" w:cs="Times New Roman"/>
          <w:b/>
          <w:szCs w:val="20"/>
        </w:rPr>
      </w:pPr>
      <w:r>
        <w:rPr>
          <w:b/>
          <w:szCs w:val="20"/>
        </w:rPr>
        <w:t xml:space="preserve">Evaluatie-elementen </w:t>
      </w:r>
    </w:p>
    <w:p w:rsidR="00A45935" w:rsidRDefault="00734B11" w:rsidP="00E05D08">
      <w:pPr>
        <w:spacing w:before="120" w:after="120" w:line="280" w:lineRule="atLeast"/>
        <w:mirrorIndents/>
        <w:rPr>
          <w:rFonts w:eastAsia="Times New Roman" w:cs="Times New Roman"/>
          <w:szCs w:val="20"/>
        </w:rPr>
      </w:pPr>
      <w:r>
        <w:t xml:space="preserve">De algemene beoordelingscriteria en indicatoren voor CEQ nr. 1 blijven op het outputniveau van acties in het kader van M1, M2 en M16 en M19. Mogelijk moeten er aanvullende beoordelingscriteria en indicatoren worden ontwikkeld om de resultaten van deze maatregelen te kunnen beoordelen (zie </w:t>
      </w:r>
      <w:hyperlink w:anchor="Evaluation_elements" w:history="1">
        <w:r>
          <w:rPr>
            <w:rStyle w:val="Hyperlink"/>
            <w:sz w:val="20"/>
            <w:szCs w:val="20"/>
          </w:rPr>
          <w:t>tabel 1</w:t>
        </w:r>
      </w:hyperlink>
      <w:r>
        <w:t>)</w:t>
      </w:r>
    </w:p>
    <w:p w:rsidR="00863DB0" w:rsidRPr="00E05D08" w:rsidRDefault="00863DB0" w:rsidP="00E05D08">
      <w:pPr>
        <w:spacing w:before="120" w:after="120" w:line="280" w:lineRule="atLeast"/>
        <w:mirrorIndents/>
        <w:rPr>
          <w:rFonts w:eastAsia="Times New Roman" w:cs="Times New Roman"/>
          <w:szCs w:val="20"/>
          <w:lang w:eastAsia="de-DE"/>
        </w:rPr>
      </w:pPr>
    </w:p>
    <w:p w:rsidR="00A45935" w:rsidRPr="00E05D08" w:rsidRDefault="00A45935" w:rsidP="00E05D08">
      <w:pPr>
        <w:numPr>
          <w:ilvl w:val="0"/>
          <w:numId w:val="9"/>
        </w:numPr>
        <w:spacing w:before="60" w:after="0" w:line="280" w:lineRule="atLeast"/>
        <w:ind w:left="0" w:firstLine="0"/>
        <w:rPr>
          <w:rFonts w:eastAsia="Times New Roman" w:cs="Arial"/>
          <w:szCs w:val="18"/>
          <w:lang w:eastAsia="de-DE"/>
          <w14:textFill>
            <w14:solidFill>
              <w14:srgbClr w14:val="373737">
                <w14:lumMod w14:val="75000"/>
              </w14:srgbClr>
            </w14:solidFill>
          </w14:textFill>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A43EFD" w:rsidRDefault="00A45935" w:rsidP="00A43EFD">
      <w:pPr>
        <w:pStyle w:val="HHeadingtables"/>
        <w:rPr>
          <w:color w:val="6F6F6F"/>
          <w:sz w:val="18"/>
          <w:szCs w:val="18"/>
        </w:rPr>
      </w:pPr>
      <w:bookmarkStart w:id="109" w:name="Evaluation_elements"/>
      <w:bookmarkStart w:id="110" w:name="_Toc511656282"/>
      <w:r>
        <w:rPr>
          <w:color w:val="6F6F6F"/>
          <w:sz w:val="18"/>
          <w:szCs w:val="18"/>
        </w:rPr>
        <w:lastRenderedPageBreak/>
        <w:t>Evaluatie-elementen en informatiebronnen</w:t>
      </w:r>
      <w:bookmarkEnd w:id="109"/>
      <w:r>
        <w:rPr>
          <w:color w:val="6F6F6F"/>
          <w:sz w:val="18"/>
          <w:szCs w:val="18"/>
        </w:rPr>
        <w:t xml:space="preserve"> met betrekking tot CEQ nr. 1</w:t>
      </w:r>
      <w:bookmarkEnd w:id="110"/>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47"/>
        <w:gridCol w:w="3118"/>
        <w:gridCol w:w="2835"/>
        <w:gridCol w:w="5756"/>
      </w:tblGrid>
      <w:tr w:rsidR="00A45935" w:rsidRPr="00E05D08" w:rsidTr="00E05D08">
        <w:trPr>
          <w:tblHeader/>
        </w:trPr>
        <w:tc>
          <w:tcPr>
            <w:tcW w:w="2547"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Beoordelingscriteria</w:t>
            </w:r>
          </w:p>
        </w:tc>
        <w:tc>
          <w:tcPr>
            <w:tcW w:w="311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Indicatoren</w:t>
            </w:r>
          </w:p>
        </w:tc>
        <w:tc>
          <w:tcPr>
            <w:tcW w:w="2835"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Benodigde gegevens</w:t>
            </w:r>
          </w:p>
        </w:tc>
        <w:tc>
          <w:tcPr>
            <w:tcW w:w="5756"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Gegevensbronnen</w:t>
            </w:r>
          </w:p>
        </w:tc>
      </w:tr>
      <w:tr w:rsidR="00A45935" w:rsidRPr="00E05D08" w:rsidTr="00E05D08">
        <w:tc>
          <w:tcPr>
            <w:tcW w:w="14256" w:type="dxa"/>
            <w:gridSpan w:val="4"/>
            <w:shd w:val="clear" w:color="auto" w:fill="8BAB80"/>
          </w:tcPr>
          <w:p w:rsidR="00A45935" w:rsidRPr="00F200A2" w:rsidRDefault="00A45935" w:rsidP="00E05D08">
            <w:pPr>
              <w:spacing w:after="120" w:line="280" w:lineRule="atLeast"/>
              <w:mirrorIndents/>
              <w:rPr>
                <w:rFonts w:cs="Arial"/>
                <w:b/>
                <w:color w:val="FFFFFF"/>
                <w:sz w:val="18"/>
                <w:szCs w:val="18"/>
              </w:rPr>
            </w:pPr>
            <w:r>
              <w:rPr>
                <w:b/>
                <w:color w:val="FFFFFF"/>
                <w:sz w:val="18"/>
                <w:szCs w:val="18"/>
              </w:rPr>
              <w:t>Gemeenschappelijke evaluatie-elementen (GMES en elementen zoals voorgesteld in het werkdocument "</w:t>
            </w:r>
            <w:r>
              <w:rPr>
                <w:b/>
                <w:i/>
                <w:color w:val="FFFFFF"/>
                <w:sz w:val="18"/>
                <w:szCs w:val="18"/>
              </w:rPr>
              <w:t>Common evaluation questions 2014-2020"</w:t>
            </w:r>
            <w:r>
              <w:rPr>
                <w:b/>
                <w:color w:val="FFFFFF"/>
                <w:sz w:val="18"/>
                <w:szCs w:val="18"/>
              </w:rPr>
              <w:t>)</w:t>
            </w:r>
          </w:p>
        </w:tc>
      </w:tr>
      <w:tr w:rsidR="00A45935" w:rsidRPr="00E05D08" w:rsidTr="00E05D08">
        <w:trPr>
          <w:trHeight w:val="1184"/>
        </w:trPr>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Projecten van het POP zijn innovatief geweest en gebaseerd op ontwikkelde kennis.</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D1: % uitgaven in het kader van de artikelen 14, 15 en 35 van Verordening (EU) nr. 1305/2013 ten opzichte van de totale uitgaven voor het POP</w:t>
            </w:r>
          </w:p>
          <w:p w:rsidR="00A45935" w:rsidRPr="00385368" w:rsidRDefault="00A45935" w:rsidP="007E63EF">
            <w:pPr>
              <w:spacing w:after="120" w:line="280" w:lineRule="atLeast"/>
              <w:jc w:val="left"/>
              <w:rPr>
                <w:rFonts w:eastAsia="Calibri" w:cs="Arial"/>
                <w:color w:val="57825E"/>
                <w:sz w:val="18"/>
                <w:szCs w:val="18"/>
                <w14:textFill>
                  <w14:solidFill>
                    <w14:srgbClr w14:val="57825E">
                      <w14:lumMod w14:val="75000"/>
                    </w14:srgbClr>
                  </w14:solidFill>
                </w14:textFill>
              </w:rPr>
            </w:pPr>
            <w:r>
              <w:rPr>
                <w:color w:val="57825E"/>
                <w:sz w:val="18"/>
                <w:szCs w:val="18"/>
                <w:u w:val="single"/>
                <w14:textFill>
                  <w14:solidFill>
                    <w14:srgbClr w14:val="57825E">
                      <w14:lumMod w14:val="75000"/>
                    </w14:srgbClr>
                  </w14:solidFill>
                </w14:textFill>
              </w:rPr>
              <w:t>Aanvullende indicator:</w:t>
            </w:r>
            <w:r>
              <w:rPr>
                <w:color w:val="57825E"/>
                <w:sz w:val="18"/>
                <w:szCs w:val="18"/>
                <w14:textFill>
                  <w14:solidFill>
                    <w14:srgbClr w14:val="57825E">
                      <w14:lumMod w14:val="75000"/>
                    </w14:srgbClr>
                  </w14:solidFill>
                </w14:textFill>
              </w:rPr>
              <w:t xml:space="preserve"> % innovatieve projecten van alle door het POP ondersteunde projecten. </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Gegevens over uitgaven voor de maatregelen 1, 2 en 16.</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Indien mogelijk moeten ook gegevens worden verzameld over uitgaven aan submaatregelen waarvan is vastgesteld dat ze innovatie kunnen ondersteunen.</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POP-monitoringsysteem </w:t>
            </w:r>
          </w:p>
          <w:p w:rsidR="00A45935" w:rsidRPr="00385368" w:rsidRDefault="00A45935" w:rsidP="007E63EF">
            <w:pPr>
              <w:numPr>
                <w:ilvl w:val="0"/>
                <w:numId w:val="81"/>
              </w:numPr>
              <w:suppressAutoHyphens/>
              <w:spacing w:before="40" w:after="40"/>
              <w:jc w:val="left"/>
              <w:rPr>
                <w:rFonts w:cs="Arial"/>
                <w:sz w:val="18"/>
                <w:szCs w:val="18"/>
              </w:rPr>
            </w:pPr>
            <w:r>
              <w:rPr>
                <w:sz w:val="18"/>
                <w:szCs w:val="18"/>
              </w:rPr>
              <w:t>Aanvraagformulieren van begunstigden (begin van het project)</w:t>
            </w:r>
          </w:p>
          <w:p w:rsidR="00A45935" w:rsidRPr="00385368" w:rsidRDefault="00A45935" w:rsidP="007E63EF">
            <w:pPr>
              <w:numPr>
                <w:ilvl w:val="0"/>
                <w:numId w:val="81"/>
              </w:numPr>
              <w:suppressAutoHyphens/>
              <w:spacing w:before="40" w:after="40"/>
              <w:jc w:val="left"/>
              <w:rPr>
                <w:rFonts w:cs="Arial"/>
                <w:sz w:val="18"/>
                <w:szCs w:val="18"/>
              </w:rPr>
            </w:pPr>
            <w:r>
              <w:rPr>
                <w:sz w:val="18"/>
                <w:szCs w:val="18"/>
              </w:rPr>
              <w:t>Betalingsverzoeken van begunstigden (einde van project)</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Er zijn operationele groepen opgericht.</w:t>
            </w:r>
          </w:p>
        </w:tc>
        <w:tc>
          <w:tcPr>
            <w:tcW w:w="3118" w:type="dxa"/>
          </w:tcPr>
          <w:p w:rsidR="00A45935" w:rsidRPr="00385368" w:rsidRDefault="00A45935" w:rsidP="00F200A2">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Aantal EIP-acties.</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Aantal EIP-acties (gegeven O16).</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POP-monitoringsysteem </w:t>
            </w:r>
          </w:p>
          <w:p w:rsidR="00A45935" w:rsidRPr="00385368" w:rsidRDefault="00A45935" w:rsidP="007E63EF">
            <w:pPr>
              <w:numPr>
                <w:ilvl w:val="0"/>
                <w:numId w:val="82"/>
              </w:numPr>
              <w:suppressAutoHyphens/>
              <w:spacing w:before="40" w:after="40"/>
              <w:jc w:val="left"/>
              <w:rPr>
                <w:rFonts w:cs="Arial"/>
                <w:sz w:val="18"/>
                <w:szCs w:val="18"/>
              </w:rPr>
            </w:pPr>
            <w:r>
              <w:rPr>
                <w:sz w:val="18"/>
                <w:szCs w:val="18"/>
              </w:rPr>
              <w:t>Aanvraagformulieren van begunstigden (begin van het project)</w:t>
            </w:r>
          </w:p>
          <w:p w:rsidR="00A45935" w:rsidRPr="00385368" w:rsidRDefault="00A45935" w:rsidP="007E63EF">
            <w:pPr>
              <w:numPr>
                <w:ilvl w:val="0"/>
                <w:numId w:val="82"/>
              </w:numPr>
              <w:suppressAutoHyphens/>
              <w:spacing w:before="40" w:after="40"/>
              <w:jc w:val="left"/>
              <w:rPr>
                <w:rFonts w:cs="Arial"/>
                <w:sz w:val="18"/>
                <w:szCs w:val="18"/>
              </w:rPr>
            </w:pPr>
            <w:r>
              <w:rPr>
                <w:sz w:val="18"/>
                <w:szCs w:val="18"/>
              </w:rPr>
              <w:t>Betalingsverzoeken van begunstigden (einde van project)</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Verscheidenheid van partners betrokken bij OG's van het EIP.</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Aantal en soort partners betrokken bij EIP-acties.</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color w:val="57825E"/>
                <w:sz w:val="18"/>
                <w:szCs w:val="18"/>
                <w:u w:val="single"/>
                <w14:textFill>
                  <w14:solidFill>
                    <w14:srgbClr w14:val="57825E">
                      <w14:lumMod w14:val="75000"/>
                    </w14:srgbClr>
                  </w14:solidFill>
                </w14:textFill>
              </w:rPr>
              <w:t>Aanvullende indicator</w:t>
            </w:r>
            <w:r>
              <w:rPr>
                <w:color w:val="57825E"/>
                <w:sz w:val="18"/>
                <w:szCs w:val="18"/>
                <w14:textFill>
                  <w14:solidFill>
                    <w14:srgbClr w14:val="57825E">
                      <w14:lumMod w14:val="75000"/>
                    </w14:srgbClr>
                  </w14:solidFill>
                </w14:textFill>
              </w:rPr>
              <w:t>: aantal en soort partners betrokken bij samenwerkingsprojecten.</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Aantal en soort partners.</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POP-monitoringsysteem </w:t>
            </w:r>
          </w:p>
          <w:p w:rsidR="00A45935" w:rsidRPr="00385368" w:rsidRDefault="00A45935" w:rsidP="007E63EF">
            <w:pPr>
              <w:numPr>
                <w:ilvl w:val="0"/>
                <w:numId w:val="83"/>
              </w:numPr>
              <w:suppressAutoHyphens/>
              <w:spacing w:before="40" w:after="40"/>
              <w:jc w:val="left"/>
              <w:rPr>
                <w:rFonts w:cs="Arial"/>
                <w:sz w:val="18"/>
                <w:szCs w:val="18"/>
              </w:rPr>
            </w:pPr>
            <w:r>
              <w:rPr>
                <w:sz w:val="18"/>
                <w:szCs w:val="18"/>
              </w:rPr>
              <w:t>Aanvraagformulieren van begunstigden (begin van het project)</w:t>
            </w:r>
          </w:p>
          <w:p w:rsidR="00A45935" w:rsidRPr="00385368" w:rsidRDefault="00A45935" w:rsidP="007E63EF">
            <w:pPr>
              <w:numPr>
                <w:ilvl w:val="0"/>
                <w:numId w:val="83"/>
              </w:numPr>
              <w:suppressAutoHyphens/>
              <w:spacing w:before="40" w:after="40"/>
              <w:jc w:val="left"/>
              <w:rPr>
                <w:rFonts w:cs="Arial"/>
                <w:sz w:val="18"/>
                <w:szCs w:val="18"/>
              </w:rPr>
            </w:pPr>
            <w:r>
              <w:rPr>
                <w:sz w:val="18"/>
                <w:szCs w:val="18"/>
              </w:rPr>
              <w:t>Betalingsverzoeken van begunstigden (einde van project)</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Praktijksamenvattingen van OG's.</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OG's van het EIP hebben innovatieve acties geïmplementeerd en verspreid.</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Aantal EIP-acties.</w:t>
            </w:r>
          </w:p>
          <w:p w:rsidR="00A45935" w:rsidRPr="00D02ADA" w:rsidRDefault="00A45935" w:rsidP="007E63EF">
            <w:pPr>
              <w:spacing w:after="120" w:line="280" w:lineRule="atLeast"/>
              <w:jc w:val="left"/>
              <w:rPr>
                <w:rFonts w:eastAsia="Calibri" w:cs="Arial"/>
                <w:color w:val="57825E"/>
                <w:sz w:val="18"/>
                <w:szCs w:val="18"/>
              </w:rPr>
            </w:pPr>
            <w:r>
              <w:rPr>
                <w:color w:val="57825E"/>
                <w:sz w:val="18"/>
                <w:szCs w:val="18"/>
                <w:u w:val="single"/>
              </w:rPr>
              <w:t>Aanvullende indicator</w:t>
            </w:r>
            <w:r>
              <w:rPr>
                <w:color w:val="57825E"/>
                <w:sz w:val="18"/>
                <w:szCs w:val="18"/>
              </w:rPr>
              <w:t>: aantal ondersteunde innovatieve acties die door OG's van het EIP zijn geïmplementeerd en verspreid, ingedeeld per soort, sector enz.</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Aantal EIP-acties (gegeven O16).</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POP-monitoringsysteem </w:t>
            </w:r>
          </w:p>
          <w:p w:rsidR="00A45935" w:rsidRPr="00385368" w:rsidRDefault="00A45935" w:rsidP="007E63EF">
            <w:pPr>
              <w:numPr>
                <w:ilvl w:val="0"/>
                <w:numId w:val="84"/>
              </w:numPr>
              <w:suppressAutoHyphens/>
              <w:spacing w:before="40" w:after="40"/>
              <w:jc w:val="left"/>
              <w:rPr>
                <w:rFonts w:cs="Arial"/>
                <w:sz w:val="18"/>
                <w:szCs w:val="18"/>
              </w:rPr>
            </w:pPr>
            <w:r>
              <w:rPr>
                <w:sz w:val="18"/>
                <w:szCs w:val="18"/>
              </w:rPr>
              <w:t>Aanvraagformulieren van begunstigden (begin van het project)</w:t>
            </w:r>
          </w:p>
          <w:p w:rsidR="00A45935" w:rsidRPr="00385368" w:rsidRDefault="00A45935" w:rsidP="007E63EF">
            <w:pPr>
              <w:numPr>
                <w:ilvl w:val="0"/>
                <w:numId w:val="84"/>
              </w:numPr>
              <w:suppressAutoHyphens/>
              <w:spacing w:before="40" w:after="40"/>
              <w:jc w:val="left"/>
              <w:rPr>
                <w:rFonts w:cs="Arial"/>
                <w:sz w:val="18"/>
                <w:szCs w:val="18"/>
              </w:rPr>
            </w:pPr>
            <w:r>
              <w:rPr>
                <w:sz w:val="18"/>
                <w:szCs w:val="18"/>
              </w:rPr>
              <w:t>Betalingsverzoeken van begunstigden (einde van project)</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Praktijksamenvattingen van OG's.</w:t>
            </w:r>
          </w:p>
        </w:tc>
      </w:tr>
      <w:tr w:rsidR="00A45935" w:rsidRPr="00E05D08" w:rsidTr="00E05D08">
        <w:tc>
          <w:tcPr>
            <w:tcW w:w="14256" w:type="dxa"/>
            <w:gridSpan w:val="4"/>
            <w:shd w:val="clear" w:color="auto" w:fill="8BAB80"/>
          </w:tcPr>
          <w:p w:rsidR="00A45935" w:rsidRPr="00406C98" w:rsidRDefault="00A45935" w:rsidP="00E05D08">
            <w:pPr>
              <w:spacing w:after="120" w:line="280" w:lineRule="atLeast"/>
              <w:rPr>
                <w:rFonts w:eastAsia="Calibri" w:cs="Arial"/>
                <w:b/>
                <w:color w:val="FFFFFF"/>
                <w:sz w:val="18"/>
                <w:szCs w:val="18"/>
                <w14:textFill>
                  <w14:solidFill>
                    <w14:srgbClr w14:val="FFFFFF">
                      <w14:lumMod w14:val="75000"/>
                      <w14:lumMod w14:val="75000"/>
                    </w14:srgbClr>
                  </w14:solidFill>
                </w14:textFill>
              </w:rPr>
            </w:pPr>
            <w:r>
              <w:rPr>
                <w:b/>
                <w:color w:val="FFFFFF" w:themeColor="background1"/>
                <w:sz w:val="18"/>
                <w:szCs w:val="18"/>
              </w:rPr>
              <w:lastRenderedPageBreak/>
              <w:t>Aanvullende evaluatie-elementen (optioneel)</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De samenstelling van operationele groepen van het EIP omvat innovatiebelanghebbenden.</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Samenstelling van operationele groepen van het EIP (aantal en soort partners) waartoe innovatiebelanghebbenden behoren.</w:t>
            </w:r>
          </w:p>
        </w:tc>
        <w:tc>
          <w:tcPr>
            <w:tcW w:w="2835" w:type="dxa"/>
          </w:tcPr>
          <w:p w:rsidR="00A45935" w:rsidRPr="00E05D08" w:rsidRDefault="00A45935" w:rsidP="007E63EF">
            <w:pPr>
              <w:suppressAutoHyphens/>
              <w:spacing w:before="40" w:after="40"/>
              <w:jc w:val="left"/>
              <w:rPr>
                <w:rFonts w:cs="Arial"/>
                <w:sz w:val="18"/>
                <w:szCs w:val="18"/>
              </w:rPr>
            </w:pPr>
            <w:r>
              <w:rPr>
                <w:sz w:val="18"/>
                <w:szCs w:val="18"/>
              </w:rPr>
              <w:t>Aantal OG-partners.</w:t>
            </w:r>
          </w:p>
          <w:p w:rsidR="00A45935" w:rsidRPr="00E05D08" w:rsidRDefault="00A45935" w:rsidP="007E63EF">
            <w:pPr>
              <w:suppressAutoHyphens/>
              <w:spacing w:before="40" w:after="40"/>
              <w:jc w:val="left"/>
              <w:rPr>
                <w:rFonts w:cs="Arial"/>
                <w:sz w:val="18"/>
                <w:szCs w:val="18"/>
              </w:rPr>
            </w:pPr>
            <w:r>
              <w:rPr>
                <w:sz w:val="18"/>
                <w:szCs w:val="18"/>
              </w:rPr>
              <w:t>Soort OG-partners.</w:t>
            </w:r>
          </w:p>
        </w:tc>
        <w:tc>
          <w:tcPr>
            <w:tcW w:w="5756" w:type="dxa"/>
          </w:tcPr>
          <w:p w:rsidR="00A45935" w:rsidRPr="00E05D08" w:rsidRDefault="00A45935" w:rsidP="007E63EF">
            <w:pPr>
              <w:suppressAutoHyphens/>
              <w:spacing w:before="40" w:after="40"/>
              <w:jc w:val="left"/>
              <w:rPr>
                <w:rFonts w:cs="Arial"/>
                <w:sz w:val="18"/>
                <w:szCs w:val="18"/>
              </w:rPr>
            </w:pPr>
            <w:r>
              <w:rPr>
                <w:sz w:val="18"/>
                <w:szCs w:val="18"/>
              </w:rPr>
              <w:t xml:space="preserve">POP-monitoringsysteem </w:t>
            </w:r>
          </w:p>
          <w:p w:rsidR="00A45935" w:rsidRPr="00385368" w:rsidRDefault="00A45935" w:rsidP="007E63EF">
            <w:pPr>
              <w:numPr>
                <w:ilvl w:val="0"/>
                <w:numId w:val="85"/>
              </w:numPr>
              <w:suppressAutoHyphens/>
              <w:spacing w:before="40" w:after="40"/>
              <w:jc w:val="left"/>
              <w:rPr>
                <w:rFonts w:cs="Arial"/>
                <w:sz w:val="18"/>
                <w:szCs w:val="18"/>
              </w:rPr>
            </w:pPr>
            <w:r>
              <w:rPr>
                <w:sz w:val="18"/>
                <w:szCs w:val="18"/>
              </w:rPr>
              <w:t>Aanvraagformulieren van begunstigden (begin van het project)</w:t>
            </w:r>
          </w:p>
          <w:p w:rsidR="00A45935" w:rsidRPr="00385368" w:rsidRDefault="00A45935" w:rsidP="007E63EF">
            <w:pPr>
              <w:numPr>
                <w:ilvl w:val="0"/>
                <w:numId w:val="85"/>
              </w:numPr>
              <w:suppressAutoHyphens/>
              <w:spacing w:before="40" w:after="40"/>
              <w:jc w:val="left"/>
              <w:rPr>
                <w:rFonts w:cs="Arial"/>
                <w:sz w:val="18"/>
                <w:szCs w:val="18"/>
              </w:rPr>
            </w:pPr>
            <w:r>
              <w:rPr>
                <w:sz w:val="18"/>
                <w:szCs w:val="18"/>
              </w:rPr>
              <w:t>Betalingsverzoeken van begunstigden (einde van project)</w:t>
            </w:r>
          </w:p>
          <w:p w:rsidR="00A45935" w:rsidRPr="00385368" w:rsidRDefault="00A45935" w:rsidP="007E63EF">
            <w:pPr>
              <w:suppressAutoHyphens/>
              <w:spacing w:before="40" w:after="40"/>
              <w:jc w:val="left"/>
              <w:rPr>
                <w:rFonts w:cs="Arial"/>
                <w:sz w:val="18"/>
                <w:szCs w:val="18"/>
              </w:rPr>
            </w:pPr>
            <w:r>
              <w:rPr>
                <w:sz w:val="18"/>
                <w:szCs w:val="18"/>
              </w:rPr>
              <w:t>Enquêtes onder operationele groepen van het EIP en LAG's.</w:t>
            </w:r>
          </w:p>
          <w:p w:rsidR="00A45935" w:rsidRPr="00385368" w:rsidRDefault="00A45935" w:rsidP="007E63EF">
            <w:pPr>
              <w:suppressAutoHyphens/>
              <w:spacing w:before="40" w:after="40"/>
              <w:jc w:val="left"/>
              <w:rPr>
                <w:rFonts w:cs="Arial"/>
                <w:sz w:val="18"/>
                <w:szCs w:val="18"/>
              </w:rPr>
            </w:pPr>
            <w:r>
              <w:rPr>
                <w:sz w:val="18"/>
                <w:szCs w:val="18"/>
              </w:rPr>
              <w:t>Online platforms van OG's</w:t>
            </w:r>
          </w:p>
          <w:p w:rsidR="00A45935" w:rsidRPr="00E05D08" w:rsidRDefault="00A45935" w:rsidP="007E63EF">
            <w:pPr>
              <w:suppressAutoHyphens/>
              <w:spacing w:before="40" w:after="40"/>
              <w:jc w:val="left"/>
              <w:rPr>
                <w:rFonts w:cs="Arial"/>
                <w:sz w:val="18"/>
                <w:szCs w:val="18"/>
              </w:rPr>
            </w:pPr>
            <w:r>
              <w:rPr>
                <w:sz w:val="18"/>
                <w:szCs w:val="18"/>
              </w:rPr>
              <w:t>Praktijksamenvattingen van OG's.</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LAG's hebben innovatieprojecten ondersteund.</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Aantal door LAG's en hun begunstigden geïmplementeerde projecten dat als innovatief is aangemerkt (met inachtneming van de subsidiabiliteits- en selectiecriteria).</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Monitoringgegevens over LAG-projecten. </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Database met concrete acties van LAG's.</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Er zijn innovatiebelanghebbenden opgeleid.</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Aantal en soort opgeleide innovatiebelanghebbenden.</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Aantal en soort opgeleide belanghebbenden.</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POP-monitoringsysteem </w:t>
            </w:r>
          </w:p>
          <w:p w:rsidR="00A45935" w:rsidRPr="00385368" w:rsidRDefault="00A45935" w:rsidP="007E63EF">
            <w:pPr>
              <w:numPr>
                <w:ilvl w:val="0"/>
                <w:numId w:val="86"/>
              </w:numPr>
              <w:suppressAutoHyphens/>
              <w:spacing w:before="40" w:after="40"/>
              <w:jc w:val="left"/>
              <w:rPr>
                <w:rFonts w:cs="Arial"/>
                <w:sz w:val="18"/>
                <w:szCs w:val="18"/>
              </w:rPr>
            </w:pPr>
            <w:r>
              <w:rPr>
                <w:sz w:val="18"/>
                <w:szCs w:val="18"/>
              </w:rPr>
              <w:t>Aanvraagformulieren van begunstigden (begin van het project)</w:t>
            </w:r>
          </w:p>
          <w:p w:rsidR="00A45935" w:rsidRPr="00385368" w:rsidRDefault="00A45935" w:rsidP="007E63EF">
            <w:pPr>
              <w:numPr>
                <w:ilvl w:val="0"/>
                <w:numId w:val="86"/>
              </w:numPr>
              <w:suppressAutoHyphens/>
              <w:spacing w:before="40" w:after="40"/>
              <w:jc w:val="left"/>
              <w:rPr>
                <w:rFonts w:cs="Arial"/>
                <w:sz w:val="18"/>
                <w:szCs w:val="18"/>
              </w:rPr>
            </w:pPr>
            <w:r>
              <w:rPr>
                <w:sz w:val="18"/>
                <w:szCs w:val="18"/>
              </w:rPr>
              <w:t>Betalingsverzoeken van begunstigden (einde van project)</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Interviews, enquêtes met de beheersautoriteit en aanbieders van opleidingen.</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Belangrijke succesfactoren voor ondersteuning van innovatie door middel van M1, M2, M16 en M19.</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Beschrijving van belangrijke factoren die hebben bijgedragen aan ondersteuning van innovatie in plattelandsgebieden.</w:t>
            </w:r>
          </w:p>
        </w:tc>
        <w:tc>
          <w:tcPr>
            <w:tcW w:w="2835"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Kwalitatieve informatie.</w:t>
            </w:r>
          </w:p>
        </w:tc>
        <w:tc>
          <w:tcPr>
            <w:tcW w:w="5756"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Interviews, enquêtes en focusgroepen met begunstigden van innovatiegerelateerde submaatregelen van M1, M2 en met OG's.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EIP-AGRI en LAG's.</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Praktijksamenvattingen van OG's. </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Database met concrete acties van LAG's.</w:t>
            </w:r>
          </w:p>
        </w:tc>
      </w:tr>
    </w:tbl>
    <w:p w:rsidR="00A45935" w:rsidRPr="00E05D08" w:rsidRDefault="00A45935" w:rsidP="00E05D08">
      <w:pPr>
        <w:spacing w:after="120" w:line="280" w:lineRule="atLeast"/>
        <w:mirrorIndents/>
        <w:rPr>
          <w:rFonts w:eastAsia="Times New Roman" w:cs="Times New Roman"/>
          <w:color w:val="FF0000"/>
          <w:szCs w:val="20"/>
          <w:lang w:eastAsia="de-DE"/>
        </w:rPr>
      </w:pPr>
    </w:p>
    <w:p w:rsidR="00A45935" w:rsidRPr="00E05D08" w:rsidRDefault="00A45935" w:rsidP="00541A7D">
      <w:pPr>
        <w:spacing w:before="60" w:after="0" w:line="280" w:lineRule="atLeast"/>
        <w:rPr>
          <w:rFonts w:eastAsia="Times New Roman" w:cs="Arial"/>
          <w:szCs w:val="18"/>
          <w:lang w:eastAsia="de-DE"/>
          <w14:textFill>
            <w14:solidFill>
              <w14:srgbClr w14:val="373737">
                <w14:lumMod w14:val="75000"/>
              </w14:srgbClr>
            </w14:solidFill>
          </w14:textFill>
        </w:rPr>
      </w:pP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A45935" w:rsidP="008C0B17">
      <w:pPr>
        <w:numPr>
          <w:ilvl w:val="0"/>
          <w:numId w:val="55"/>
        </w:numPr>
        <w:spacing w:before="120" w:after="120" w:line="280" w:lineRule="atLeast"/>
        <w:ind w:left="567" w:hanging="567"/>
        <w:mirrorIndents/>
        <w:rPr>
          <w:rFonts w:eastAsia="Times New Roman" w:cs="Times New Roman"/>
          <w:b/>
          <w:szCs w:val="20"/>
        </w:rPr>
      </w:pPr>
      <w:r>
        <w:rPr>
          <w:b/>
          <w:szCs w:val="20"/>
        </w:rPr>
        <w:lastRenderedPageBreak/>
        <w:t xml:space="preserve">Voorgestelde evaluatiemethodologie ter beantwoording van CEQ 1 </w:t>
      </w:r>
    </w:p>
    <w:p w:rsidR="00A45935" w:rsidRPr="00E05D08" w:rsidRDefault="00A45935" w:rsidP="00E05D08">
      <w:pPr>
        <w:spacing w:after="120" w:line="280" w:lineRule="atLeast"/>
        <w:mirrorIndents/>
        <w:rPr>
          <w:rFonts w:eastAsia="Times New Roman" w:cs="Times New Roman"/>
          <w:szCs w:val="20"/>
        </w:rPr>
      </w:pPr>
      <w:r>
        <w:t>De berekening van de gemeenschappelijke indicatoren die aan CEQ 1 gekoppeld zijn, is beschreven in bijlage 11 van de richtsnoeren: "</w:t>
      </w:r>
      <w:hyperlink r:id="rId39" w:history="1">
        <w:r>
          <w:rPr>
            <w:color w:val="F07E31"/>
            <w:szCs w:val="20"/>
            <w:u w:val="single"/>
          </w:rPr>
          <w:t>Assessment of RDP results: how to prepare for reporting on evaluation in 2017</w:t>
        </w:r>
      </w:hyperlink>
      <w:r>
        <w:t xml:space="preserve">". </w:t>
      </w:r>
    </w:p>
    <w:p w:rsidR="00A45935" w:rsidRPr="00E05D08" w:rsidRDefault="00A45935" w:rsidP="00E05D08">
      <w:pPr>
        <w:spacing w:after="120" w:line="280" w:lineRule="atLeast"/>
        <w:mirrorIndents/>
        <w:rPr>
          <w:rFonts w:eastAsia="Times New Roman" w:cs="Times New Roman"/>
          <w:szCs w:val="20"/>
        </w:rPr>
      </w:pPr>
      <w:r>
        <w:t>Voor de beoordeling van het innovatiegerelateerde deel van CEQ nr. 1 worden de volgende stappen voorgesteld.</w:t>
      </w:r>
    </w:p>
    <w:p w:rsidR="00A45935" w:rsidRPr="00331223" w:rsidRDefault="00A45935" w:rsidP="00C202EC">
      <w:pPr>
        <w:pStyle w:val="Hlistbullet"/>
      </w:pPr>
      <w:r>
        <w:rPr>
          <w:b/>
        </w:rPr>
        <w:t>STAP 1: Het innovatiepotentieel van begunstigden bepalen</w:t>
      </w:r>
      <w:r>
        <w:t xml:space="preserve"> van maatregelen/submaatregelen M1, M2, M16 en M19 (begunstigden die als innovatief aangemerkte acties geïmplementeerd hebben). </w:t>
      </w:r>
    </w:p>
    <w:p w:rsidR="00A45935" w:rsidRPr="00331223" w:rsidRDefault="00A45935" w:rsidP="00C202EC">
      <w:pPr>
        <w:pStyle w:val="Hlistbullet"/>
      </w:pPr>
      <w:r>
        <w:rPr>
          <w:b/>
        </w:rPr>
        <w:t>STAP 2: Output- en doelindicatoren kwantificeren</w:t>
      </w:r>
      <w:r>
        <w:t xml:space="preserve"> door gebruik te maken van de monitoringgegevens van begunstigden (die als innovatief aangemerkte acties hebben geïmplementeerd) uit de database met concrete acties van het POP/LAG's. Om de database met concrete acties te kunnen gebruiken voor de evaluatie van innovatie, kan de beheersautoriteit ervoor kiezen innovatiegerelateerde gegevens toe te voegen en te verzamelen. </w:t>
      </w:r>
    </w:p>
    <w:p w:rsidR="00A45935" w:rsidRPr="00331223" w:rsidRDefault="00A45935" w:rsidP="00C202EC">
      <w:pPr>
        <w:pStyle w:val="Hlistbullet"/>
      </w:pPr>
      <w:r>
        <w:rPr>
          <w:b/>
        </w:rPr>
        <w:t>STAP 3: Met behulp van opgegeven methoden informatie ter beantwoording van de CEQ verzamelen.</w:t>
      </w:r>
      <w:r>
        <w:t xml:space="preserve"> Enquêtes, focusgroepen en de Delphi-methode bijvoorbeeld, kunnen helpen bij het verzamelen van gegevens voor de voorgestelde beoordelingscriteria en aanvullende resultaatindicatoren. Wanneer deze methoden worden toegepast, moet rekening worden gehouden met de problematische kwaliteit en geldigheid van door begunstigden gerapporteerde gegevens (zie </w:t>
      </w:r>
      <w:hyperlink w:anchor="Recommended_Methods" w:history="1">
        <w:r>
          <w:rPr>
            <w:rStyle w:val="Hyperlink"/>
            <w:sz w:val="20"/>
          </w:rPr>
          <w:t>tabel 2</w:t>
        </w:r>
      </w:hyperlink>
      <w:r>
        <w:t xml:space="preserve">). </w:t>
      </w:r>
    </w:p>
    <w:p w:rsidR="00A45935" w:rsidRPr="00C202EC" w:rsidRDefault="00A45935" w:rsidP="00C202EC">
      <w:pPr>
        <w:pStyle w:val="Hlistbullet"/>
        <w:rPr>
          <w:b/>
          <w:sz w:val="16"/>
        </w:rPr>
      </w:pPr>
      <w:r>
        <w:rPr>
          <w:b/>
        </w:rPr>
        <w:t>STAP 4: De verzamelde informatie analyseren en interpreteren</w:t>
      </w:r>
      <w:r>
        <w:t xml:space="preserve"> en vervolgens gebruiken om CEQ nr. 1 te beantwoorden wat de ondersteuning van innovatie betreft. </w:t>
      </w:r>
    </w:p>
    <w:p w:rsidR="00A45935" w:rsidRPr="00FA6691" w:rsidRDefault="00A45935" w:rsidP="00FA6691">
      <w:pPr>
        <w:pStyle w:val="HHeadingtables"/>
        <w:rPr>
          <w:color w:val="6F6F6F"/>
          <w:sz w:val="18"/>
          <w:szCs w:val="18"/>
        </w:rPr>
      </w:pPr>
      <w:bookmarkStart w:id="111" w:name="Recommended_Methods"/>
      <w:bookmarkStart w:id="112" w:name="_Toc511656283"/>
      <w:bookmarkEnd w:id="111"/>
      <w:r>
        <w:rPr>
          <w:color w:val="6F6F6F"/>
          <w:sz w:val="18"/>
          <w:szCs w:val="18"/>
        </w:rPr>
        <w:t>Aanbevolen methoden voor CEQ nr. 1</w:t>
      </w:r>
      <w:bookmarkEnd w:id="112"/>
      <w:r>
        <w:rPr>
          <w:color w:val="6F6F6F"/>
          <w:sz w:val="18"/>
          <w:szCs w:val="18"/>
        </w:rPr>
        <w:t xml:space="preserve"> </w:t>
      </w:r>
    </w:p>
    <w:tbl>
      <w:tblPr>
        <w:tblStyle w:val="TableGrid"/>
        <w:tblW w:w="8613" w:type="dxa"/>
        <w:tblInd w:w="45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323"/>
        <w:gridCol w:w="6290"/>
      </w:tblGrid>
      <w:tr w:rsidR="00A45935" w:rsidRPr="00E05D08" w:rsidTr="00E05D08">
        <w:trPr>
          <w:tblHeader/>
        </w:trPr>
        <w:tc>
          <w:tcPr>
            <w:tcW w:w="1843"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Methoden</w:t>
            </w:r>
          </w:p>
        </w:tc>
        <w:tc>
          <w:tcPr>
            <w:tcW w:w="6770"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Tips voor het gebruik van de methoden</w:t>
            </w:r>
          </w:p>
        </w:tc>
      </w:tr>
      <w:tr w:rsidR="00A45935" w:rsidRPr="00E05D08" w:rsidTr="00E05D08">
        <w:tc>
          <w:tcPr>
            <w:tcW w:w="1843" w:type="dxa"/>
          </w:tcPr>
          <w:p w:rsidR="00A45935" w:rsidRPr="00385368" w:rsidRDefault="00A45935" w:rsidP="007E63EF">
            <w:pPr>
              <w:spacing w:after="120" w:line="280" w:lineRule="atLeast"/>
              <w:ind w:right="116"/>
              <w:mirrorIndents/>
              <w:jc w:val="left"/>
              <w:rPr>
                <w:sz w:val="18"/>
                <w:szCs w:val="18"/>
              </w:rPr>
            </w:pPr>
            <w:r>
              <w:rPr>
                <w:sz w:val="18"/>
                <w:szCs w:val="18"/>
              </w:rPr>
              <w:t xml:space="preserve">Enquêtes onder beheerders van M1 en M2 </w:t>
            </w:r>
          </w:p>
          <w:p w:rsidR="00A45935" w:rsidRPr="00385368" w:rsidRDefault="00A45935" w:rsidP="007E63EF">
            <w:pPr>
              <w:spacing w:after="120" w:line="280" w:lineRule="atLeast"/>
              <w:ind w:right="116"/>
              <w:mirrorIndents/>
              <w:jc w:val="left"/>
              <w:rPr>
                <w:sz w:val="18"/>
                <w:szCs w:val="18"/>
              </w:rPr>
            </w:pPr>
            <w:r>
              <w:rPr>
                <w:sz w:val="18"/>
                <w:szCs w:val="18"/>
              </w:rPr>
              <w:t>Enquêtes onder begunstigden van M1 en M2</w:t>
            </w:r>
          </w:p>
          <w:p w:rsidR="00A45935" w:rsidRPr="00385368" w:rsidRDefault="00A45935" w:rsidP="007E63EF">
            <w:pPr>
              <w:spacing w:after="120" w:line="280" w:lineRule="atLeast"/>
              <w:ind w:right="116"/>
              <w:mirrorIndents/>
              <w:jc w:val="left"/>
              <w:rPr>
                <w:sz w:val="18"/>
                <w:szCs w:val="18"/>
              </w:rPr>
            </w:pPr>
            <w:r>
              <w:rPr>
                <w:sz w:val="18"/>
                <w:szCs w:val="18"/>
              </w:rPr>
              <w:t>Enquêtes over samenwerkingsprojecten van OG's</w:t>
            </w:r>
          </w:p>
          <w:p w:rsidR="00A45935" w:rsidRPr="00385368" w:rsidRDefault="00A45935" w:rsidP="007E63EF">
            <w:pPr>
              <w:spacing w:after="120" w:line="280" w:lineRule="atLeast"/>
              <w:ind w:right="116"/>
              <w:mirrorIndents/>
              <w:jc w:val="left"/>
              <w:rPr>
                <w:sz w:val="18"/>
                <w:szCs w:val="18"/>
              </w:rPr>
            </w:pPr>
            <w:r>
              <w:rPr>
                <w:sz w:val="18"/>
                <w:szCs w:val="18"/>
              </w:rPr>
              <w:t xml:space="preserve">Enquêtes met LAG's en hun begunstigden </w:t>
            </w:r>
          </w:p>
        </w:tc>
        <w:tc>
          <w:tcPr>
            <w:tcW w:w="6770" w:type="dxa"/>
          </w:tcPr>
          <w:p w:rsidR="00A45935" w:rsidRPr="00385368" w:rsidRDefault="00A45935" w:rsidP="00C202EC">
            <w:pPr>
              <w:pStyle w:val="Hlistbullet"/>
              <w:rPr>
                <w:sz w:val="18"/>
                <w:szCs w:val="18"/>
              </w:rPr>
            </w:pPr>
            <w:r>
              <w:rPr>
                <w:sz w:val="18"/>
                <w:szCs w:val="18"/>
              </w:rPr>
              <w:t xml:space="preserve">Beheerders/begunstigden van innovatiegerelateerde submaatregelen van M1 en M2 selecteren voor de enquête. </w:t>
            </w:r>
          </w:p>
          <w:p w:rsidR="00A45935" w:rsidRPr="00385368" w:rsidRDefault="00A45935" w:rsidP="00C202EC">
            <w:pPr>
              <w:pStyle w:val="Hlistbullet"/>
              <w:rPr>
                <w:sz w:val="18"/>
                <w:szCs w:val="18"/>
              </w:rPr>
            </w:pPr>
            <w:r>
              <w:rPr>
                <w:sz w:val="18"/>
                <w:szCs w:val="18"/>
              </w:rPr>
              <w:t>Een steekproef van samenwerkingsprojecten nemen (bv. per sector, grootte van OG, geografie enz.) om via de enquête gegevens en informatie van begunstigden te verzamelen voor indicatoren.</w:t>
            </w:r>
          </w:p>
          <w:p w:rsidR="00A45935" w:rsidRPr="00385368" w:rsidRDefault="00A45935" w:rsidP="00C202EC">
            <w:pPr>
              <w:pStyle w:val="Hlistbullet"/>
              <w:rPr>
                <w:sz w:val="18"/>
                <w:szCs w:val="18"/>
              </w:rPr>
            </w:pPr>
            <w:r>
              <w:rPr>
                <w:sz w:val="18"/>
                <w:szCs w:val="18"/>
              </w:rPr>
              <w:t>De enquêtes samenstellen, met inbegrip van open vragen over de manier waarop M1- en M2-activiteiten, OG's en LAG's hebben bijgedragen aan: a) het delen van innovatieve ideeën, b) het opbouwen van innovatiecapaciteit, c) het scheppen van een faciliterende omgeving voor innovatie.</w:t>
            </w:r>
          </w:p>
          <w:p w:rsidR="00A45935" w:rsidRPr="00385368" w:rsidRDefault="00A45935" w:rsidP="00C202EC">
            <w:pPr>
              <w:pStyle w:val="Hlistbullet"/>
              <w:rPr>
                <w:sz w:val="18"/>
                <w:szCs w:val="18"/>
              </w:rPr>
            </w:pPr>
            <w:r>
              <w:rPr>
                <w:sz w:val="18"/>
                <w:szCs w:val="18"/>
              </w:rPr>
              <w:t>De resultaten van de enquêtes gebruiken om:</w:t>
            </w:r>
          </w:p>
          <w:p w:rsidR="00A45935" w:rsidRPr="00385368" w:rsidRDefault="00A45935" w:rsidP="00C202EC">
            <w:pPr>
              <w:pStyle w:val="Hlistbullet2"/>
              <w:rPr>
                <w:sz w:val="18"/>
                <w:szCs w:val="18"/>
              </w:rPr>
            </w:pPr>
            <w:r>
              <w:rPr>
                <w:sz w:val="18"/>
                <w:szCs w:val="18"/>
              </w:rPr>
              <w:t>vast te stellen hoe verschillende vormen van opleidings- en voorlichtingsacties in het kader van M1 bijdragen aan het ondersteunen van innovatie;</w:t>
            </w:r>
          </w:p>
          <w:p w:rsidR="00A45935" w:rsidRPr="00385368" w:rsidRDefault="00A45935" w:rsidP="00C202EC">
            <w:pPr>
              <w:pStyle w:val="Hlistbullet2"/>
              <w:rPr>
                <w:sz w:val="18"/>
                <w:szCs w:val="18"/>
              </w:rPr>
            </w:pPr>
            <w:r>
              <w:rPr>
                <w:sz w:val="18"/>
                <w:szCs w:val="18"/>
              </w:rPr>
              <w:t>vast te stellen hoe adviesdiensten bijdragen aan het ondersteunen van innovatie;</w:t>
            </w:r>
          </w:p>
          <w:p w:rsidR="00A45935" w:rsidRPr="00385368" w:rsidRDefault="00A45935" w:rsidP="00C202EC">
            <w:pPr>
              <w:pStyle w:val="Hlistbullet2"/>
              <w:rPr>
                <w:sz w:val="18"/>
                <w:szCs w:val="18"/>
              </w:rPr>
            </w:pPr>
            <w:r>
              <w:rPr>
                <w:sz w:val="18"/>
                <w:szCs w:val="18"/>
              </w:rPr>
              <w:t xml:space="preserve">vast te stellen hoe OG's bijdragen aan het voortbrengen van bruikbare resultaten; </w:t>
            </w:r>
          </w:p>
          <w:p w:rsidR="00A45935" w:rsidRPr="00385368" w:rsidRDefault="00A45935" w:rsidP="00C202EC">
            <w:pPr>
              <w:pStyle w:val="Hlistbullet2"/>
            </w:pPr>
            <w:r>
              <w:rPr>
                <w:sz w:val="18"/>
                <w:szCs w:val="18"/>
              </w:rPr>
              <w:lastRenderedPageBreak/>
              <w:t>vast te stellen hoe LAG's innovatie bevorderen door middel van projecten die worden ondersteund door GGLO-strategieën of bewustmakingsactiviteiten die worden uitgevoerd door de LAG.</w:t>
            </w:r>
          </w:p>
        </w:tc>
      </w:tr>
      <w:tr w:rsidR="00A45935" w:rsidRPr="00E05D08" w:rsidTr="00E05D08">
        <w:tc>
          <w:tcPr>
            <w:tcW w:w="1843" w:type="dxa"/>
          </w:tcPr>
          <w:p w:rsidR="00A45935" w:rsidRPr="00E05D08" w:rsidRDefault="00A45935" w:rsidP="007E63EF">
            <w:pPr>
              <w:spacing w:after="120" w:line="280" w:lineRule="atLeast"/>
              <w:mirrorIndents/>
              <w:jc w:val="left"/>
              <w:rPr>
                <w:sz w:val="18"/>
                <w:szCs w:val="18"/>
              </w:rPr>
            </w:pPr>
            <w:r>
              <w:rPr>
                <w:sz w:val="18"/>
                <w:szCs w:val="18"/>
              </w:rPr>
              <w:lastRenderedPageBreak/>
              <w:t>Focusgroepen</w:t>
            </w:r>
          </w:p>
        </w:tc>
        <w:tc>
          <w:tcPr>
            <w:tcW w:w="6770" w:type="dxa"/>
          </w:tcPr>
          <w:p w:rsidR="00A45935" w:rsidRPr="00385368" w:rsidRDefault="00A45935" w:rsidP="00C202EC">
            <w:pPr>
              <w:pStyle w:val="Hlistbullet"/>
              <w:rPr>
                <w:sz w:val="18"/>
                <w:szCs w:val="18"/>
              </w:rPr>
            </w:pPr>
            <w:r>
              <w:rPr>
                <w:sz w:val="18"/>
                <w:szCs w:val="18"/>
              </w:rPr>
              <w:t>Innovatieactoren betrekken bij de focusgroepen (bv. innovatiesteundiensten, adviseurs die fungeren als innovatiebemiddelaars, onderzoeks- en innovatiecentra enz.).</w:t>
            </w:r>
          </w:p>
          <w:p w:rsidR="00A45935" w:rsidRPr="00385368" w:rsidRDefault="00A45935" w:rsidP="00C202EC">
            <w:pPr>
              <w:pStyle w:val="Hlistbullet"/>
              <w:rPr>
                <w:sz w:val="18"/>
                <w:szCs w:val="18"/>
              </w:rPr>
            </w:pPr>
            <w:r>
              <w:rPr>
                <w:sz w:val="18"/>
                <w:szCs w:val="18"/>
              </w:rPr>
              <w:t>Analyseren welke invloed relevante submaatregelen van M1, M2 en de OG's en LAG's uitoefenen op de innovatiecapaciteit en de schepping van een faciliterende omgeving voor innovatie.</w:t>
            </w:r>
          </w:p>
          <w:p w:rsidR="00A45935" w:rsidRPr="00385368" w:rsidRDefault="00A45935" w:rsidP="00C202EC">
            <w:pPr>
              <w:pStyle w:val="Hlistbullet"/>
              <w:rPr>
                <w:sz w:val="18"/>
                <w:szCs w:val="18"/>
              </w:rPr>
            </w:pPr>
            <w:r>
              <w:rPr>
                <w:sz w:val="18"/>
                <w:szCs w:val="18"/>
              </w:rPr>
              <w:t>De mogelijkheid van thematische focusgroepen overwegen (bv. een focusgroep voor innovatiebemiddeling).</w:t>
            </w:r>
          </w:p>
        </w:tc>
      </w:tr>
      <w:tr w:rsidR="00A45935" w:rsidRPr="00E05D08" w:rsidTr="00E05D08">
        <w:tc>
          <w:tcPr>
            <w:tcW w:w="1843" w:type="dxa"/>
          </w:tcPr>
          <w:p w:rsidR="00A45935" w:rsidRPr="00E05D08" w:rsidRDefault="00A45935" w:rsidP="00E05D08">
            <w:pPr>
              <w:spacing w:after="120" w:line="280" w:lineRule="atLeast"/>
              <w:ind w:right="399"/>
              <w:mirrorIndents/>
              <w:rPr>
                <w:sz w:val="18"/>
                <w:szCs w:val="18"/>
              </w:rPr>
            </w:pPr>
            <w:r>
              <w:rPr>
                <w:sz w:val="18"/>
                <w:szCs w:val="18"/>
              </w:rPr>
              <w:t>Delphi-methode</w:t>
            </w:r>
          </w:p>
        </w:tc>
        <w:tc>
          <w:tcPr>
            <w:tcW w:w="6770" w:type="dxa"/>
          </w:tcPr>
          <w:p w:rsidR="00A45935" w:rsidRPr="00385368" w:rsidRDefault="00A45935" w:rsidP="00C202EC">
            <w:pPr>
              <w:pStyle w:val="Hlistbullet"/>
              <w:rPr>
                <w:sz w:val="18"/>
                <w:szCs w:val="18"/>
              </w:rPr>
            </w:pPr>
            <w:r>
              <w:rPr>
                <w:sz w:val="18"/>
                <w:szCs w:val="18"/>
              </w:rPr>
              <w:t>Innovatiedeskundigen inschakelen (bv. deskundigen die betrokken zijn bij de maatregelen en samenwerkingsprojecten, maar ook andere innovatiedeskundigen zoals academici).</w:t>
            </w:r>
          </w:p>
        </w:tc>
      </w:tr>
    </w:tbl>
    <w:p w:rsidR="00EF1B0F" w:rsidRPr="00E05D08" w:rsidRDefault="00EF1B0F" w:rsidP="00EF1B0F">
      <w:pPr>
        <w:spacing w:before="240" w:after="120" w:line="280" w:lineRule="atLeast"/>
        <w:mirrorIndents/>
        <w:rPr>
          <w:rFonts w:eastAsia="Times New Roman" w:cs="Times New Roman"/>
          <w:b/>
          <w:i/>
          <w:sz w:val="18"/>
          <w:szCs w:val="18"/>
        </w:rPr>
      </w:pPr>
      <w:r>
        <w:rPr>
          <w:b/>
          <w:i/>
          <w:sz w:val="18"/>
          <w:szCs w:val="18"/>
        </w:rPr>
        <w:t>In de JUV's van 2017 gerapporteerde evaluatiepraktijken</w:t>
      </w:r>
    </w:p>
    <w:p w:rsidR="00A45935" w:rsidRPr="00E05D08" w:rsidRDefault="00A45935" w:rsidP="00E05D08">
      <w:pPr>
        <w:spacing w:after="120" w:line="280" w:lineRule="atLeast"/>
        <w:mirrorIndents/>
        <w:rPr>
          <w:rFonts w:eastAsia="Times New Roman" w:cs="Times New Roman"/>
          <w:i/>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C202EC" w:rsidRDefault="006F1601" w:rsidP="00E05D08">
      <w:pPr>
        <w:spacing w:after="120" w:line="280" w:lineRule="atLeast"/>
        <w:mirrorIndents/>
        <w:rPr>
          <w:rFonts w:eastAsia="Times New Roman" w:cs="Times New Roman"/>
          <w:b/>
          <w:i/>
          <w:sz w:val="18"/>
          <w:szCs w:val="18"/>
        </w:rPr>
      </w:pPr>
      <w:r>
        <w:rPr>
          <w:rFonts w:eastAsia="Times New Roman" w:cs="Times New Roman"/>
          <w:noProof/>
          <w:sz w:val="18"/>
          <w:szCs w:val="24"/>
          <w:lang w:val="en-GB" w:eastAsia="en-GB"/>
        </w:rPr>
        <w:lastRenderedPageBreak/>
        <mc:AlternateContent>
          <mc:Choice Requires="wps">
            <w:drawing>
              <wp:inline distT="0" distB="0" distL="0" distR="0" wp14:anchorId="73526A13" wp14:editId="3BBC5CC1">
                <wp:extent cx="5878195" cy="6705600"/>
                <wp:effectExtent l="0" t="0" r="27305" b="19050"/>
                <wp:docPr id="60" name="Rectangle: Diagonal Corners Rounded 60"/>
                <wp:cNvGraphicFramePr/>
                <a:graphic xmlns:a="http://schemas.openxmlformats.org/drawingml/2006/main">
                  <a:graphicData uri="http://schemas.microsoft.com/office/word/2010/wordprocessingShape">
                    <wps:wsp>
                      <wps:cNvSpPr/>
                      <wps:spPr>
                        <a:xfrm>
                          <a:off x="0" y="0"/>
                          <a:ext cx="5878195" cy="6705600"/>
                        </a:xfrm>
                        <a:prstGeom prst="round2DiagRect">
                          <a:avLst>
                            <a:gd name="adj1" fmla="val 5521"/>
                            <a:gd name="adj2" fmla="val 0"/>
                          </a:avLst>
                        </a:prstGeom>
                        <a:noFill/>
                        <a:ln w="25400" cap="flat" cmpd="sng" algn="ctr">
                          <a:solidFill>
                            <a:srgbClr val="F07E31"/>
                          </a:solidFill>
                          <a:prstDash val="solid"/>
                        </a:ln>
                        <a:effectLst/>
                      </wps:spPr>
                      <wps:txbx>
                        <w:txbxContent>
                          <w:p w:rsidR="00891EED" w:rsidRPr="00C202EC" w:rsidRDefault="00891EED" w:rsidP="00E05D08">
                            <w:pPr>
                              <w:pStyle w:val="Normal12PTcouleurgris"/>
                              <w:ind w:left="567" w:hanging="567"/>
                              <w:rPr>
                                <w:b/>
                                <w:color w:val="F07E31"/>
                                <w:sz w:val="18"/>
                              </w:rPr>
                            </w:pPr>
                            <w:r>
                              <w:rPr>
                                <w:noProof/>
                                <w:color w:val="F07E31"/>
                                <w:lang w:val="en-GB" w:eastAsia="en-GB"/>
                              </w:rPr>
                              <w:drawing>
                                <wp:inline distT="0" distB="0" distL="0" distR="0" wp14:anchorId="0CDF0F57" wp14:editId="645C2849">
                                  <wp:extent cx="353060" cy="359410"/>
                                  <wp:effectExtent l="0" t="0" r="8890" b="2540"/>
                                  <wp:docPr id="74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891EED" w:rsidRPr="00C202EC" w:rsidRDefault="00891EED" w:rsidP="00C202EC">
                            <w:pPr>
                              <w:pStyle w:val="Normal12PTcouleurgris"/>
                              <w:spacing w:after="120"/>
                              <w:ind w:left="567" w:hanging="567"/>
                              <w:rPr>
                                <w:b/>
                                <w:color w:val="F07E31"/>
                                <w:sz w:val="18"/>
                              </w:rPr>
                            </w:pPr>
                            <w:r>
                              <w:rPr>
                                <w:b/>
                                <w:color w:val="F07E31"/>
                                <w:sz w:val="18"/>
                              </w:rPr>
                              <w:t>Voorbeelden voor vaststelling van het innovatiepotentieel</w:t>
                            </w:r>
                          </w:p>
                          <w:p w:rsidR="00891EED" w:rsidRPr="00C202EC" w:rsidRDefault="00891EED" w:rsidP="00C202EC">
                            <w:pPr>
                              <w:pStyle w:val="Hlistbullet"/>
                              <w:rPr>
                                <w:sz w:val="18"/>
                                <w:szCs w:val="18"/>
                              </w:rPr>
                            </w:pPr>
                            <w:r>
                              <w:rPr>
                                <w:b/>
                                <w:sz w:val="18"/>
                                <w:szCs w:val="18"/>
                              </w:rPr>
                              <w:t>Castilla y León (ES)</w:t>
                            </w:r>
                            <w:r>
                              <w:rPr>
                                <w:sz w:val="18"/>
                                <w:szCs w:val="18"/>
                              </w:rPr>
                              <w:t xml:space="preserve"> - benadrukt het innovatiepotentieel van LAG's en adviseert analyse van de lokale ontwikkelingsstrategieën om vast te stellen welke soorten concrete acties die in het kader van strategieën zijn geïmplementeerd de bijdrage van LAG's aan de innovatiegerelateerde doelstellingen van AG 1A bevorderen.</w:t>
                            </w:r>
                            <w:r>
                              <w:rPr>
                                <w:b/>
                                <w:sz w:val="18"/>
                                <w:szCs w:val="18"/>
                              </w:rPr>
                              <w:t xml:space="preserve"> </w:t>
                            </w:r>
                          </w:p>
                          <w:p w:rsidR="00891EED" w:rsidRPr="00C202EC" w:rsidRDefault="00891EED" w:rsidP="00C202EC">
                            <w:pPr>
                              <w:pStyle w:val="Hlistbullet"/>
                              <w:rPr>
                                <w:sz w:val="18"/>
                                <w:szCs w:val="18"/>
                              </w:rPr>
                            </w:pPr>
                            <w:r>
                              <w:rPr>
                                <w:b/>
                                <w:sz w:val="18"/>
                                <w:szCs w:val="18"/>
                              </w:rPr>
                              <w:t>Canarische Eilanden (ES)</w:t>
                            </w:r>
                            <w:r>
                              <w:rPr>
                                <w:sz w:val="18"/>
                                <w:szCs w:val="18"/>
                              </w:rPr>
                              <w:t xml:space="preserve"> - benadrukt eveneens het innovatiepotentieel van LAG's en adviseert opname van een variabele in het monitoring- en evaluatiesysteem die aangeeft of de acties die door LAG's op grond van lokale ontwikkelingsstrategieën in het kader van M19 zijn geïmplementeerd, innovatief zijn.</w:t>
                            </w:r>
                          </w:p>
                          <w:p w:rsidR="00891EED" w:rsidRPr="00C202EC" w:rsidRDefault="00891EED" w:rsidP="003F6478">
                            <w:pPr>
                              <w:pStyle w:val="HStandard"/>
                              <w:ind w:left="567" w:hanging="567"/>
                              <w:rPr>
                                <w:b/>
                                <w:color w:val="F07E31"/>
                                <w:sz w:val="18"/>
                                <w:szCs w:val="18"/>
                              </w:rPr>
                            </w:pPr>
                            <w:r>
                              <w:rPr>
                                <w:b/>
                                <w:color w:val="F07E31"/>
                                <w:sz w:val="18"/>
                                <w:szCs w:val="18"/>
                              </w:rPr>
                              <w:t xml:space="preserve">Voorbeelden van aanvullende evaluatie-elementen </w:t>
                            </w:r>
                          </w:p>
                          <w:p w:rsidR="00891EED" w:rsidRPr="00C202EC" w:rsidRDefault="00891EED" w:rsidP="00C202EC">
                            <w:pPr>
                              <w:pStyle w:val="Hlistbullet"/>
                              <w:rPr>
                                <w:sz w:val="18"/>
                                <w:szCs w:val="18"/>
                              </w:rPr>
                            </w:pPr>
                            <w:r>
                              <w:rPr>
                                <w:b/>
                                <w:sz w:val="18"/>
                                <w:szCs w:val="18"/>
                              </w:rPr>
                              <w:t>Beieren (DE)</w:t>
                            </w:r>
                            <w:r>
                              <w:rPr>
                                <w:sz w:val="18"/>
                                <w:szCs w:val="18"/>
                              </w:rPr>
                              <w:t xml:space="preserve"> - noemt het gebruik van aanvullende beoordelingscriteria in verband met innovatie op LAG-niveau (bv. nieuwe multisectorale projecten die door het LAG zijn gebruikt, uitgevoerde tests van nieuwe processen/technieken). Er is een aanvullende resultaatindicator gebruikt (nieuwe ideeën/oplossingen, innovaties - M19). De indicator is gekwantificeerd en de informatie is verzameld via: a) een online enquête onder LAG-beheerders; b) semi-gestructureerde interviews met geselecteerde LAG-beheerders. </w:t>
                            </w:r>
                          </w:p>
                          <w:p w:rsidR="00891EED" w:rsidRPr="00C202EC" w:rsidRDefault="00891EED" w:rsidP="00C202EC">
                            <w:pPr>
                              <w:pStyle w:val="Hlistbullet"/>
                              <w:rPr>
                                <w:sz w:val="18"/>
                                <w:szCs w:val="18"/>
                              </w:rPr>
                            </w:pPr>
                            <w:r>
                              <w:rPr>
                                <w:b/>
                                <w:sz w:val="18"/>
                                <w:szCs w:val="18"/>
                              </w:rPr>
                              <w:t>Tsjechische Republiek</w:t>
                            </w:r>
                            <w:r>
                              <w:rPr>
                                <w:sz w:val="18"/>
                                <w:szCs w:val="18"/>
                              </w:rPr>
                              <w:t xml:space="preserve"> - beschrijft de gegevensvergaring voor de aanvullende resultaatindicator "aantal deelnemers dat op innovatie gerichte activiteiten voltooit" via de database met concrete acties. Ook wordt melding gemaakt van een enquête onder begunstigden van ondersteunde projecten ter vergaring van informatie over innovatie.</w:t>
                            </w:r>
                          </w:p>
                          <w:p w:rsidR="00891EED" w:rsidRPr="00C202EC" w:rsidRDefault="00891EED" w:rsidP="00142A64">
                            <w:pPr>
                              <w:pStyle w:val="HStandard"/>
                              <w:rPr>
                                <w:b/>
                                <w:sz w:val="18"/>
                                <w:szCs w:val="18"/>
                              </w:rPr>
                            </w:pPr>
                            <w:r>
                              <w:rPr>
                                <w:b/>
                                <w:color w:val="F07E31"/>
                                <w:sz w:val="18"/>
                                <w:szCs w:val="18"/>
                              </w:rPr>
                              <w:t>Voorbeelden van methoden</w:t>
                            </w:r>
                          </w:p>
                          <w:p w:rsidR="00891EED" w:rsidRPr="00C202EC" w:rsidRDefault="00891EED" w:rsidP="00C202EC">
                            <w:pPr>
                              <w:pStyle w:val="Hlistbullet"/>
                              <w:rPr>
                                <w:sz w:val="18"/>
                                <w:szCs w:val="18"/>
                              </w:rPr>
                            </w:pPr>
                            <w:r>
                              <w:rPr>
                                <w:b/>
                                <w:sz w:val="18"/>
                                <w:szCs w:val="18"/>
                              </w:rPr>
                              <w:t>Castilla y León (ES) -</w:t>
                            </w:r>
                            <w:r>
                              <w:rPr>
                                <w:sz w:val="18"/>
                                <w:szCs w:val="18"/>
                              </w:rPr>
                              <w:t xml:space="preserve"> doet de aanbeveling om elke maatregelbeheerder te ondervragen en aanvullende gegevens in het monitoringsysteem op te nemen waarmee vastgesteld kan worden in hoeverre verschillende concrete acties innovatieve elementen bevatten en bijdragen aan de innovatiedoelstellingen.</w:t>
                            </w:r>
                          </w:p>
                          <w:p w:rsidR="00891EED" w:rsidRPr="00C202EC" w:rsidRDefault="00891EED" w:rsidP="00C202EC">
                            <w:pPr>
                              <w:pStyle w:val="Hlistbullet"/>
                            </w:pPr>
                            <w:r>
                              <w:rPr>
                                <w:b/>
                                <w:sz w:val="18"/>
                                <w:szCs w:val="18"/>
                              </w:rPr>
                              <w:t>Castilla la Mancha (ES) -</w:t>
                            </w:r>
                            <w:r>
                              <w:rPr>
                                <w:sz w:val="18"/>
                                <w:szCs w:val="18"/>
                              </w:rPr>
                              <w:t xml:space="preserve"> heeft een enquête onder alle deelnemers van opleidingen gehouden om onder meer de bijdragen van kennisoverdracht en voorlichtingsacties aan innovatie te evalueren. Middels de enquête konden innovatieve opleidingssessies worden aangewezen.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526A13" id="Rectangle: Diagonal Corners Rounded 60" o:spid="_x0000_s1044" style="width:462.85pt;height:528pt;visibility:visible;mso-wrap-style:square;mso-left-percent:-10001;mso-top-percent:-10001;mso-position-horizontal:absolute;mso-position-horizontal-relative:char;mso-position-vertical:absolute;mso-position-vertical-relative:line;mso-left-percent:-10001;mso-top-percent:-10001;v-text-anchor:middle" coordsize="5878195,6705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" adj="-11796480,,5400" path="m324535,l5878195,r,l5878195,6381065v,179236,-145299,324535,-324535,324535l,6705600r,l,324535c,145299,145299,,324535,xe" filled="f" strokecolor="#f07e31" strokeweight="2pt">
                <v:stroke joinstyle="miter"/>
                <v:formulas/>
                <v:path arrowok="t" o:connecttype="custom" o:connectlocs="324535,0;5878195,0;5878195,0;5878195,6381065;5553660,6705600;0,6705600;0,6705600;0,324535;324535,0" o:connectangles="0,0,0,0,0,0,0,0,0" textboxrect="0,0,5878195,6705600"/>
                <v:textbox>
                  <w:txbxContent>
                    <w:p w:rsidR="00891EED" w:rsidRPr="00C202EC" w:rsidRDefault="00891EED" w:rsidP="00E05D08">
                      <w:pPr>
                        <w:pStyle w:val="Normal12PTcouleurgris"/>
                        <w:ind w:left="567" w:hanging="567"/>
                        <w:rPr>
                          <w:b/>
                          <w:color w:val="F07E31"/>
                          <w:sz w:val="18"/>
                        </w:rPr>
                      </w:pPr>
                      <w:r>
                        <w:rPr>
                          <w:noProof/>
                          <w:color w:val="F07E31"/>
                          <w:lang w:val="en-GB" w:eastAsia="en-GB"/>
                        </w:rPr>
                        <w:drawing>
                          <wp:inline distT="0" distB="0" distL="0" distR="0" wp14:anchorId="0CDF0F57" wp14:editId="645C2849">
                            <wp:extent cx="353060" cy="359410"/>
                            <wp:effectExtent l="0" t="0" r="8890" b="2540"/>
                            <wp:docPr id="74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891EED" w:rsidRPr="00C202EC" w:rsidRDefault="00891EED" w:rsidP="00C202EC">
                      <w:pPr>
                        <w:pStyle w:val="Normal12PTcouleurgris"/>
                        <w:spacing w:after="120"/>
                        <w:ind w:left="567" w:hanging="567"/>
                        <w:rPr>
                          <w:b/>
                          <w:color w:val="F07E31"/>
                          <w:sz w:val="18"/>
                        </w:rPr>
                      </w:pPr>
                      <w:r>
                        <w:rPr>
                          <w:b/>
                          <w:color w:val="F07E31"/>
                          <w:sz w:val="18"/>
                        </w:rPr>
                        <w:t>Voorbeelden voor vaststelling van het innovatiepotentieel</w:t>
                      </w:r>
                    </w:p>
                    <w:p w:rsidR="00891EED" w:rsidRPr="00C202EC" w:rsidRDefault="00891EED" w:rsidP="00C202EC">
                      <w:pPr>
                        <w:pStyle w:val="Hlistbullet"/>
                        <w:rPr>
                          <w:sz w:val="18"/>
                          <w:szCs w:val="18"/>
                        </w:rPr>
                      </w:pPr>
                      <w:r>
                        <w:rPr>
                          <w:b/>
                          <w:sz w:val="18"/>
                          <w:szCs w:val="18"/>
                        </w:rPr>
                        <w:t>Castilla y León (ES)</w:t>
                      </w:r>
                      <w:r>
                        <w:rPr>
                          <w:sz w:val="18"/>
                          <w:szCs w:val="18"/>
                        </w:rPr>
                        <w:t xml:space="preserve"> - benadrukt het innovatiepotentieel van LAG's en adviseert analyse van de lokale ontwikkelingsstrategieën om vast te stellen welke soorten concrete acties die in het kader van strategieën zijn geïmplementeerd de bijdrage van LAG's aan de innovatiegerelateerde doelstellingen van AG 1A bevorderen.</w:t>
                      </w:r>
                      <w:r>
                        <w:rPr>
                          <w:b/>
                          <w:sz w:val="18"/>
                          <w:szCs w:val="18"/>
                        </w:rPr>
                        <w:t xml:space="preserve"> </w:t>
                      </w:r>
                    </w:p>
                    <w:p w:rsidR="00891EED" w:rsidRPr="00C202EC" w:rsidRDefault="00891EED" w:rsidP="00C202EC">
                      <w:pPr>
                        <w:pStyle w:val="Hlistbullet"/>
                        <w:rPr>
                          <w:sz w:val="18"/>
                          <w:szCs w:val="18"/>
                        </w:rPr>
                      </w:pPr>
                      <w:r>
                        <w:rPr>
                          <w:b/>
                          <w:sz w:val="18"/>
                          <w:szCs w:val="18"/>
                        </w:rPr>
                        <w:t>Canarische Eilanden (ES)</w:t>
                      </w:r>
                      <w:r>
                        <w:rPr>
                          <w:sz w:val="18"/>
                          <w:szCs w:val="18"/>
                        </w:rPr>
                        <w:t xml:space="preserve"> - benadrukt eveneens het innovatiepotentieel van LAG's en adviseert opname van een variabele in het monitoring- en evaluatiesysteem die aangeeft of de acties die door LAG's op grond van lokale ontwikkelingsstrategieën in het kader van M19 zijn geïmplementeerd, innovatief zijn.</w:t>
                      </w:r>
                    </w:p>
                    <w:p w:rsidR="00891EED" w:rsidRPr="00C202EC" w:rsidRDefault="00891EED" w:rsidP="003F6478">
                      <w:pPr>
                        <w:pStyle w:val="HStandard"/>
                        <w:ind w:left="567" w:hanging="567"/>
                        <w:rPr>
                          <w:b/>
                          <w:color w:val="F07E31"/>
                          <w:sz w:val="18"/>
                          <w:szCs w:val="18"/>
                        </w:rPr>
                      </w:pPr>
                      <w:r>
                        <w:rPr>
                          <w:b/>
                          <w:color w:val="F07E31"/>
                          <w:sz w:val="18"/>
                          <w:szCs w:val="18"/>
                        </w:rPr>
                        <w:t xml:space="preserve">Voorbeelden van aanvullende evaluatie-elementen </w:t>
                      </w:r>
                    </w:p>
                    <w:p w:rsidR="00891EED" w:rsidRPr="00C202EC" w:rsidRDefault="00891EED" w:rsidP="00C202EC">
                      <w:pPr>
                        <w:pStyle w:val="Hlistbullet"/>
                        <w:rPr>
                          <w:sz w:val="18"/>
                          <w:szCs w:val="18"/>
                        </w:rPr>
                      </w:pPr>
                      <w:r>
                        <w:rPr>
                          <w:b/>
                          <w:sz w:val="18"/>
                          <w:szCs w:val="18"/>
                        </w:rPr>
                        <w:t>Beieren (DE)</w:t>
                      </w:r>
                      <w:r>
                        <w:rPr>
                          <w:sz w:val="18"/>
                          <w:szCs w:val="18"/>
                        </w:rPr>
                        <w:t xml:space="preserve"> - noemt het gebruik van aanvullende beoordelingscriteria in verband met innovatie op LAG-niveau (bv. nieuwe multisectorale projecten die door het LAG zijn gebruikt, uitgevoerde tests van nieuwe processen/technieken). Er is een aanvullende resultaatindicator gebruikt (nieuwe ideeën/oplossingen, innovaties - M19). De indicator is gekwantificeerd en de informatie is verzameld via: a) een online enquête onder LAG-beheerders; b) semi-gestructureerde interviews met geselecteerde LAG-beheerders. </w:t>
                      </w:r>
                    </w:p>
                    <w:p w:rsidR="00891EED" w:rsidRPr="00C202EC" w:rsidRDefault="00891EED" w:rsidP="00C202EC">
                      <w:pPr>
                        <w:pStyle w:val="Hlistbullet"/>
                        <w:rPr>
                          <w:sz w:val="18"/>
                          <w:szCs w:val="18"/>
                        </w:rPr>
                      </w:pPr>
                      <w:r>
                        <w:rPr>
                          <w:b/>
                          <w:sz w:val="18"/>
                          <w:szCs w:val="18"/>
                        </w:rPr>
                        <w:t>Tsjechische Republiek</w:t>
                      </w:r>
                      <w:r>
                        <w:rPr>
                          <w:sz w:val="18"/>
                          <w:szCs w:val="18"/>
                        </w:rPr>
                        <w:t xml:space="preserve"> - beschrijft de gegevensvergaring voor de aanvullende resultaatindicator "aantal deelnemers dat op innovatie gerichte activiteiten voltooit" via de database met concrete acties. Ook wordt melding gemaakt van een enquête onder begunstigden van ondersteunde projecten ter vergaring van informatie over innovatie.</w:t>
                      </w:r>
                    </w:p>
                    <w:p w:rsidR="00891EED" w:rsidRPr="00C202EC" w:rsidRDefault="00891EED" w:rsidP="00142A64">
                      <w:pPr>
                        <w:pStyle w:val="HStandard"/>
                        <w:rPr>
                          <w:b/>
                          <w:sz w:val="18"/>
                          <w:szCs w:val="18"/>
                        </w:rPr>
                      </w:pPr>
                      <w:r>
                        <w:rPr>
                          <w:b/>
                          <w:color w:val="F07E31"/>
                          <w:sz w:val="18"/>
                          <w:szCs w:val="18"/>
                        </w:rPr>
                        <w:t>Voorbeelden van methoden</w:t>
                      </w:r>
                    </w:p>
                    <w:p w:rsidR="00891EED" w:rsidRPr="00C202EC" w:rsidRDefault="00891EED" w:rsidP="00C202EC">
                      <w:pPr>
                        <w:pStyle w:val="Hlistbullet"/>
                        <w:rPr>
                          <w:sz w:val="18"/>
                          <w:szCs w:val="18"/>
                        </w:rPr>
                      </w:pPr>
                      <w:r>
                        <w:rPr>
                          <w:b/>
                          <w:sz w:val="18"/>
                          <w:szCs w:val="18"/>
                        </w:rPr>
                        <w:t>Castilla y León (ES) -</w:t>
                      </w:r>
                      <w:r>
                        <w:rPr>
                          <w:sz w:val="18"/>
                          <w:szCs w:val="18"/>
                        </w:rPr>
                        <w:t xml:space="preserve"> doet de aanbeveling om elke maatregelbeheerder te ondervragen en aanvullende gegevens in het monitoringsysteem op te nemen waarmee vastgesteld kan worden in hoeverre verschillende concrete acties innovatieve elementen bevatten en bijdragen aan de innovatiedoelstellingen.</w:t>
                      </w:r>
                    </w:p>
                    <w:p w:rsidR="00891EED" w:rsidRPr="00C202EC" w:rsidRDefault="00891EED" w:rsidP="00C202EC">
                      <w:pPr>
                        <w:pStyle w:val="Hlistbullet"/>
                      </w:pPr>
                      <w:r>
                        <w:rPr>
                          <w:b/>
                          <w:sz w:val="18"/>
                          <w:szCs w:val="18"/>
                        </w:rPr>
                        <w:t>Castilla la Mancha (ES) -</w:t>
                      </w:r>
                      <w:r>
                        <w:rPr>
                          <w:sz w:val="18"/>
                          <w:szCs w:val="18"/>
                        </w:rPr>
                        <w:t xml:space="preserve"> heeft een enquête onder alle deelnemers van opleidingen gehouden om onder meer de bijdragen van kennisoverdracht en voorlichtingsacties aan innovatie te evalueren. Middels de enquête konden innovatieve opleidingssessies worden aangewezen.</w:t>
                      </w:r>
                    </w:p>
                  </w:txbxContent>
                </v:textbox>
                <w10:anchorlock/>
              </v:shape>
            </w:pict>
          </mc:Fallback>
        </mc:AlternateContent>
      </w:r>
    </w:p>
    <w:p w:rsidR="00C202EC" w:rsidRDefault="00C202EC">
      <w:pPr>
        <w:jc w:val="left"/>
        <w:rPr>
          <w:rFonts w:eastAsia="Times New Roman" w:cs="Times New Roman"/>
          <w:b/>
          <w:i/>
          <w:sz w:val="18"/>
          <w:szCs w:val="18"/>
        </w:rPr>
      </w:pPr>
      <w:r>
        <w:br w:type="page"/>
      </w:r>
    </w:p>
    <w:p w:rsidR="00A45935" w:rsidRPr="00AB16BB" w:rsidRDefault="00A45935" w:rsidP="00AB16BB">
      <w:pPr>
        <w:pStyle w:val="ListParagraph"/>
        <w:numPr>
          <w:ilvl w:val="0"/>
          <w:numId w:val="55"/>
        </w:numPr>
        <w:spacing w:after="120" w:line="280" w:lineRule="atLeast"/>
        <w:ind w:left="567" w:hanging="567"/>
        <w:rPr>
          <w:rFonts w:eastAsia="Times New Roman" w:cs="Times New Roman"/>
          <w:b/>
          <w:szCs w:val="20"/>
        </w:rPr>
      </w:pPr>
      <w:r>
        <w:rPr>
          <w:b/>
          <w:szCs w:val="20"/>
        </w:rPr>
        <w:lastRenderedPageBreak/>
        <w:t xml:space="preserve">Risico's en oplossingen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33"/>
        <w:gridCol w:w="5097"/>
      </w:tblGrid>
      <w:tr w:rsidR="00A45935" w:rsidRPr="00E05D08" w:rsidTr="00E05D08">
        <w:tc>
          <w:tcPr>
            <w:tcW w:w="3833" w:type="dxa"/>
            <w:shd w:val="clear" w:color="auto" w:fill="F07E31"/>
            <w:hideMark/>
          </w:tcPr>
          <w:p w:rsidR="00A45935" w:rsidRPr="00AB16BB" w:rsidRDefault="00A45935" w:rsidP="00E05D08">
            <w:pPr>
              <w:tabs>
                <w:tab w:val="left" w:pos="2070"/>
              </w:tabs>
              <w:spacing w:after="120" w:line="280" w:lineRule="atLeast"/>
              <w:mirrorIndents/>
              <w:jc w:val="center"/>
              <w:rPr>
                <w:b/>
                <w:color w:val="FFFFFF" w:themeColor="background1"/>
                <w:sz w:val="18"/>
                <w:szCs w:val="18"/>
              </w:rPr>
            </w:pPr>
            <w:r>
              <w:rPr>
                <w:b/>
                <w:color w:val="FFFFFF" w:themeColor="background1"/>
                <w:sz w:val="18"/>
                <w:szCs w:val="18"/>
              </w:rPr>
              <w:t>Risico's</w:t>
            </w:r>
          </w:p>
        </w:tc>
        <w:tc>
          <w:tcPr>
            <w:tcW w:w="5097" w:type="dxa"/>
            <w:shd w:val="clear" w:color="auto" w:fill="F07E31"/>
            <w:hideMark/>
          </w:tcPr>
          <w:p w:rsidR="00A45935" w:rsidRPr="00AB16BB" w:rsidRDefault="00A45935" w:rsidP="00E05D08">
            <w:pPr>
              <w:spacing w:after="120" w:line="280" w:lineRule="atLeast"/>
              <w:mirrorIndents/>
              <w:jc w:val="center"/>
              <w:rPr>
                <w:b/>
                <w:color w:val="FFFFFF" w:themeColor="background1"/>
                <w:sz w:val="18"/>
                <w:szCs w:val="18"/>
              </w:rPr>
            </w:pPr>
            <w:r>
              <w:rPr>
                <w:b/>
                <w:color w:val="FFFFFF" w:themeColor="background1"/>
                <w:sz w:val="18"/>
                <w:szCs w:val="18"/>
              </w:rPr>
              <w:t>Oplossingen</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Sommige gegevens (bv. het definitieve aantal samenwerkingsprojecten) zijn mogelijk pas na afloop van de programmeringsperiode beschikbaar.</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Een analyse van de soorten samenwerkingsstructuren/OG's (rechtsvorm, samenstelling, verbintenisverklaring van partners enz.) door middel van een kwalitatieve beoordeling kan dienen als substituut voor het uiteindelijke aantal samenwerkingsstructuren.</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Informatie over de samenstelling van samenwerkingsprojecten en de soort partners daarin, of over innovatiebelanghebbenden in M1 en M2, is mogelijk niet in de monitoringgegevens geregistreerd.</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De samenstelling en de soorten partners kunnen worden vastgesteld met enquêtes en interviews over ondersteunde acties. Daarnaast kunnen de aanvraagformulieren van ondersteunde acties nuttige gegevens verschaffen.</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De soort gecreëerde innovatie en het gebruik ervan zijn mogelijk niet in de monitoringtabellen geregistreerd.</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 xml:space="preserve">Enquêtes, focusgroepen en interviews met operationele groepen kunnen helpen om de gecreëerde soorten innovatie in te schatten. </w:t>
            </w:r>
          </w:p>
        </w:tc>
      </w:tr>
    </w:tbl>
    <w:p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b/>
          <w:szCs w:val="20"/>
        </w:rPr>
        <w:t>Conclusies en aanbevelingen</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De conclusies en aanbevelingen dienen ten minste betrekking te hebben op de volgende beleidspunten:</w:t>
      </w:r>
    </w:p>
    <w:p w:rsidR="00A45935" w:rsidRPr="00B41573" w:rsidRDefault="00A45935" w:rsidP="00AB16BB">
      <w:pPr>
        <w:pStyle w:val="Hlistbullet"/>
        <w:rPr>
          <w:rFonts w:eastAsia="Calibri"/>
          <w:shd w:val="clear" w:color="auto" w:fill="FFFFFF"/>
        </w:rPr>
      </w:pPr>
      <w:r>
        <w:rPr>
          <w:b/>
          <w:shd w:val="clear" w:color="auto" w:fill="FFFFFF"/>
        </w:rPr>
        <w:t>De verwezenlijking van het innovatiepotentieel</w:t>
      </w:r>
      <w:r>
        <w:rPr>
          <w:shd w:val="clear" w:color="auto" w:fill="FFFFFF"/>
        </w:rPr>
        <w:t xml:space="preserve"> (via de drie trajecten) van de maatregelen M1, M2, M16 en M19 en de daarvoor aangewezen submaatregelen.</w:t>
      </w:r>
    </w:p>
    <w:p w:rsidR="00A45935" w:rsidRPr="00B41573" w:rsidRDefault="00A45935" w:rsidP="00AB16BB">
      <w:pPr>
        <w:pStyle w:val="Hlistbullet"/>
        <w:rPr>
          <w:rFonts w:eastAsia="Calibri"/>
          <w:shd w:val="clear" w:color="auto" w:fill="FFFFFF"/>
        </w:rPr>
      </w:pPr>
      <w:r>
        <w:rPr>
          <w:b/>
          <w:shd w:val="clear" w:color="auto" w:fill="FFFFFF"/>
        </w:rPr>
        <w:t>Het effect van de opleidings- en voorlichtingsacties</w:t>
      </w:r>
      <w:r>
        <w:rPr>
          <w:shd w:val="clear" w:color="auto" w:fill="FFFFFF"/>
        </w:rPr>
        <w:t xml:space="preserve"> in het kader van M1 en van de adviesdiensten in het kader van M2 op het opbouwen van innovatiecapaciteit.</w:t>
      </w:r>
    </w:p>
    <w:p w:rsidR="00A45935" w:rsidRPr="00B41573" w:rsidRDefault="00A45935" w:rsidP="00AB16BB">
      <w:pPr>
        <w:pStyle w:val="Hlistbullet"/>
        <w:rPr>
          <w:rFonts w:eastAsia="Calibri"/>
          <w:shd w:val="clear" w:color="auto" w:fill="FFFFFF"/>
        </w:rPr>
      </w:pPr>
      <w:r>
        <w:rPr>
          <w:b/>
          <w:shd w:val="clear" w:color="auto" w:fill="FFFFFF"/>
        </w:rPr>
        <w:t>Het effect van samenwerkingsprojecten</w:t>
      </w:r>
      <w:r>
        <w:rPr>
          <w:shd w:val="clear" w:color="auto" w:fill="FFFFFF"/>
        </w:rPr>
        <w:t>, vooral van OG's, op het ondersteunen van innovatie, meer in het bijzonder:</w:t>
      </w:r>
    </w:p>
    <w:p w:rsidR="00A45935" w:rsidRPr="00E05D08" w:rsidRDefault="00A45935" w:rsidP="00AB16BB">
      <w:pPr>
        <w:pStyle w:val="Hlistbullet2"/>
        <w:rPr>
          <w:rFonts w:eastAsia="Calibri"/>
          <w:shd w:val="clear" w:color="auto" w:fill="FFFFFF"/>
        </w:rPr>
      </w:pPr>
      <w:r>
        <w:rPr>
          <w:shd w:val="clear" w:color="auto" w:fill="FFFFFF"/>
        </w:rPr>
        <w:t>Uit het aantal, de reikwijdte, de inhoud en de duur van OG-projecten kunnen nuttige conclusies worden getrokken ter aanwijzing van innovatieve ideeën die in praktijk gebracht moeten worden;</w:t>
      </w:r>
    </w:p>
    <w:p w:rsidR="00A45935" w:rsidRPr="00E05D08" w:rsidRDefault="00A45935" w:rsidP="00AB16BB">
      <w:pPr>
        <w:pStyle w:val="Hlistbullet2"/>
        <w:rPr>
          <w:rFonts w:eastAsia="Calibri"/>
          <w:shd w:val="clear" w:color="auto" w:fill="FFFFFF"/>
        </w:rPr>
      </w:pPr>
      <w:r>
        <w:rPr>
          <w:shd w:val="clear" w:color="auto" w:fill="FFFFFF"/>
        </w:rPr>
        <w:t>Uit het aantal en de soort OG-projecten en uit de betrokkenheid van innovatiebelanghebbenden kunnen ter zake doende conclusies worden getrokken over de resultaten van de samenwerkingsmaatregelen met betrekking tot de innovatiecapaciteit in plattelandsgebieden.</w:t>
      </w:r>
    </w:p>
    <w:p w:rsidR="00A45935" w:rsidRPr="00E05D08" w:rsidRDefault="00A45935" w:rsidP="00AB16BB">
      <w:pPr>
        <w:pStyle w:val="Hlistbullet2"/>
        <w:rPr>
          <w:rFonts w:eastAsia="Calibri"/>
          <w:shd w:val="clear" w:color="auto" w:fill="FFFFFF"/>
        </w:rPr>
      </w:pPr>
      <w:r>
        <w:rPr>
          <w:shd w:val="clear" w:color="auto" w:fill="FFFFFF"/>
        </w:rPr>
        <w:t xml:space="preserve">Conclusies over de mate waarin OG-projecten structuren en procedures opleveren die de verwezenlijking van innovatie faciliteren. </w:t>
      </w:r>
    </w:p>
    <w:p w:rsidR="00A45935" w:rsidRPr="000A1399" w:rsidRDefault="00A45935" w:rsidP="008C0B17">
      <w:pPr>
        <w:numPr>
          <w:ilvl w:val="0"/>
          <w:numId w:val="88"/>
        </w:numPr>
        <w:tabs>
          <w:tab w:val="left" w:pos="426"/>
        </w:tabs>
        <w:ind w:left="426" w:hanging="284"/>
        <w:mirrorIndents/>
        <w:rPr>
          <w:rFonts w:eastAsia="Calibri"/>
          <w:szCs w:val="20"/>
          <w:shd w:val="clear" w:color="auto" w:fill="FFFFFF"/>
        </w:rPr>
      </w:pPr>
      <w:r>
        <w:rPr>
          <w:b/>
          <w:szCs w:val="20"/>
          <w:shd w:val="clear" w:color="auto" w:fill="FFFFFF"/>
        </w:rPr>
        <w:t>De effecten van LAG-activiteiten</w:t>
      </w:r>
      <w:r>
        <w:rPr>
          <w:szCs w:val="20"/>
          <w:shd w:val="clear" w:color="auto" w:fill="FFFFFF"/>
        </w:rPr>
        <w:t xml:space="preserve"> (daaronder begrepen samenwerking tussen LAG's) en projecten die door middel van GGLO-strategieën zijn geïmplementeerd.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Meer informatie</w:t>
      </w:r>
    </w:p>
    <w:p w:rsidR="00A45935" w:rsidRPr="00E05D08" w:rsidRDefault="00A45935" w:rsidP="00E05D08">
      <w:pPr>
        <w:spacing w:after="120" w:line="280" w:lineRule="atLeast"/>
        <w:mirrorIndents/>
        <w:rPr>
          <w:rFonts w:eastAsia="Calibri" w:cs="Times New Roman"/>
          <w:szCs w:val="20"/>
        </w:rPr>
      </w:pPr>
      <w:r>
        <w:rPr>
          <w:rFonts w:eastAsia="Times New Roman" w:cs="Times New Roman"/>
          <w:noProof/>
          <w:sz w:val="18"/>
          <w:szCs w:val="24"/>
          <w:lang w:val="en-GB" w:eastAsia="en-GB"/>
        </w:rPr>
        <mc:AlternateContent>
          <mc:Choice Requires="wps">
            <w:drawing>
              <wp:inline distT="0" distB="0" distL="0" distR="0" wp14:anchorId="443F29B6" wp14:editId="462FFD8A">
                <wp:extent cx="5633634" cy="2085975"/>
                <wp:effectExtent l="0" t="0" r="24765" b="28575"/>
                <wp:docPr id="5" name="Rectangle: Diagonal Corners Rounded 5"/>
                <wp:cNvGraphicFramePr/>
                <a:graphic xmlns:a="http://schemas.openxmlformats.org/drawingml/2006/main">
                  <a:graphicData uri="http://schemas.microsoft.com/office/word/2010/wordprocessingShape">
                    <wps:wsp>
                      <wps:cNvSpPr/>
                      <wps:spPr>
                        <a:xfrm>
                          <a:off x="0" y="0"/>
                          <a:ext cx="5633634" cy="2085975"/>
                        </a:xfrm>
                        <a:prstGeom prst="round2DiagRect">
                          <a:avLst>
                            <a:gd name="adj1" fmla="val 11556"/>
                            <a:gd name="adj2" fmla="val 0"/>
                          </a:avLst>
                        </a:prstGeom>
                        <a:noFill/>
                        <a:ln w="25400" cap="flat" cmpd="sng" algn="ctr">
                          <a:solidFill>
                            <a:srgbClr val="59638E"/>
                          </a:solidFill>
                          <a:prstDash val="solid"/>
                        </a:ln>
                        <a:effectLst/>
                      </wps:spPr>
                      <wps:txbx>
                        <w:txbxContent>
                          <w:p w:rsidR="00891EED" w:rsidRDefault="00891EED" w:rsidP="00E05D08">
                            <w:pPr>
                              <w:pStyle w:val="HStandard"/>
                              <w:rPr>
                                <w:color w:val="000000"/>
                                <w:sz w:val="18"/>
                              </w:rPr>
                            </w:pPr>
                            <w:r>
                              <w:rPr>
                                <w:noProof/>
                                <w:lang w:val="en-GB" w:eastAsia="en-GB"/>
                              </w:rPr>
                              <w:drawing>
                                <wp:inline distT="0" distB="0" distL="0" distR="0" wp14:anchorId="165FBA3C" wp14:editId="71785A20">
                                  <wp:extent cx="360465" cy="360000"/>
                                  <wp:effectExtent l="0" t="0" r="1905" b="2540"/>
                                  <wp:docPr id="74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891EED" w:rsidRPr="000D7890" w:rsidRDefault="00891EED" w:rsidP="00E05D08">
                            <w:pPr>
                              <w:pStyle w:val="HStandard"/>
                              <w:rPr>
                                <w:color w:val="000000"/>
                                <w:sz w:val="18"/>
                                <w:lang w:val="en-US"/>
                              </w:rPr>
                            </w:pPr>
                            <w:r w:rsidRPr="000D7890">
                              <w:rPr>
                                <w:lang w:val="en-US"/>
                              </w:rPr>
                              <w:t xml:space="preserve">Richtsnoeren </w:t>
                            </w:r>
                            <w:hyperlink r:id="rId41" w:history="1">
                              <w:r w:rsidRPr="000D7890">
                                <w:rPr>
                                  <w:rStyle w:val="Hyperlink"/>
                                  <w:sz w:val="18"/>
                                  <w:lang w:val="en-US"/>
                                </w:rPr>
                                <w:t>Assessment of RDP results:</w:t>
                              </w:r>
                            </w:hyperlink>
                            <w:hyperlink r:id="rId42" w:history="1">
                              <w:r w:rsidRPr="000D7890">
                                <w:rPr>
                                  <w:rStyle w:val="Hyperlink"/>
                                  <w:sz w:val="18"/>
                                  <w:lang w:val="en-US"/>
                                </w:rPr>
                                <w:t xml:space="preserve"> How to Prepare for Reporting on Evaluation in 2017</w:t>
                              </w:r>
                            </w:hyperlink>
                            <w:r w:rsidRPr="000D7890">
                              <w:rPr>
                                <w:sz w:val="18"/>
                                <w:lang w:val="en-US"/>
                              </w:rPr>
                              <w:t>, bijlage 11;</w:t>
                            </w:r>
                            <w:r w:rsidRPr="000D7890">
                              <w:rPr>
                                <w:color w:val="000000"/>
                                <w:sz w:val="18"/>
                                <w:lang w:val="en-US"/>
                              </w:rPr>
                              <w:t xml:space="preserve"> </w:t>
                            </w:r>
                          </w:p>
                          <w:p w:rsidR="00891EED" w:rsidRPr="00730192" w:rsidRDefault="00891EED" w:rsidP="00E05D08">
                            <w:pPr>
                              <w:pStyle w:val="HStandard"/>
                              <w:rPr>
                                <w:sz w:val="18"/>
                              </w:rPr>
                            </w:pPr>
                            <w:r>
                              <w:rPr>
                                <w:sz w:val="18"/>
                              </w:rPr>
                              <w:t>Richtsnoer "</w:t>
                            </w:r>
                            <w:hyperlink r:id="rId43" w:history="1">
                              <w:r>
                                <w:rPr>
                                  <w:rStyle w:val="Hyperlink"/>
                                  <w:sz w:val="18"/>
                                </w:rPr>
                                <w:t>Cooperation measure</w:t>
                              </w:r>
                            </w:hyperlink>
                            <w:r>
                              <w:rPr>
                                <w:sz w:val="18"/>
                              </w:rPr>
                              <w:t xml:space="preserve">", </w:t>
                            </w:r>
                            <w:r>
                              <w:t>Artikel 35 van Verordening (EU) nr. 1305/2013, november 2014.</w:t>
                            </w:r>
                          </w:p>
                          <w:p w:rsidR="00891EED" w:rsidRPr="009D62F4" w:rsidRDefault="00891EED" w:rsidP="00E05D08">
                            <w:pPr>
                              <w:pStyle w:val="HStandard"/>
                              <w:rPr>
                                <w:sz w:val="18"/>
                                <w:szCs w:val="18"/>
                              </w:rPr>
                            </w:pPr>
                            <w:r>
                              <w:rPr>
                                <w:sz w:val="18"/>
                              </w:rPr>
                              <w:t xml:space="preserve">Documenten van de workshop van het ENPO over M16: "Samenwerking", juni 2016, Brussel: </w:t>
                            </w:r>
                            <w:hyperlink r:id="rId44" w:history="1">
                              <w:r>
                                <w:rPr>
                                  <w:rStyle w:val="Hyperlink"/>
                                  <w:sz w:val="18"/>
                                </w:rPr>
                                <w:t>http://enrd.ec.europa.eu/news-events/events/enrd-workshop-measure-16-cooperation_en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3F29B6" id="Rectangle: Diagonal Corners Rounded 5" o:spid="_x0000_s1045" style="width:443.6pt;height:164.25pt;visibility:visible;mso-wrap-style:square;mso-left-percent:-10001;mso-top-percent:-10001;mso-position-horizontal:absolute;mso-position-horizontal-relative:char;mso-position-vertical:absolute;mso-position-vertical-relative:line;mso-left-percent:-10001;mso-top-percent:-10001;v-text-anchor:middle" coordsize="5633634,2085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" adj="-11796480,,5400" path="m241055,l5633634,r,l5633634,1844920v,133131,-107924,241055,-241055,241055l,2085975r,l,241055c,107924,107924,,241055,xe" filled="f" strokecolor="#59638e" strokeweight="2pt">
                <v:stroke joinstyle="miter"/>
                <v:formulas/>
                <v:path arrowok="t" o:connecttype="custom" o:connectlocs="241055,0;5633634,0;5633634,0;5633634,1844920;5392579,2085975;0,2085975;0,2085975;0,241055;241055,0" o:connectangles="0,0,0,0,0,0,0,0,0" textboxrect="0,0,5633634,2085975"/>
                <v:textbox>
                  <w:txbxContent>
                    <w:p w:rsidR="00891EED" w:rsidRDefault="00891EED" w:rsidP="00E05D08">
                      <w:pPr>
                        <w:pStyle w:val="HStandard"/>
                        <w:rPr>
                          <w:color w:val="000000"/>
                          <w:sz w:val="18"/>
                        </w:rPr>
                      </w:pPr>
                      <w:r>
                        <w:rPr>
                          <w:noProof/>
                          <w:lang w:val="en-GB" w:eastAsia="en-GB"/>
                        </w:rPr>
                        <w:drawing>
                          <wp:inline distT="0" distB="0" distL="0" distR="0" wp14:anchorId="165FBA3C" wp14:editId="71785A20">
                            <wp:extent cx="360465" cy="360000"/>
                            <wp:effectExtent l="0" t="0" r="1905" b="2540"/>
                            <wp:docPr id="74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891EED" w:rsidRPr="000D7890" w:rsidRDefault="00891EED" w:rsidP="00E05D08">
                      <w:pPr>
                        <w:pStyle w:val="HStandard"/>
                        <w:rPr>
                          <w:color w:val="000000"/>
                          <w:sz w:val="18"/>
                          <w:lang w:val="en-US"/>
                        </w:rPr>
                      </w:pPr>
                      <w:r w:rsidRPr="000D7890">
                        <w:rPr>
                          <w:lang w:val="en-US"/>
                        </w:rPr>
                        <w:t xml:space="preserve">Richtsnoeren </w:t>
                      </w:r>
                      <w:hyperlink r:id="rId45" w:history="1">
                        <w:r w:rsidRPr="000D7890">
                          <w:rPr>
                            <w:rStyle w:val="Hyperlink"/>
                            <w:sz w:val="18"/>
                            <w:lang w:val="en-US"/>
                          </w:rPr>
                          <w:t>Assessment of RDP results:</w:t>
                        </w:r>
                      </w:hyperlink>
                      <w:hyperlink r:id="rId46" w:history="1">
                        <w:r w:rsidRPr="000D7890">
                          <w:rPr>
                            <w:rStyle w:val="Hyperlink"/>
                            <w:sz w:val="18"/>
                            <w:lang w:val="en-US"/>
                          </w:rPr>
                          <w:t xml:space="preserve"> How to Prepare for Reporting on Evaluation in 2017</w:t>
                        </w:r>
                      </w:hyperlink>
                      <w:r w:rsidRPr="000D7890">
                        <w:rPr>
                          <w:sz w:val="18"/>
                          <w:lang w:val="en-US"/>
                        </w:rPr>
                        <w:t>, bijlage 11;</w:t>
                      </w:r>
                      <w:r w:rsidRPr="000D7890">
                        <w:rPr>
                          <w:color w:val="000000"/>
                          <w:sz w:val="18"/>
                          <w:lang w:val="en-US"/>
                        </w:rPr>
                        <w:t xml:space="preserve"> </w:t>
                      </w:r>
                    </w:p>
                    <w:p w:rsidR="00891EED" w:rsidRPr="00730192" w:rsidRDefault="00891EED" w:rsidP="00E05D08">
                      <w:pPr>
                        <w:pStyle w:val="HStandard"/>
                        <w:rPr>
                          <w:sz w:val="18"/>
                        </w:rPr>
                      </w:pPr>
                      <w:r>
                        <w:rPr>
                          <w:sz w:val="18"/>
                        </w:rPr>
                        <w:t>Richtsnoer "</w:t>
                      </w:r>
                      <w:hyperlink r:id="rId47" w:history="1">
                        <w:r>
                          <w:rPr>
                            <w:rStyle w:val="Hyperlink"/>
                            <w:sz w:val="18"/>
                          </w:rPr>
                          <w:t>Cooperation measure</w:t>
                        </w:r>
                      </w:hyperlink>
                      <w:r>
                        <w:rPr>
                          <w:sz w:val="18"/>
                        </w:rPr>
                        <w:t xml:space="preserve">", </w:t>
                      </w:r>
                      <w:r>
                        <w:t>Artikel 35 van Verordening (EU) nr. 1305/2013, november 2014.</w:t>
                      </w:r>
                    </w:p>
                    <w:p w:rsidR="00891EED" w:rsidRPr="009D62F4" w:rsidRDefault="00891EED" w:rsidP="00E05D08">
                      <w:pPr>
                        <w:pStyle w:val="HStandard"/>
                        <w:rPr>
                          <w:sz w:val="18"/>
                          <w:szCs w:val="18"/>
                        </w:rPr>
                      </w:pPr>
                      <w:r>
                        <w:rPr>
                          <w:sz w:val="18"/>
                        </w:rPr>
                        <w:t xml:space="preserve">Documenten van de workshop van het ENPO over M16: "Samenwerking", juni 2016, Brussel: </w:t>
                      </w:r>
                      <w:hyperlink r:id="rId48" w:history="1">
                        <w:r>
                          <w:rPr>
                            <w:rStyle w:val="Hyperlink"/>
                            <w:sz w:val="18"/>
                          </w:rPr>
                          <w:t>http://enrd.ec.europa.eu/news-events/events/enrd-workshop-measure-16-cooperation_en</w:t>
                        </w:r>
                      </w:hyperlink>
                    </w:p>
                  </w:txbxContent>
                </v:textbox>
                <w10:anchorlock/>
              </v:shape>
            </w:pict>
          </mc:Fallback>
        </mc:AlternateContent>
      </w:r>
    </w:p>
    <w:p w:rsidR="00A45935" w:rsidRPr="00BB551B" w:rsidRDefault="00A45935" w:rsidP="009B603C">
      <w:pPr>
        <w:pStyle w:val="HHeading3"/>
        <w:numPr>
          <w:ilvl w:val="2"/>
          <w:numId w:val="119"/>
        </w:numPr>
        <w:tabs>
          <w:tab w:val="clear" w:pos="567"/>
        </w:tabs>
        <w:spacing w:line="280" w:lineRule="exact"/>
        <w:ind w:left="567" w:hanging="567"/>
      </w:pPr>
      <w:bookmarkStart w:id="113" w:name="_Toc501382132"/>
      <w:bookmarkStart w:id="114" w:name="_Toc511656275"/>
      <w:r>
        <w:t>CEQ nr. 2: "In hoeverre hebben steunmaatregelen in het kader van het POP bijgedragen aan het verstevigen van de banden tussen landbouw, voedselproductie en bosbouw en onderzoek en innovatie, waaronder met het oog op beter milieubeheer en betere milieuprestaties?"</w:t>
      </w:r>
      <w:bookmarkEnd w:id="113"/>
      <w:bookmarkEnd w:id="114"/>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De CEQ begrijpen</w:t>
      </w:r>
    </w:p>
    <w:p w:rsidR="00A45935" w:rsidRPr="00E05D08" w:rsidRDefault="00A45935" w:rsidP="00E05D08">
      <w:pPr>
        <w:spacing w:after="120" w:line="280" w:lineRule="atLeast"/>
        <w:mirrorIndents/>
        <w:rPr>
          <w:rFonts w:eastAsia="Times New Roman" w:cs="Times New Roman"/>
          <w:szCs w:val="20"/>
        </w:rPr>
      </w:pPr>
      <w:r>
        <w:t>CEQ 2 is voornamelijk gekoppeld aan M16 en de 10 submaatregelen daarbij van artikel 35 - Samenwerking</w:t>
      </w:r>
      <w:r>
        <w:rPr>
          <w:rFonts w:eastAsia="Times New Roman" w:cs="Arial"/>
          <w:szCs w:val="20"/>
          <w:vertAlign w:val="superscript"/>
          <w:lang w:eastAsia="de-DE"/>
        </w:rPr>
        <w:footnoteReference w:id="52"/>
      </w:r>
      <w:r>
        <w:t xml:space="preserve">. </w:t>
      </w:r>
      <w:r>
        <w:rPr>
          <w:b/>
          <w:szCs w:val="20"/>
        </w:rPr>
        <w:t>Verbindingen tussen landbouw, voedselproductie, bosbouw en onderzoek en innovatie</w:t>
      </w:r>
      <w:r>
        <w:t xml:space="preserve"> kunnen op drie manieren worden bevorderd</w:t>
      </w:r>
      <w:r>
        <w:rPr>
          <w:rFonts w:eastAsia="Times New Roman" w:cs="Times New Roman"/>
          <w:szCs w:val="20"/>
          <w:vertAlign w:val="superscript"/>
          <w:lang w:eastAsia="de-DE"/>
        </w:rPr>
        <w:footnoteReference w:id="53"/>
      </w:r>
      <w:r>
        <w:t>:</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samenwerking tussen een grote verscheidenheid van actoren in de landbouw- en bosbouwsector, de voedselketen en andere actoren die bijdragen tot de verwezenlijking van de doelstellingen van het plattelandsontwikkelingsbeleid, alsook producentengroeperingen, coöperaties en brancheorganisaties;</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oprichting van clusters en netwerken, die specifiekere maar belangrijke vormen van samenwerking zijn;</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oprichting van OG's van het EIP-AGRI, een nieuwe component van plattelandsontwikkelingsbeleid, die als doel heeft om onderzoek en praktijk nader tot elkaar te brengen.</w:t>
      </w:r>
    </w:p>
    <w:p w:rsidR="00A45935" w:rsidRPr="00E05D08" w:rsidRDefault="00A45935" w:rsidP="00E05D08">
      <w:pPr>
        <w:spacing w:after="120" w:line="280" w:lineRule="atLeast"/>
        <w:mirrorIndents/>
        <w:rPr>
          <w:rFonts w:eastAsia="Times New Roman" w:cs="Times New Roman"/>
          <w:szCs w:val="20"/>
        </w:rPr>
      </w:pPr>
      <w:r>
        <w:t>De ondersteuning van deze samenwerkingsvormen door middel van plattelandsontwikkelingsbeleid heeft zich in de loop der tijd ontwikkeld. In de afgelopen programmeringsperiode zijn zeer specifieke samenwerkingsvormen (voedselkwaliteitsregelingen en producentengroepen) of lokale samenwerkingen (in het kader van LEADER) ondersteund. Het huidige beleid bevordert verbindingen tussen een grotere verscheidenheid van actoren en verschaft meer flexibiliteit wat betreft de reikwijdte en samenstelling van samenwerkingsactiviteiten. Door landbouw, bosbouw en de voedselketen te verbinden met actoren op het gebied van onderzoek en innovatie, legt het plattelandsontwikkelingsbeleid een sterke nadruk op innovatie als manier om POP-doelstellingen te bereiken. Bijvoorbeeld:</w:t>
      </w:r>
    </w:p>
    <w:p w:rsidR="00A45935" w:rsidRPr="00FA5493" w:rsidRDefault="000C05FC" w:rsidP="00FA5493">
      <w:pPr>
        <w:pStyle w:val="Hlistbullet"/>
        <w:numPr>
          <w:ilvl w:val="0"/>
          <w:numId w:val="0"/>
        </w:numPr>
        <w:rPr>
          <w:color w:val="FFFFFF" w:themeColor="background1"/>
        </w:rPr>
      </w:pPr>
      <w:r>
        <w:rPr>
          <w:noProof/>
          <w:color w:val="auto"/>
          <w:sz w:val="18"/>
          <w:lang w:val="en-GB" w:eastAsia="en-GB"/>
        </w:rPr>
        <w:lastRenderedPageBreak/>
        <mc:AlternateContent>
          <mc:Choice Requires="wps">
            <w:drawing>
              <wp:anchor distT="0" distB="0" distL="114300" distR="114300" simplePos="0" relativeHeight="251656704" behindDoc="0" locked="0" layoutInCell="1" allowOverlap="1" wp14:anchorId="3A1E697B" wp14:editId="3BC15F10">
                <wp:simplePos x="0" y="0"/>
                <wp:positionH relativeFrom="column">
                  <wp:posOffset>95250</wp:posOffset>
                </wp:positionH>
                <wp:positionV relativeFrom="page">
                  <wp:posOffset>761365</wp:posOffset>
                </wp:positionV>
                <wp:extent cx="5763260" cy="6657975"/>
                <wp:effectExtent l="0" t="0" r="27940" b="28575"/>
                <wp:wrapSquare wrapText="bothSides"/>
                <wp:docPr id="24" name="Rectangle: Diagonal Corners Rounded 24"/>
                <wp:cNvGraphicFramePr/>
                <a:graphic xmlns:a="http://schemas.openxmlformats.org/drawingml/2006/main">
                  <a:graphicData uri="http://schemas.microsoft.com/office/word/2010/wordprocessingShape">
                    <wps:wsp>
                      <wps:cNvSpPr/>
                      <wps:spPr>
                        <a:xfrm>
                          <a:off x="0" y="0"/>
                          <a:ext cx="5763260" cy="6657975"/>
                        </a:xfrm>
                        <a:prstGeom prst="round2DiagRect">
                          <a:avLst>
                            <a:gd name="adj1" fmla="val 5422"/>
                            <a:gd name="adj2" fmla="val 0"/>
                          </a:avLst>
                        </a:prstGeom>
                        <a:noFill/>
                        <a:ln w="25400" cap="flat" cmpd="sng" algn="ctr">
                          <a:solidFill>
                            <a:srgbClr val="F07E31"/>
                          </a:solidFill>
                          <a:prstDash val="solid"/>
                        </a:ln>
                        <a:effectLst/>
                      </wps:spPr>
                      <wps:txbx>
                        <w:txbxContent>
                          <w:p w:rsidR="00891EED" w:rsidRPr="007B4A6D" w:rsidRDefault="00891EED" w:rsidP="00E05D08">
                            <w:pPr>
                              <w:pStyle w:val="HStandard"/>
                              <w:ind w:left="567" w:hanging="567"/>
                              <w:rPr>
                                <w:b/>
                                <w:color w:val="648659"/>
                                <w:sz w:val="18"/>
                                <w:szCs w:val="18"/>
                              </w:rPr>
                            </w:pPr>
                            <w:r>
                              <w:rPr>
                                <w:noProof/>
                                <w:sz w:val="18"/>
                                <w:szCs w:val="18"/>
                                <w:lang w:val="en-GB" w:eastAsia="en-GB"/>
                              </w:rPr>
                              <w:drawing>
                                <wp:inline distT="0" distB="0" distL="0" distR="0" wp14:anchorId="59B8080B" wp14:editId="041977E0">
                                  <wp:extent cx="353060" cy="359410"/>
                                  <wp:effectExtent l="0" t="0" r="8890" b="2540"/>
                                  <wp:docPr id="1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Voorbeeld: Samenwerkingsmaatregelen voor een beter milieubeheer</w:t>
                            </w:r>
                          </w:p>
                          <w:p w:rsidR="00891EED" w:rsidRPr="007B4A6D" w:rsidRDefault="00891EED" w:rsidP="00E05D08">
                            <w:pPr>
                              <w:pStyle w:val="HStandard"/>
                              <w:rPr>
                                <w:sz w:val="18"/>
                                <w:szCs w:val="18"/>
                              </w:rPr>
                            </w:pPr>
                            <w:r>
                              <w:rPr>
                                <w:b/>
                                <w:sz w:val="18"/>
                                <w:szCs w:val="18"/>
                              </w:rPr>
                              <w:t>Finland -</w:t>
                            </w:r>
                            <w:r>
                              <w:rPr>
                                <w:sz w:val="18"/>
                                <w:szCs w:val="18"/>
                              </w:rPr>
                              <w:t xml:space="preserve"> M16 vult andere POP-maatregelen aan om de doelstellingen van prioriteiten P4 en P5 te verwezenlijken:</w:t>
                            </w:r>
                          </w:p>
                          <w:p w:rsidR="00891EED" w:rsidRPr="00055039" w:rsidRDefault="00891EED" w:rsidP="008C0B17">
                            <w:pPr>
                              <w:pStyle w:val="HStandard"/>
                              <w:numPr>
                                <w:ilvl w:val="0"/>
                                <w:numId w:val="24"/>
                              </w:numPr>
                              <w:ind w:left="567" w:hanging="567"/>
                              <w:rPr>
                                <w:sz w:val="18"/>
                                <w:szCs w:val="18"/>
                              </w:rPr>
                            </w:pPr>
                            <w:r>
                              <w:rPr>
                                <w:sz w:val="18"/>
                                <w:szCs w:val="18"/>
                              </w:rPr>
                              <w:t>58 % van M16 en delen van M1 en M2 worden gebruikt om energie-efficiëntie te bevorderen;</w:t>
                            </w:r>
                          </w:p>
                          <w:p w:rsidR="00891EED" w:rsidRPr="00D66182" w:rsidRDefault="00891EED" w:rsidP="008C0B17">
                            <w:pPr>
                              <w:pStyle w:val="HStandard"/>
                              <w:numPr>
                                <w:ilvl w:val="0"/>
                                <w:numId w:val="24"/>
                              </w:numPr>
                              <w:ind w:left="567" w:hanging="567"/>
                              <w:rPr>
                                <w:sz w:val="18"/>
                                <w:szCs w:val="18"/>
                              </w:rPr>
                            </w:pPr>
                            <w:r>
                              <w:rPr>
                                <w:sz w:val="18"/>
                                <w:szCs w:val="18"/>
                              </w:rPr>
                              <w:t>49 % van M16 en delen van M1 en M2 worden gebruikt voor koolstofvastlegging en -behoud;</w:t>
                            </w:r>
                          </w:p>
                          <w:p w:rsidR="00891EED" w:rsidRPr="000E1D4B" w:rsidRDefault="00891EED" w:rsidP="008C0B17">
                            <w:pPr>
                              <w:pStyle w:val="HStandard"/>
                              <w:numPr>
                                <w:ilvl w:val="0"/>
                                <w:numId w:val="24"/>
                              </w:numPr>
                              <w:ind w:left="567" w:hanging="567"/>
                              <w:rPr>
                                <w:sz w:val="18"/>
                                <w:szCs w:val="18"/>
                              </w:rPr>
                            </w:pPr>
                            <w:r>
                              <w:rPr>
                                <w:sz w:val="18"/>
                                <w:szCs w:val="18"/>
                              </w:rPr>
                              <w:t>10 % van M16, 84 % van M4 en delen van M1 en M2 worden gebruikt voor hernieuwbare bronnen en afvalbeheer;</w:t>
                            </w:r>
                          </w:p>
                          <w:p w:rsidR="00891EED" w:rsidRPr="000E1D4B" w:rsidRDefault="00891EED" w:rsidP="008C0B17">
                            <w:pPr>
                              <w:pStyle w:val="HStandard"/>
                              <w:numPr>
                                <w:ilvl w:val="0"/>
                                <w:numId w:val="24"/>
                              </w:numPr>
                              <w:ind w:left="567" w:hanging="567"/>
                              <w:rPr>
                                <w:sz w:val="18"/>
                                <w:szCs w:val="18"/>
                              </w:rPr>
                            </w:pPr>
                            <w:r>
                              <w:rPr>
                                <w:sz w:val="18"/>
                                <w:szCs w:val="18"/>
                              </w:rPr>
                              <w:t>5,5 % van M16, 89 % van M4 en delen van M1 en M2 worden gebruikt om de uitstoot van broeikasgassen en ammoniak te verminderen.</w:t>
                            </w:r>
                          </w:p>
                          <w:p w:rsidR="00891EED" w:rsidRPr="000E1D4B" w:rsidRDefault="00891EED" w:rsidP="00E05D08">
                            <w:pPr>
                              <w:pStyle w:val="HStandard"/>
                              <w:rPr>
                                <w:sz w:val="18"/>
                                <w:szCs w:val="18"/>
                              </w:rPr>
                            </w:pPr>
                            <w:r>
                              <w:rPr>
                                <w:sz w:val="18"/>
                                <w:szCs w:val="18"/>
                              </w:rPr>
                              <w:t>Samenwerkingssubmaatregelen (bv. M16.2: steun voor proefprojecten; M16.5: steun voor gezamenlijke acties met het oog op het verminderen van of aanpassing aan de klimaatverandering en voor een gezamenlijke aanpak van milieuprojecten en -praktijken) hebben vooral invloed op AG's 4A-C en AG's 5A-E.</w:t>
                            </w:r>
                          </w:p>
                          <w:p w:rsidR="00891EED" w:rsidRPr="00AB16BB" w:rsidRDefault="00891EED" w:rsidP="00AB16BB">
                            <w:pPr>
                              <w:pStyle w:val="HSource"/>
                              <w:ind w:right="8"/>
                              <w:jc w:val="right"/>
                              <w:rPr>
                                <w:rFonts w:eastAsia="Calibri"/>
                                <w:sz w:val="14"/>
                                <w:szCs w:val="14"/>
                              </w:rPr>
                            </w:pPr>
                            <w:r>
                              <w:rPr>
                                <w:sz w:val="14"/>
                                <w:szCs w:val="14"/>
                              </w:rPr>
                              <w:t>Bron: ENPO (2016). Workshop over Samenwerking in het kader van M16</w:t>
                            </w:r>
                            <w:r>
                              <w:rPr>
                                <w:sz w:val="14"/>
                                <w:szCs w:val="14"/>
                                <w:vertAlign w:val="superscript"/>
                              </w:rPr>
                              <w:t>54</w:t>
                            </w:r>
                            <w:r>
                              <w:rPr>
                                <w:sz w:val="14"/>
                                <w:szCs w:val="14"/>
                              </w:rPr>
                              <w:t>.</w:t>
                            </w:r>
                          </w:p>
                          <w:p w:rsidR="00891EED" w:rsidRPr="007B4A6D" w:rsidRDefault="00891EED" w:rsidP="00235D46">
                            <w:pPr>
                              <w:pStyle w:val="HStandard"/>
                              <w:spacing w:after="0"/>
                              <w:ind w:left="567" w:hanging="567"/>
                              <w:rPr>
                                <w:b/>
                                <w:sz w:val="18"/>
                                <w:szCs w:val="18"/>
                              </w:rPr>
                            </w:pPr>
                            <w:r>
                              <w:rPr>
                                <w:b/>
                                <w:color w:val="F07E31"/>
                                <w:sz w:val="18"/>
                                <w:szCs w:val="18"/>
                              </w:rPr>
                              <w:t>Voorbeeld:</w:t>
                            </w:r>
                            <w:r>
                              <w:rPr>
                                <w:color w:val="F07E31"/>
                                <w:sz w:val="18"/>
                                <w:szCs w:val="18"/>
                              </w:rPr>
                              <w:t xml:space="preserve"> </w:t>
                            </w:r>
                            <w:r>
                              <w:rPr>
                                <w:b/>
                                <w:color w:val="F07E31"/>
                                <w:sz w:val="18"/>
                                <w:szCs w:val="18"/>
                              </w:rPr>
                              <w:t>Onderzoekers en landbouwers met elkaar verbinden</w:t>
                            </w:r>
                            <w:r>
                              <w:rPr>
                                <w:color w:val="F07E31"/>
                                <w:sz w:val="18"/>
                                <w:szCs w:val="18"/>
                              </w:rPr>
                              <w:t xml:space="preserve"> </w:t>
                            </w:r>
                          </w:p>
                          <w:p w:rsidR="00891EED" w:rsidRPr="00D66182" w:rsidRDefault="00891EED" w:rsidP="00235D46">
                            <w:pPr>
                              <w:pStyle w:val="HStandard"/>
                              <w:rPr>
                                <w:sz w:val="18"/>
                                <w:szCs w:val="18"/>
                              </w:rPr>
                            </w:pPr>
                            <w:r>
                              <w:rPr>
                                <w:b/>
                                <w:sz w:val="18"/>
                                <w:szCs w:val="18"/>
                              </w:rPr>
                              <w:t>België</w:t>
                            </w:r>
                            <w:r>
                              <w:rPr>
                                <w:sz w:val="18"/>
                                <w:szCs w:val="18"/>
                              </w:rPr>
                              <w:t xml:space="preserve"> - een innovatieve varkensstal helpt de uitstoot van ammoniak omlaag te brengen. Voor de ontwikkeling van deze technieken, waarbij de ammoniakuitstoot wordt beperkt door specifieke bacteriën aan de varkensmest toe te voegen, is het van cruciaal belang geweest om onderzoekers en landbouwers met elkaar te verbinden. Dit draagt ook bij aan de verwezenlijking van milieudoelstellingen van het POP. </w:t>
                            </w:r>
                          </w:p>
                          <w:p w:rsidR="00891EED" w:rsidRPr="00AB16BB" w:rsidRDefault="00891EED" w:rsidP="00AB16BB">
                            <w:pPr>
                              <w:pStyle w:val="HStandard"/>
                              <w:jc w:val="right"/>
                              <w:rPr>
                                <w:sz w:val="14"/>
                                <w:szCs w:val="14"/>
                                <w:vertAlign w:val="superscript"/>
                              </w:rPr>
                            </w:pPr>
                            <w:r>
                              <w:rPr>
                                <w:i/>
                                <w:sz w:val="14"/>
                                <w:szCs w:val="14"/>
                              </w:rPr>
                              <w:t>Bron: EIP – Servicepunt</w:t>
                            </w:r>
                            <w:r>
                              <w:rPr>
                                <w:i/>
                                <w:sz w:val="14"/>
                                <w:szCs w:val="14"/>
                                <w:vertAlign w:val="superscript"/>
                              </w:rPr>
                              <w:t>55</w:t>
                            </w:r>
                          </w:p>
                          <w:p w:rsidR="00891EED" w:rsidRPr="007B4A6D" w:rsidRDefault="00891EED" w:rsidP="00235D46">
                            <w:pPr>
                              <w:pStyle w:val="HStandard"/>
                              <w:rPr>
                                <w:b/>
                                <w:color w:val="F07E31"/>
                                <w:sz w:val="18"/>
                                <w:szCs w:val="18"/>
                              </w:rPr>
                            </w:pPr>
                            <w:r>
                              <w:rPr>
                                <w:b/>
                                <w:color w:val="F07E31"/>
                                <w:sz w:val="18"/>
                                <w:szCs w:val="18"/>
                              </w:rPr>
                              <w:t xml:space="preserve">Voorbeeld: Innovatiesteundiensten </w:t>
                            </w:r>
                          </w:p>
                          <w:p w:rsidR="00891EED" w:rsidRPr="007B4A6D" w:rsidRDefault="00891EED" w:rsidP="00235D46">
                            <w:pPr>
                              <w:pStyle w:val="HStandard"/>
                              <w:spacing w:after="0"/>
                              <w:rPr>
                                <w:b/>
                                <w:sz w:val="18"/>
                                <w:szCs w:val="18"/>
                              </w:rPr>
                            </w:pPr>
                            <w:r>
                              <w:rPr>
                                <w:b/>
                                <w:sz w:val="18"/>
                                <w:szCs w:val="18"/>
                              </w:rPr>
                              <w:t>Hessen (DE) -</w:t>
                            </w:r>
                            <w:r>
                              <w:rPr>
                                <w:sz w:val="18"/>
                                <w:szCs w:val="18"/>
                              </w:rPr>
                              <w:t xml:space="preserve"> innovatiesteundiensten hebben geholpen innovatiecapaciteit op te bouwen door</w:t>
                            </w:r>
                            <w:r>
                              <w:rPr>
                                <w:b/>
                                <w:sz w:val="18"/>
                                <w:szCs w:val="18"/>
                              </w:rPr>
                              <w:t>:</w:t>
                            </w:r>
                          </w:p>
                          <w:p w:rsidR="00891EED" w:rsidRPr="00055039" w:rsidRDefault="00891EED" w:rsidP="00235D46">
                            <w:pPr>
                              <w:pStyle w:val="HStandard"/>
                              <w:numPr>
                                <w:ilvl w:val="0"/>
                                <w:numId w:val="24"/>
                              </w:numPr>
                              <w:ind w:left="567" w:hanging="567"/>
                              <w:rPr>
                                <w:sz w:val="18"/>
                                <w:szCs w:val="18"/>
                              </w:rPr>
                            </w:pPr>
                            <w:r>
                              <w:rPr>
                                <w:sz w:val="18"/>
                                <w:szCs w:val="18"/>
                              </w:rPr>
                              <w:t>ondersteuning bij de implementatie van M16;</w:t>
                            </w:r>
                          </w:p>
                          <w:p w:rsidR="00891EED" w:rsidRPr="00D66182" w:rsidRDefault="00891EED" w:rsidP="00235D46">
                            <w:pPr>
                              <w:pStyle w:val="HStandard"/>
                              <w:numPr>
                                <w:ilvl w:val="0"/>
                                <w:numId w:val="24"/>
                              </w:numPr>
                              <w:ind w:left="567" w:hanging="567"/>
                              <w:rPr>
                                <w:sz w:val="18"/>
                                <w:szCs w:val="18"/>
                              </w:rPr>
                            </w:pPr>
                            <w:r>
                              <w:rPr>
                                <w:sz w:val="18"/>
                                <w:szCs w:val="18"/>
                              </w:rPr>
                              <w:t>voorlichting en publiciteit in de regio;</w:t>
                            </w:r>
                          </w:p>
                          <w:p w:rsidR="00891EED" w:rsidRPr="000E1D4B" w:rsidRDefault="00891EED" w:rsidP="00235D46">
                            <w:pPr>
                              <w:pStyle w:val="HStandard"/>
                              <w:numPr>
                                <w:ilvl w:val="0"/>
                                <w:numId w:val="24"/>
                              </w:numPr>
                              <w:ind w:left="567" w:hanging="567"/>
                              <w:rPr>
                                <w:sz w:val="18"/>
                                <w:szCs w:val="18"/>
                              </w:rPr>
                            </w:pPr>
                            <w:r>
                              <w:rPr>
                                <w:sz w:val="18"/>
                                <w:szCs w:val="18"/>
                              </w:rPr>
                              <w:t>onderlinge verbinding van samenwerkingsactiviteiten in Hessen, Duitsland;</w:t>
                            </w:r>
                          </w:p>
                          <w:p w:rsidR="00891EED" w:rsidRPr="000E1D4B" w:rsidRDefault="00891EED" w:rsidP="00235D46">
                            <w:pPr>
                              <w:pStyle w:val="HStandard"/>
                              <w:numPr>
                                <w:ilvl w:val="0"/>
                                <w:numId w:val="24"/>
                              </w:numPr>
                              <w:ind w:left="567" w:hanging="567"/>
                              <w:rPr>
                                <w:sz w:val="18"/>
                                <w:szCs w:val="18"/>
                              </w:rPr>
                            </w:pPr>
                            <w:r>
                              <w:rPr>
                                <w:sz w:val="18"/>
                                <w:szCs w:val="18"/>
                              </w:rPr>
                              <w:t>ondersteuning van samenwerkingsactiviteiten tijdens de voorbereidings- en implementatiefase.</w:t>
                            </w:r>
                          </w:p>
                          <w:p w:rsidR="00891EED" w:rsidRPr="00AB16BB" w:rsidRDefault="00891EED" w:rsidP="00AB16BB">
                            <w:pPr>
                              <w:pStyle w:val="HSource"/>
                              <w:spacing w:before="0" w:after="0"/>
                              <w:ind w:right="11"/>
                              <w:jc w:val="right"/>
                              <w:rPr>
                                <w:rFonts w:eastAsia="Calibri"/>
                                <w:sz w:val="14"/>
                                <w:szCs w:val="14"/>
                              </w:rPr>
                            </w:pPr>
                            <w:r>
                              <w:rPr>
                                <w:sz w:val="14"/>
                                <w:szCs w:val="14"/>
                              </w:rPr>
                              <w:t xml:space="preserve">Bron: ENPO (2016) </w:t>
                            </w:r>
                          </w:p>
                          <w:p w:rsidR="00891EED" w:rsidRPr="00AB16BB" w:rsidRDefault="00891EED" w:rsidP="00AB16BB">
                            <w:pPr>
                              <w:pStyle w:val="HSource"/>
                              <w:spacing w:before="0" w:after="0"/>
                              <w:ind w:right="11"/>
                              <w:jc w:val="right"/>
                              <w:rPr>
                                <w:sz w:val="14"/>
                                <w:szCs w:val="14"/>
                              </w:rPr>
                            </w:pPr>
                            <w:r>
                              <w:rPr>
                                <w:sz w:val="14"/>
                                <w:szCs w:val="14"/>
                              </w:rPr>
                              <w:t>Workshop over Samenwerking in het kader van M16</w:t>
                            </w:r>
                            <w:r>
                              <w:rPr>
                                <w:sz w:val="14"/>
                                <w:szCs w:val="14"/>
                                <w:vertAlign w:val="superscript"/>
                              </w:rPr>
                              <w:t>56</w:t>
                            </w:r>
                            <w:r>
                              <w:rPr>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E697B" id="Rectangle: Diagonal Corners Rounded 24" o:spid="_x0000_s1046" style="position:absolute;left:0;text-align:left;margin-left:7.5pt;margin-top:59.95pt;width:453.8pt;height:52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763260,6657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" adj="-11796480,,5400" path="m312484,l5763260,r,l5763260,6345491v,172580,-139904,312484,-312484,312484l,6657975r,l,312484c,139904,139904,,312484,xe" filled="f" strokecolor="#f07e31" strokeweight="2pt">
                <v:stroke joinstyle="miter"/>
                <v:formulas/>
                <v:path arrowok="t" o:connecttype="custom" o:connectlocs="312484,0;5763260,0;5763260,0;5763260,6345491;5450776,6657975;0,6657975;0,6657975;0,312484;312484,0" o:connectangles="0,0,0,0,0,0,0,0,0" textboxrect="0,0,5763260,6657975"/>
                <v:textbox>
                  <w:txbxContent>
                    <w:p w:rsidR="00891EED" w:rsidRPr="007B4A6D" w:rsidRDefault="00891EED" w:rsidP="00E05D08">
                      <w:pPr>
                        <w:pStyle w:val="HStandard"/>
                        <w:ind w:left="567" w:hanging="567"/>
                        <w:rPr>
                          <w:b/>
                          <w:color w:val="648659"/>
                          <w:sz w:val="18"/>
                          <w:szCs w:val="18"/>
                        </w:rPr>
                      </w:pPr>
                      <w:r>
                        <w:rPr>
                          <w:noProof/>
                          <w:sz w:val="18"/>
                          <w:szCs w:val="18"/>
                          <w:lang w:val="en-GB" w:eastAsia="en-GB"/>
                        </w:rPr>
                        <w:drawing>
                          <wp:inline distT="0" distB="0" distL="0" distR="0" wp14:anchorId="59B8080B" wp14:editId="041977E0">
                            <wp:extent cx="353060" cy="359410"/>
                            <wp:effectExtent l="0" t="0" r="8890" b="2540"/>
                            <wp:docPr id="1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Voorbeeld: Samenwerkingsmaatregelen voor een beter milieubeheer</w:t>
                      </w:r>
                    </w:p>
                    <w:p w:rsidR="00891EED" w:rsidRPr="007B4A6D" w:rsidRDefault="00891EED" w:rsidP="00E05D08">
                      <w:pPr>
                        <w:pStyle w:val="HStandard"/>
                        <w:rPr>
                          <w:sz w:val="18"/>
                          <w:szCs w:val="18"/>
                        </w:rPr>
                      </w:pPr>
                      <w:r>
                        <w:rPr>
                          <w:b/>
                          <w:sz w:val="18"/>
                          <w:szCs w:val="18"/>
                        </w:rPr>
                        <w:t>Finland -</w:t>
                      </w:r>
                      <w:r>
                        <w:rPr>
                          <w:sz w:val="18"/>
                          <w:szCs w:val="18"/>
                        </w:rPr>
                        <w:t xml:space="preserve"> M16 vult andere POP-maatregelen aan om de doelstellingen van prioriteiten P4 en P5 te verwezenlijken:</w:t>
                      </w:r>
                    </w:p>
                    <w:p w:rsidR="00891EED" w:rsidRPr="00055039" w:rsidRDefault="00891EED" w:rsidP="008C0B17">
                      <w:pPr>
                        <w:pStyle w:val="HStandard"/>
                        <w:numPr>
                          <w:ilvl w:val="0"/>
                          <w:numId w:val="24"/>
                        </w:numPr>
                        <w:ind w:left="567" w:hanging="567"/>
                        <w:rPr>
                          <w:sz w:val="18"/>
                          <w:szCs w:val="18"/>
                        </w:rPr>
                      </w:pPr>
                      <w:r>
                        <w:rPr>
                          <w:sz w:val="18"/>
                          <w:szCs w:val="18"/>
                        </w:rPr>
                        <w:t>58 % van M16 en delen van M1 en M2 worden gebruikt om energie-efficiëntie te bevorderen;</w:t>
                      </w:r>
                    </w:p>
                    <w:p w:rsidR="00891EED" w:rsidRPr="00D66182" w:rsidRDefault="00891EED" w:rsidP="008C0B17">
                      <w:pPr>
                        <w:pStyle w:val="HStandard"/>
                        <w:numPr>
                          <w:ilvl w:val="0"/>
                          <w:numId w:val="24"/>
                        </w:numPr>
                        <w:ind w:left="567" w:hanging="567"/>
                        <w:rPr>
                          <w:sz w:val="18"/>
                          <w:szCs w:val="18"/>
                        </w:rPr>
                      </w:pPr>
                      <w:r>
                        <w:rPr>
                          <w:sz w:val="18"/>
                          <w:szCs w:val="18"/>
                        </w:rPr>
                        <w:t>49 % van M16 en delen van M1 en M2 worden gebruikt voor koolstofvastlegging en -behoud;</w:t>
                      </w:r>
                    </w:p>
                    <w:p w:rsidR="00891EED" w:rsidRPr="000E1D4B" w:rsidRDefault="00891EED" w:rsidP="008C0B17">
                      <w:pPr>
                        <w:pStyle w:val="HStandard"/>
                        <w:numPr>
                          <w:ilvl w:val="0"/>
                          <w:numId w:val="24"/>
                        </w:numPr>
                        <w:ind w:left="567" w:hanging="567"/>
                        <w:rPr>
                          <w:sz w:val="18"/>
                          <w:szCs w:val="18"/>
                        </w:rPr>
                      </w:pPr>
                      <w:r>
                        <w:rPr>
                          <w:sz w:val="18"/>
                          <w:szCs w:val="18"/>
                        </w:rPr>
                        <w:t>10 % van M16, 84 % van M4 en delen van M1 en M2 worden gebruikt voor hernieuwbare bronnen en afvalbeheer;</w:t>
                      </w:r>
                    </w:p>
                    <w:p w:rsidR="00891EED" w:rsidRPr="000E1D4B" w:rsidRDefault="00891EED" w:rsidP="008C0B17">
                      <w:pPr>
                        <w:pStyle w:val="HStandard"/>
                        <w:numPr>
                          <w:ilvl w:val="0"/>
                          <w:numId w:val="24"/>
                        </w:numPr>
                        <w:ind w:left="567" w:hanging="567"/>
                        <w:rPr>
                          <w:sz w:val="18"/>
                          <w:szCs w:val="18"/>
                        </w:rPr>
                      </w:pPr>
                      <w:r>
                        <w:rPr>
                          <w:sz w:val="18"/>
                          <w:szCs w:val="18"/>
                        </w:rPr>
                        <w:t>5,5 % van M16, 89 % van M4 en delen van M1 en M2 worden gebruikt om de uitstoot van broeikasgassen en ammoniak te verminderen.</w:t>
                      </w:r>
                    </w:p>
                    <w:p w:rsidR="00891EED" w:rsidRPr="000E1D4B" w:rsidRDefault="00891EED" w:rsidP="00E05D08">
                      <w:pPr>
                        <w:pStyle w:val="HStandard"/>
                        <w:rPr>
                          <w:sz w:val="18"/>
                          <w:szCs w:val="18"/>
                        </w:rPr>
                      </w:pPr>
                      <w:r>
                        <w:rPr>
                          <w:sz w:val="18"/>
                          <w:szCs w:val="18"/>
                        </w:rPr>
                        <w:t>Samenwerkingssubmaatregelen (bv. M16.2: steun voor proefprojecten; M16.5: steun voor gezamenlijke acties met het oog op het verminderen van of aanpassing aan de klimaatverandering en voor een gezamenlijke aanpak van milieuprojecten en -praktijken) hebben vooral invloed op AG's 4A-C en AG's 5A-E.</w:t>
                      </w:r>
                    </w:p>
                    <w:p w:rsidR="00891EED" w:rsidRPr="00AB16BB" w:rsidRDefault="00891EED" w:rsidP="00AB16BB">
                      <w:pPr>
                        <w:pStyle w:val="HSource"/>
                        <w:ind w:right="8"/>
                        <w:jc w:val="right"/>
                        <w:rPr>
                          <w:rFonts w:eastAsia="Calibri"/>
                          <w:sz w:val="14"/>
                          <w:szCs w:val="14"/>
                        </w:rPr>
                      </w:pPr>
                      <w:r>
                        <w:rPr>
                          <w:sz w:val="14"/>
                          <w:szCs w:val="14"/>
                        </w:rPr>
                        <w:t>Bron: ENPO (2016). Workshop over Samenwerking in het kader van M16</w:t>
                      </w:r>
                      <w:r>
                        <w:rPr>
                          <w:sz w:val="14"/>
                          <w:szCs w:val="14"/>
                          <w:vertAlign w:val="superscript"/>
                        </w:rPr>
                        <w:t>54</w:t>
                      </w:r>
                      <w:r>
                        <w:rPr>
                          <w:sz w:val="14"/>
                          <w:szCs w:val="14"/>
                        </w:rPr>
                        <w:t>.</w:t>
                      </w:r>
                    </w:p>
                    <w:p w:rsidR="00891EED" w:rsidRPr="007B4A6D" w:rsidRDefault="00891EED" w:rsidP="00235D46">
                      <w:pPr>
                        <w:pStyle w:val="HStandard"/>
                        <w:spacing w:after="0"/>
                        <w:ind w:left="567" w:hanging="567"/>
                        <w:rPr>
                          <w:b/>
                          <w:sz w:val="18"/>
                          <w:szCs w:val="18"/>
                        </w:rPr>
                      </w:pPr>
                      <w:r>
                        <w:rPr>
                          <w:b/>
                          <w:color w:val="F07E31"/>
                          <w:sz w:val="18"/>
                          <w:szCs w:val="18"/>
                        </w:rPr>
                        <w:t>Voorbeeld:</w:t>
                      </w:r>
                      <w:r>
                        <w:rPr>
                          <w:color w:val="F07E31"/>
                          <w:sz w:val="18"/>
                          <w:szCs w:val="18"/>
                        </w:rPr>
                        <w:t xml:space="preserve"> </w:t>
                      </w:r>
                      <w:r>
                        <w:rPr>
                          <w:b/>
                          <w:color w:val="F07E31"/>
                          <w:sz w:val="18"/>
                          <w:szCs w:val="18"/>
                        </w:rPr>
                        <w:t>Onderzoekers en landbouwers met elkaar verbinden</w:t>
                      </w:r>
                      <w:r>
                        <w:rPr>
                          <w:color w:val="F07E31"/>
                          <w:sz w:val="18"/>
                          <w:szCs w:val="18"/>
                        </w:rPr>
                        <w:t xml:space="preserve"> </w:t>
                      </w:r>
                    </w:p>
                    <w:p w:rsidR="00891EED" w:rsidRPr="00D66182" w:rsidRDefault="00891EED" w:rsidP="00235D46">
                      <w:pPr>
                        <w:pStyle w:val="HStandard"/>
                        <w:rPr>
                          <w:sz w:val="18"/>
                          <w:szCs w:val="18"/>
                        </w:rPr>
                      </w:pPr>
                      <w:r>
                        <w:rPr>
                          <w:b/>
                          <w:sz w:val="18"/>
                          <w:szCs w:val="18"/>
                        </w:rPr>
                        <w:t>België</w:t>
                      </w:r>
                      <w:r>
                        <w:rPr>
                          <w:sz w:val="18"/>
                          <w:szCs w:val="18"/>
                        </w:rPr>
                        <w:t xml:space="preserve"> - een innovatieve varkensstal helpt de uitstoot van ammoniak omlaag te brengen. Voor de ontwikkeling van deze technieken, waarbij de ammoniakuitstoot wordt beperkt door specifieke bacteriën aan de varkensmest toe te voegen, is het van cruciaal belang geweest om onderzoekers en landbouwers met elkaar te verbinden. Dit draagt ook bij aan de verwezenlijking van milieudoelstellingen van het POP. </w:t>
                      </w:r>
                    </w:p>
                    <w:p w:rsidR="00891EED" w:rsidRPr="00AB16BB" w:rsidRDefault="00891EED" w:rsidP="00AB16BB">
                      <w:pPr>
                        <w:pStyle w:val="HStandard"/>
                        <w:jc w:val="right"/>
                        <w:rPr>
                          <w:sz w:val="14"/>
                          <w:szCs w:val="14"/>
                          <w:vertAlign w:val="superscript"/>
                        </w:rPr>
                      </w:pPr>
                      <w:r>
                        <w:rPr>
                          <w:i/>
                          <w:sz w:val="14"/>
                          <w:szCs w:val="14"/>
                        </w:rPr>
                        <w:t>Bron: EIP – Servicepunt</w:t>
                      </w:r>
                      <w:r>
                        <w:rPr>
                          <w:i/>
                          <w:sz w:val="14"/>
                          <w:szCs w:val="14"/>
                          <w:vertAlign w:val="superscript"/>
                        </w:rPr>
                        <w:t>55</w:t>
                      </w:r>
                    </w:p>
                    <w:p w:rsidR="00891EED" w:rsidRPr="007B4A6D" w:rsidRDefault="00891EED" w:rsidP="00235D46">
                      <w:pPr>
                        <w:pStyle w:val="HStandard"/>
                        <w:rPr>
                          <w:b/>
                          <w:color w:val="F07E31"/>
                          <w:sz w:val="18"/>
                          <w:szCs w:val="18"/>
                        </w:rPr>
                      </w:pPr>
                      <w:r>
                        <w:rPr>
                          <w:b/>
                          <w:color w:val="F07E31"/>
                          <w:sz w:val="18"/>
                          <w:szCs w:val="18"/>
                        </w:rPr>
                        <w:t xml:space="preserve">Voorbeeld: Innovatiesteundiensten </w:t>
                      </w:r>
                    </w:p>
                    <w:p w:rsidR="00891EED" w:rsidRPr="007B4A6D" w:rsidRDefault="00891EED" w:rsidP="00235D46">
                      <w:pPr>
                        <w:pStyle w:val="HStandard"/>
                        <w:spacing w:after="0"/>
                        <w:rPr>
                          <w:b/>
                          <w:sz w:val="18"/>
                          <w:szCs w:val="18"/>
                        </w:rPr>
                      </w:pPr>
                      <w:r>
                        <w:rPr>
                          <w:b/>
                          <w:sz w:val="18"/>
                          <w:szCs w:val="18"/>
                        </w:rPr>
                        <w:t>Hessen (DE) -</w:t>
                      </w:r>
                      <w:r>
                        <w:rPr>
                          <w:sz w:val="18"/>
                          <w:szCs w:val="18"/>
                        </w:rPr>
                        <w:t xml:space="preserve"> innovatiesteundiensten hebben geholpen innovatiecapaciteit op te bouwen door</w:t>
                      </w:r>
                      <w:r>
                        <w:rPr>
                          <w:b/>
                          <w:sz w:val="18"/>
                          <w:szCs w:val="18"/>
                        </w:rPr>
                        <w:t>:</w:t>
                      </w:r>
                    </w:p>
                    <w:p w:rsidR="00891EED" w:rsidRPr="00055039" w:rsidRDefault="00891EED" w:rsidP="00235D46">
                      <w:pPr>
                        <w:pStyle w:val="HStandard"/>
                        <w:numPr>
                          <w:ilvl w:val="0"/>
                          <w:numId w:val="24"/>
                        </w:numPr>
                        <w:ind w:left="567" w:hanging="567"/>
                        <w:rPr>
                          <w:sz w:val="18"/>
                          <w:szCs w:val="18"/>
                        </w:rPr>
                      </w:pPr>
                      <w:r>
                        <w:rPr>
                          <w:sz w:val="18"/>
                          <w:szCs w:val="18"/>
                        </w:rPr>
                        <w:t>ondersteuning bij de implementatie van M16;</w:t>
                      </w:r>
                    </w:p>
                    <w:p w:rsidR="00891EED" w:rsidRPr="00D66182" w:rsidRDefault="00891EED" w:rsidP="00235D46">
                      <w:pPr>
                        <w:pStyle w:val="HStandard"/>
                        <w:numPr>
                          <w:ilvl w:val="0"/>
                          <w:numId w:val="24"/>
                        </w:numPr>
                        <w:ind w:left="567" w:hanging="567"/>
                        <w:rPr>
                          <w:sz w:val="18"/>
                          <w:szCs w:val="18"/>
                        </w:rPr>
                      </w:pPr>
                      <w:r>
                        <w:rPr>
                          <w:sz w:val="18"/>
                          <w:szCs w:val="18"/>
                        </w:rPr>
                        <w:t>voorlichting en publiciteit in de regio;</w:t>
                      </w:r>
                    </w:p>
                    <w:p w:rsidR="00891EED" w:rsidRPr="000E1D4B" w:rsidRDefault="00891EED" w:rsidP="00235D46">
                      <w:pPr>
                        <w:pStyle w:val="HStandard"/>
                        <w:numPr>
                          <w:ilvl w:val="0"/>
                          <w:numId w:val="24"/>
                        </w:numPr>
                        <w:ind w:left="567" w:hanging="567"/>
                        <w:rPr>
                          <w:sz w:val="18"/>
                          <w:szCs w:val="18"/>
                        </w:rPr>
                      </w:pPr>
                      <w:r>
                        <w:rPr>
                          <w:sz w:val="18"/>
                          <w:szCs w:val="18"/>
                        </w:rPr>
                        <w:t>onderlinge verbinding van samenwerkingsactiviteiten in Hessen, Duitsland;</w:t>
                      </w:r>
                    </w:p>
                    <w:p w:rsidR="00891EED" w:rsidRPr="000E1D4B" w:rsidRDefault="00891EED" w:rsidP="00235D46">
                      <w:pPr>
                        <w:pStyle w:val="HStandard"/>
                        <w:numPr>
                          <w:ilvl w:val="0"/>
                          <w:numId w:val="24"/>
                        </w:numPr>
                        <w:ind w:left="567" w:hanging="567"/>
                        <w:rPr>
                          <w:sz w:val="18"/>
                          <w:szCs w:val="18"/>
                        </w:rPr>
                      </w:pPr>
                      <w:r>
                        <w:rPr>
                          <w:sz w:val="18"/>
                          <w:szCs w:val="18"/>
                        </w:rPr>
                        <w:t>ondersteuning van samenwerkingsactiviteiten tijdens de voorbereidings- en implementatiefase.</w:t>
                      </w:r>
                    </w:p>
                    <w:p w:rsidR="00891EED" w:rsidRPr="00AB16BB" w:rsidRDefault="00891EED" w:rsidP="00AB16BB">
                      <w:pPr>
                        <w:pStyle w:val="HSource"/>
                        <w:spacing w:before="0" w:after="0"/>
                        <w:ind w:right="11"/>
                        <w:jc w:val="right"/>
                        <w:rPr>
                          <w:rFonts w:eastAsia="Calibri"/>
                          <w:sz w:val="14"/>
                          <w:szCs w:val="14"/>
                        </w:rPr>
                      </w:pPr>
                      <w:r>
                        <w:rPr>
                          <w:sz w:val="14"/>
                          <w:szCs w:val="14"/>
                        </w:rPr>
                        <w:t xml:space="preserve">Bron: ENPO (2016) </w:t>
                      </w:r>
                    </w:p>
                    <w:p w:rsidR="00891EED" w:rsidRPr="00AB16BB" w:rsidRDefault="00891EED" w:rsidP="00AB16BB">
                      <w:pPr>
                        <w:pStyle w:val="HSource"/>
                        <w:spacing w:before="0" w:after="0"/>
                        <w:ind w:right="11"/>
                        <w:jc w:val="right"/>
                        <w:rPr>
                          <w:sz w:val="14"/>
                          <w:szCs w:val="14"/>
                        </w:rPr>
                      </w:pPr>
                      <w:r>
                        <w:rPr>
                          <w:sz w:val="14"/>
                          <w:szCs w:val="14"/>
                        </w:rPr>
                        <w:t>Workshop over Samenwerking in het kader van M16</w:t>
                      </w:r>
                      <w:r>
                        <w:rPr>
                          <w:sz w:val="14"/>
                          <w:szCs w:val="14"/>
                          <w:vertAlign w:val="superscript"/>
                        </w:rPr>
                        <w:t>56</w:t>
                      </w:r>
                      <w:r>
                        <w:rPr>
                          <w:sz w:val="14"/>
                          <w:szCs w:val="14"/>
                        </w:rPr>
                        <w:t xml:space="preserve">. </w:t>
                      </w:r>
                    </w:p>
                  </w:txbxContent>
                </v:textbox>
                <w10:wrap type="square" anchory="page"/>
              </v:shape>
            </w:pict>
          </mc:Fallback>
        </mc:AlternateContent>
      </w:r>
      <w:r w:rsidR="00A45935">
        <w:t>Wanneer onderzoek en praktijk met elkaar worden verbonden, kan dat helpen innovatie te herkennen die de implementatie van het programma kan verbeteren en kan bijdragen aan de POP-doelstellingen.</w:t>
      </w:r>
      <w:r w:rsidR="00FA5493" w:rsidRPr="00FA5493">
        <w:rPr>
          <w:rStyle w:val="FootnoteReference"/>
          <w:color w:val="FFFFFF" w:themeColor="background1"/>
        </w:rPr>
        <w:t xml:space="preserve"> </w:t>
      </w:r>
      <w:r w:rsidR="00FA5493">
        <w:rPr>
          <w:rStyle w:val="FootnoteReference"/>
          <w:color w:val="FFFFFF" w:themeColor="background1"/>
        </w:rPr>
        <w:footnoteReference w:id="54"/>
      </w:r>
      <w:r w:rsidR="00FA5493">
        <w:rPr>
          <w:color w:val="FFFFFF" w:themeColor="background1"/>
        </w:rPr>
        <w:t xml:space="preserve"> </w:t>
      </w:r>
      <w:r w:rsidR="00FA5493">
        <w:rPr>
          <w:rStyle w:val="FootnoteReference"/>
          <w:color w:val="FFFFFF" w:themeColor="background1"/>
        </w:rPr>
        <w:footnoteReference w:id="55"/>
      </w:r>
      <w:r w:rsidR="00FA5493">
        <w:rPr>
          <w:rStyle w:val="FootnoteReference"/>
          <w:color w:val="FFFFFF" w:themeColor="background1"/>
        </w:rPr>
        <w:footnoteReference w:id="56"/>
      </w:r>
    </w:p>
    <w:p w:rsidR="00EF1B0F" w:rsidRPr="00EF1B0F" w:rsidRDefault="00A45935" w:rsidP="00734B11">
      <w:pPr>
        <w:pStyle w:val="Hlistbullet"/>
      </w:pPr>
      <w:r>
        <w:t xml:space="preserve">De nadruk op de ondersteuning van adviseurs en innovatiesteundiensten aan samenwerkingsprojecten (daaronder begrepen de steun van NPN's) kan bijdragen tot het opbouwen van innovatiecapaciteit en het verbeteren van het concurrentievermogen en/of het milieu. </w:t>
      </w:r>
    </w:p>
    <w:p w:rsidR="00EF1B0F" w:rsidRDefault="00A45935" w:rsidP="00734B11">
      <w:pPr>
        <w:pStyle w:val="Hlistbullet"/>
      </w:pPr>
      <w:r>
        <w:rPr>
          <w:b/>
        </w:rPr>
        <w:lastRenderedPageBreak/>
        <w:t>Samenwerking voor een beter milieubeheer en betere prestaties</w:t>
      </w:r>
      <w:r>
        <w:t xml:space="preserve"> is een ander aandachtspunt van CEQ nr. 2. De reikwijdte van samenwerkingsprojecten strekt zicht uit tot de bescherming en verbetering van hulpbronnen (water, bodem, lucht), biodiversiteit en de natuurlijke omgeving, alsook tot matiging van en aanpassing aan de klimaatverandering. Milieubeheer met het oog op klimaatverandering kan acties omvatten die verband houden met efficiënt gebruik en besparing van water en energie.</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shd w:val="clear" w:color="auto" w:fill="FFFFFF"/>
        </w:rPr>
        <w:t xml:space="preserve">Specifieke uitdagingen </w:t>
      </w:r>
    </w:p>
    <w:p w:rsidR="00A45935" w:rsidRPr="00183E9B" w:rsidRDefault="00A45935" w:rsidP="00AB16BB">
      <w:pPr>
        <w:pStyle w:val="Hlistbullet"/>
      </w:pPr>
      <w:r>
        <w:rPr>
          <w:b/>
          <w:shd w:val="clear" w:color="auto" w:fill="FFFFFF"/>
        </w:rPr>
        <w:t>Aanvullende en programmaspecifieke evaluatie-elementen ontwikkelen</w:t>
      </w:r>
      <w:r>
        <w:rPr>
          <w:shd w:val="clear" w:color="auto" w:fill="FFFFFF"/>
        </w:rPr>
        <w:t xml:space="preserve">: </w:t>
      </w:r>
      <w:r>
        <w:rPr>
          <w:color w:val="545454"/>
          <w:shd w:val="clear" w:color="auto" w:fill="FFFFFF"/>
        </w:rPr>
        <w:t xml:space="preserve">CEQ nr. 2 is slechts aan één gemeenschappelijke doelindicator gekoppeld (D2: </w:t>
      </w:r>
      <w:r>
        <w:t xml:space="preserve">Totaal aantal in het kader van de samenwerkingsmaatregel gesteunde concrete acties inzake samenwerking). </w:t>
      </w:r>
      <w:r>
        <w:rPr>
          <w:color w:val="545454"/>
          <w:shd w:val="clear" w:color="auto" w:fill="FFFFFF"/>
        </w:rPr>
        <w:t>Dit is misschien niet voldoende om de CEQ te beantwoorden.</w:t>
      </w:r>
    </w:p>
    <w:p w:rsidR="00A45935" w:rsidRPr="00183E9B" w:rsidRDefault="00A45935" w:rsidP="00AB16BB">
      <w:pPr>
        <w:pStyle w:val="Hlistbullet"/>
        <w:rPr>
          <w:rFonts w:eastAsia="Calibri"/>
          <w:shd w:val="clear" w:color="auto" w:fill="FFFFFF"/>
        </w:rPr>
      </w:pPr>
      <w:r>
        <w:rPr>
          <w:b/>
          <w:shd w:val="clear" w:color="auto" w:fill="FFFFFF"/>
        </w:rPr>
        <w:t>Waargenomen veranderingen toeschrijven</w:t>
      </w:r>
      <w:r>
        <w:rPr>
          <w:shd w:val="clear" w:color="auto" w:fill="FFFFFF"/>
        </w:rPr>
        <w:t xml:space="preserve"> aan verbindingen tussen landbouw, bosbouw en onderzoek en innovatie. Hierbij gaat het om veranderingen die verband houden met milieubeheer en milieuprestaties, met de samenwerkingsmaatregel M16 en de bijdrage daarvan aan de verwezenlijking van POP-doelstellingen. </w:t>
      </w:r>
    </w:p>
    <w:p w:rsidR="00A45935" w:rsidRPr="00183E9B" w:rsidRDefault="00A45935" w:rsidP="00AB16BB">
      <w:pPr>
        <w:pStyle w:val="Hlistbullet"/>
        <w:rPr>
          <w:rFonts w:eastAsia="Calibri"/>
          <w:shd w:val="clear" w:color="auto" w:fill="FFFFFF"/>
        </w:rPr>
      </w:pPr>
      <w:r>
        <w:rPr>
          <w:b/>
          <w:shd w:val="clear" w:color="auto" w:fill="FFFFFF"/>
        </w:rPr>
        <w:t>De bijdragen registreren van de in het kader van AG's behalve 1B geprogrammeerde maatregelen</w:t>
      </w:r>
      <w:r>
        <w:rPr>
          <w:shd w:val="clear" w:color="auto" w:fill="FFFFFF"/>
        </w:rPr>
        <w:t xml:space="preserve"> (inclusief submaatregelen van M16), die bedoeld zijn om de banden tussen landbouw, bosbouw, onderzoek en innovatie te versterken, met name die welke verband houden met milieubeheer en milieuprestaties.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Voorgestelde aanpak om CEQ nr. 2 te beantwoorden</w:t>
      </w: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 xml:space="preserve">Interventielogica </w:t>
      </w:r>
    </w:p>
    <w:p w:rsidR="00A45935" w:rsidRPr="00E05D08" w:rsidRDefault="00A45935" w:rsidP="00E05D08">
      <w:pPr>
        <w:spacing w:after="120" w:line="280" w:lineRule="atLeast"/>
        <w:mirrorIndents/>
        <w:rPr>
          <w:rFonts w:eastAsia="Times New Roman" w:cs="Times New Roman"/>
          <w:szCs w:val="20"/>
        </w:rPr>
      </w:pPr>
      <w:r>
        <w:t xml:space="preserve">In het onderstaande voorbeeld bestaat de aan CEQ nr. 2 gekoppelde interventielogica uit submaatregelen van M16 zoals geprogrammeerd in het kader van AG 1B of in het kader van andere AG's die bijdragen aan de doelstellingen van AG 1B. </w:t>
      </w:r>
    </w:p>
    <w:p w:rsidR="00A45935" w:rsidRPr="00E05D08" w:rsidRDefault="00A45935" w:rsidP="00E05D08">
      <w:pPr>
        <w:spacing w:after="120" w:line="280" w:lineRule="atLeast"/>
        <w:mirrorIndents/>
        <w:rPr>
          <w:rFonts w:eastAsia="Times New Roman" w:cs="Times New Roman"/>
          <w:szCs w:val="20"/>
        </w:rPr>
      </w:pPr>
      <w:r>
        <w:t xml:space="preserve">Een mogelijk uitgangspunt voor herziening van de interventielogica is de screening van het innovatiepotentieel van submaatregelen van M16 ter bevordering van innovatie via de drie trajecten. </w:t>
      </w:r>
    </w:p>
    <w:p w:rsidR="00A45935" w:rsidRPr="00BC5B1D" w:rsidRDefault="00BE1F31" w:rsidP="00547012">
      <w:pPr>
        <w:pStyle w:val="HHeadingfigures"/>
      </w:pPr>
      <w:bookmarkStart w:id="115" w:name="_Toc511656301"/>
      <w:r>
        <w:t>Voorbeeld van het innovatiepotentieel van elke submaatregel van M16</w:t>
      </w:r>
      <w:bookmarkEnd w:id="115"/>
    </w:p>
    <w:p w:rsidR="00A45935" w:rsidRPr="00E05D08" w:rsidRDefault="001E4A08" w:rsidP="002C2C15">
      <w:pPr>
        <w:spacing w:after="120" w:line="280" w:lineRule="atLeast"/>
        <w:mirrorIndents/>
        <w:jc w:val="center"/>
        <w:rPr>
          <w:rFonts w:eastAsia="Times New Roman" w:cs="Times New Roman"/>
          <w:szCs w:val="20"/>
          <w:lang w:eastAsia="de-DE"/>
        </w:rPr>
      </w:pPr>
      <w:r w:rsidRPr="001E4A08">
        <w:rPr>
          <w:noProof/>
          <w:lang w:val="en-GB" w:eastAsia="en-GB"/>
        </w:rPr>
        <w:lastRenderedPageBreak/>
        <w:drawing>
          <wp:inline distT="0" distB="0" distL="0" distR="0" wp14:anchorId="0468B851" wp14:editId="4073A430">
            <wp:extent cx="5731510" cy="3286125"/>
            <wp:effectExtent l="0" t="0" r="254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3286125"/>
                    </a:xfrm>
                    <a:prstGeom prst="rect">
                      <a:avLst/>
                    </a:prstGeom>
                    <a:noFill/>
                    <a:ln>
                      <a:noFill/>
                    </a:ln>
                  </pic:spPr>
                </pic:pic>
              </a:graphicData>
            </a:graphic>
          </wp:inline>
        </w:drawing>
      </w:r>
    </w:p>
    <w:p w:rsidR="00A45935" w:rsidRPr="00E05D08" w:rsidRDefault="00A45935" w:rsidP="00BD7227">
      <w:pPr>
        <w:suppressAutoHyphens/>
        <w:spacing w:before="60" w:after="140" w:line="240" w:lineRule="auto"/>
        <w:mirrorIndents/>
        <w:jc w:val="center"/>
        <w:rPr>
          <w:rFonts w:eastAsia="Times New Roman" w:cs="Times New Roman"/>
          <w:i/>
          <w:sz w:val="16"/>
          <w:szCs w:val="20"/>
        </w:rPr>
      </w:pPr>
      <w:r>
        <w:rPr>
          <w:i/>
          <w:sz w:val="16"/>
          <w:szCs w:val="20"/>
        </w:rPr>
        <w:t>Bron: Europese evaluatiehelpdesk voor plattelandsontwikkeling, 2017</w:t>
      </w:r>
    </w:p>
    <w:p w:rsidR="00A45935" w:rsidRPr="00E05D08" w:rsidRDefault="00647766"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mc:AlternateContent>
          <mc:Choice Requires="wps">
            <w:drawing>
              <wp:anchor distT="0" distB="0" distL="114300" distR="114300" simplePos="0" relativeHeight="251652096" behindDoc="0" locked="0" layoutInCell="1" allowOverlap="1" wp14:anchorId="2F6E9816" wp14:editId="40CD44E1">
                <wp:simplePos x="0" y="0"/>
                <wp:positionH relativeFrom="column">
                  <wp:posOffset>-47625</wp:posOffset>
                </wp:positionH>
                <wp:positionV relativeFrom="paragraph">
                  <wp:posOffset>817245</wp:posOffset>
                </wp:positionV>
                <wp:extent cx="5733415" cy="2286000"/>
                <wp:effectExtent l="0" t="0" r="19685" b="19050"/>
                <wp:wrapSquare wrapText="bothSides"/>
                <wp:docPr id="83" name="Rectangle: Diagonal Corners Rounded 83"/>
                <wp:cNvGraphicFramePr/>
                <a:graphic xmlns:a="http://schemas.openxmlformats.org/drawingml/2006/main">
                  <a:graphicData uri="http://schemas.microsoft.com/office/word/2010/wordprocessingShape">
                    <wps:wsp>
                      <wps:cNvSpPr/>
                      <wps:spPr>
                        <a:xfrm>
                          <a:off x="0" y="0"/>
                          <a:ext cx="5733415" cy="2286000"/>
                        </a:xfrm>
                        <a:prstGeom prst="round2DiagRect">
                          <a:avLst>
                            <a:gd name="adj1" fmla="val 11556"/>
                            <a:gd name="adj2" fmla="val 0"/>
                          </a:avLst>
                        </a:prstGeom>
                        <a:noFill/>
                        <a:ln w="25400" cap="flat" cmpd="sng" algn="ctr">
                          <a:solidFill>
                            <a:srgbClr val="F07E31"/>
                          </a:solidFill>
                          <a:prstDash val="solid"/>
                        </a:ln>
                        <a:effectLst/>
                      </wps:spPr>
                      <wps:txbx>
                        <w:txbxContent>
                          <w:p w:rsidR="00891EED" w:rsidRPr="00A10ACC" w:rsidRDefault="00891EED" w:rsidP="00E05D08">
                            <w:pPr>
                              <w:pStyle w:val="HStandard"/>
                              <w:rPr>
                                <w:sz w:val="18"/>
                              </w:rPr>
                            </w:pPr>
                            <w:r>
                              <w:rPr>
                                <w:noProof/>
                                <w:lang w:val="en-GB" w:eastAsia="en-GB"/>
                              </w:rPr>
                              <w:drawing>
                                <wp:inline distT="0" distB="0" distL="0" distR="0" wp14:anchorId="22F87E2D" wp14:editId="320D3760">
                                  <wp:extent cx="353060" cy="359410"/>
                                  <wp:effectExtent l="0" t="0" r="8890" b="2540"/>
                                  <wp:docPr id="2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Uit het voorbeeld blijkt het innovatiepotentieel van submaatregelen van M16 (zoals die geprogrammeerd zouden kunnen worden in het kader van elk AG voor plattelandsontwikkeling) die bijdragen aan de beleidsdoelstelling van AG 1B. Weliswaar dragen alle tien de submaatregelen van M16 bij aan het versterken van verbindingen tussen landbouw, voedselproductie, bosbouw, onderzoek en innovatie, maar alleen de submaatregelen 5, 6, 8 en 9 geven blijk van potentieel om bij te dragen aan het versterken van deze verbindingen voor milieubeheer en -prestaties. Wat betreft de drie innovatietrajecten zijn de submaatregelen 1, 5, 6, 7 en 8 bevorderlijk voor het stimuleren van innovatieve ideeën (traject 1). Submaatregel 1 is ook bevorderlijk voor het opbouwen van capaciteit en het scheppen van een faciliterende omgeving (traject 2 en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E9816" id="Rectangle: Diagonal Corners Rounded 83" o:spid="_x0000_s1047" style="position:absolute;left:0;text-align:left;margin-left:-3.75pt;margin-top:64.35pt;width:451.45pt;height:18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3415,2286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" adj="-11796480,,5400" path="m264170,l5733415,r,l5733415,2021830v,145897,-118273,264170,-264170,264170l,2286000r,l,264170c,118273,118273,,264170,xe" filled="f" strokecolor="#f07e31" strokeweight="2pt">
                <v:stroke joinstyle="miter"/>
                <v:formulas/>
                <v:path arrowok="t" o:connecttype="custom" o:connectlocs="264170,0;5733415,0;5733415,0;5733415,2021830;5469245,2286000;0,2286000;0,2286000;0,264170;264170,0" o:connectangles="0,0,0,0,0,0,0,0,0" textboxrect="0,0,5733415,2286000"/>
                <v:textbox>
                  <w:txbxContent>
                    <w:p w:rsidR="00891EED" w:rsidRPr="00A10ACC" w:rsidRDefault="00891EED" w:rsidP="00E05D08">
                      <w:pPr>
                        <w:pStyle w:val="HStandard"/>
                        <w:rPr>
                          <w:sz w:val="18"/>
                        </w:rPr>
                      </w:pPr>
                      <w:r>
                        <w:rPr>
                          <w:noProof/>
                          <w:lang w:val="en-GB" w:eastAsia="en-GB"/>
                        </w:rPr>
                        <w:drawing>
                          <wp:inline distT="0" distB="0" distL="0" distR="0" wp14:anchorId="22F87E2D" wp14:editId="320D3760">
                            <wp:extent cx="353060" cy="359410"/>
                            <wp:effectExtent l="0" t="0" r="8890" b="2540"/>
                            <wp:docPr id="2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Uit het voorbeeld blijkt het innovatiepotentieel van submaatregelen van M16 (zoals die geprogrammeerd zouden kunnen worden in het kader van elk AG voor plattelandsontwikkeling) die bijdragen aan de beleidsdoelstelling van AG 1B. Weliswaar dragen alle tien de submaatregelen van M16 bij aan het versterken van verbindingen tussen landbouw, voedselproductie, bosbouw, onderzoek en innovatie, maar alleen de submaatregelen 5, 6, 8 en 9 geven blijk van potentieel om bij te dragen aan het versterken van deze verbindingen voor milieubeheer en -prestaties. Wat betreft de drie innovatietrajecten zijn de submaatregelen 1, 5, 6, 7 en 8 bevorderlijk voor het stimuleren van innovatieve ideeën (traject 1). Submaatregel 1 is ook bevorderlijk voor het opbouwen van capaciteit en het scheppen van een faciliterende omgeving (traject 2 en 3).</w:t>
                      </w:r>
                    </w:p>
                  </w:txbxContent>
                </v:textbox>
                <w10:wrap type="square"/>
              </v:shape>
            </w:pict>
          </mc:Fallback>
        </mc:AlternateContent>
      </w:r>
      <w:r>
        <w:t>Bovendien moeten alle submaatregelen van M16 die in het kader van andere aandachtsgebieden dan AG 1B zijn geprogrammeerd, worden betrokken bij de beoordeling van de resultaten voor de innovatiegerelateerde aspecten van CEQ nr. 2. Als M16.1 bijvoorbeeld geprogrammeerd is in het kader van AG 2A, kunnen de bijdragen aan verbindingen tussen landbouwers, onderzoekers en innovatie-adviseurs in aanmerking worden genomen bij de beoordeling van CEQ nr. 2.</w:t>
      </w: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 xml:space="preserve">Evaluatie-elementen </w:t>
      </w:r>
    </w:p>
    <w:p w:rsidR="00A45935" w:rsidRPr="00E05D08" w:rsidRDefault="00734B11" w:rsidP="00E05D08">
      <w:pPr>
        <w:spacing w:after="120" w:line="280" w:lineRule="atLeast"/>
        <w:mirrorIndents/>
        <w:rPr>
          <w:rFonts w:eastAsia="Times New Roman" w:cs="Times New Roman"/>
          <w:szCs w:val="20"/>
        </w:rPr>
        <w:sectPr w:rsidR="00A45935" w:rsidRPr="00E05D08" w:rsidSect="00055039">
          <w:endnotePr>
            <w:numFmt w:val="decimal"/>
          </w:endnotePr>
          <w:type w:val="continuous"/>
          <w:pgSz w:w="11906" w:h="16838" w:code="9"/>
          <w:pgMar w:top="1134" w:right="1440" w:bottom="1440" w:left="1440" w:header="567" w:footer="1021" w:gutter="0"/>
          <w:cols w:space="708"/>
          <w:noEndnote/>
          <w:docGrid w:linePitch="360"/>
        </w:sectPr>
      </w:pPr>
      <w:r>
        <w:t>De algemene beoordelingscriteria en indicatoren voor CEQ nr. 2 blijven op het outputniveau van acties in het kader van de samenwerkingsmaatregel. Mogelijk moeten er aanvullende beoordelingscriteria en indicatoren worden ontwikkeld om de resultaten van deze maatregelen te beoordelen. De tabel hieronder geeft een overzicht van de vereiste beoordelingscriteria, indicatoren en gegevens ter beantwoording van CEQ nr. 2.</w:t>
      </w:r>
    </w:p>
    <w:p w:rsidR="00A45935" w:rsidRPr="009A2DAD" w:rsidRDefault="00A45935" w:rsidP="009A2DAD">
      <w:pPr>
        <w:pStyle w:val="HHeadingtables"/>
        <w:rPr>
          <w:color w:val="6F6F6F"/>
          <w:sz w:val="18"/>
          <w:szCs w:val="18"/>
        </w:rPr>
      </w:pPr>
      <w:bookmarkStart w:id="116" w:name="_Toc511656284"/>
      <w:r>
        <w:rPr>
          <w:color w:val="6F6F6F"/>
          <w:sz w:val="18"/>
          <w:szCs w:val="18"/>
        </w:rPr>
        <w:lastRenderedPageBreak/>
        <w:t>Beoordelingscriteria, indicatoren, vereiste gegevens en gegevensbronnen</w:t>
      </w:r>
      <w:bookmarkEnd w:id="116"/>
    </w:p>
    <w:tbl>
      <w:tblPr>
        <w:tblStyle w:val="TableGrid"/>
        <w:tblW w:w="143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78"/>
        <w:gridCol w:w="3578"/>
        <w:gridCol w:w="3578"/>
        <w:gridCol w:w="3578"/>
      </w:tblGrid>
      <w:tr w:rsidR="00A45935" w:rsidRPr="00E05D08" w:rsidTr="00E05D08">
        <w:trPr>
          <w:tblHeader/>
        </w:trPr>
        <w:tc>
          <w:tcPr>
            <w:tcW w:w="3578" w:type="dxa"/>
            <w:shd w:val="clear" w:color="auto" w:fill="F07E31"/>
          </w:tcPr>
          <w:p w:rsidR="00A45935" w:rsidRPr="00E05D08" w:rsidRDefault="00A45935" w:rsidP="00E05D08">
            <w:pPr>
              <w:spacing w:after="120" w:line="280" w:lineRule="atLeast"/>
              <w:ind w:left="29" w:right="110"/>
              <w:mirrorIndents/>
              <w:jc w:val="center"/>
              <w:rPr>
                <w:rFonts w:cs="Arial"/>
                <w:b/>
                <w:color w:val="FFFFFF"/>
                <w:sz w:val="18"/>
                <w:szCs w:val="18"/>
              </w:rPr>
            </w:pPr>
            <w:r>
              <w:rPr>
                <w:b/>
                <w:color w:val="FFFFFF"/>
                <w:sz w:val="18"/>
                <w:szCs w:val="18"/>
              </w:rPr>
              <w:t>Beoordelingscriteria</w:t>
            </w:r>
          </w:p>
        </w:tc>
        <w:tc>
          <w:tcPr>
            <w:tcW w:w="3578" w:type="dxa"/>
            <w:shd w:val="clear" w:color="auto" w:fill="F07E31"/>
          </w:tcPr>
          <w:p w:rsidR="00A45935" w:rsidRPr="00E05D08" w:rsidRDefault="00A45935" w:rsidP="00E05D08">
            <w:pPr>
              <w:spacing w:after="120" w:line="280" w:lineRule="atLeast"/>
              <w:ind w:left="75" w:right="61"/>
              <w:mirrorIndents/>
              <w:jc w:val="center"/>
              <w:rPr>
                <w:rFonts w:cs="Arial"/>
                <w:b/>
                <w:color w:val="FFFFFF"/>
                <w:sz w:val="18"/>
                <w:szCs w:val="18"/>
              </w:rPr>
            </w:pPr>
            <w:r>
              <w:rPr>
                <w:b/>
                <w:color w:val="FFFFFF"/>
                <w:sz w:val="18"/>
                <w:szCs w:val="18"/>
              </w:rPr>
              <w:t>Indicatoren</w:t>
            </w:r>
          </w:p>
        </w:tc>
        <w:tc>
          <w:tcPr>
            <w:tcW w:w="3578" w:type="dxa"/>
            <w:shd w:val="clear" w:color="auto" w:fill="F07E31"/>
          </w:tcPr>
          <w:p w:rsidR="00A45935" w:rsidRPr="00E05D08" w:rsidRDefault="00A45935" w:rsidP="00E05D08">
            <w:pPr>
              <w:spacing w:after="120" w:line="280" w:lineRule="atLeast"/>
              <w:ind w:left="11" w:right="12"/>
              <w:mirrorIndents/>
              <w:jc w:val="center"/>
              <w:rPr>
                <w:rFonts w:cs="Arial"/>
                <w:b/>
                <w:color w:val="FFFFFF"/>
                <w:sz w:val="18"/>
                <w:szCs w:val="18"/>
              </w:rPr>
            </w:pPr>
            <w:r>
              <w:rPr>
                <w:b/>
                <w:color w:val="FFFFFF"/>
                <w:sz w:val="18"/>
                <w:szCs w:val="18"/>
              </w:rPr>
              <w:t>Benodigde gegevens</w:t>
            </w:r>
          </w:p>
        </w:tc>
        <w:tc>
          <w:tcPr>
            <w:tcW w:w="3578" w:type="dxa"/>
            <w:shd w:val="clear" w:color="auto" w:fill="F07E31"/>
          </w:tcPr>
          <w:p w:rsidR="00A45935" w:rsidRPr="00E05D08" w:rsidRDefault="00A45935" w:rsidP="00E05D08">
            <w:pPr>
              <w:spacing w:after="120" w:line="280" w:lineRule="atLeast"/>
              <w:ind w:left="355" w:right="31"/>
              <w:mirrorIndents/>
              <w:jc w:val="center"/>
              <w:rPr>
                <w:rFonts w:cs="Arial"/>
                <w:b/>
                <w:color w:val="FFFFFF"/>
                <w:sz w:val="18"/>
                <w:szCs w:val="18"/>
              </w:rPr>
            </w:pPr>
            <w:r>
              <w:rPr>
                <w:b/>
                <w:color w:val="FFFFFF"/>
                <w:sz w:val="18"/>
                <w:szCs w:val="18"/>
              </w:rPr>
              <w:t>Gegevensbronnen</w:t>
            </w:r>
          </w:p>
        </w:tc>
      </w:tr>
      <w:tr w:rsidR="00A45935" w:rsidRPr="00E05D08" w:rsidTr="00406C98">
        <w:tc>
          <w:tcPr>
            <w:tcW w:w="14312" w:type="dxa"/>
            <w:gridSpan w:val="4"/>
            <w:tcBorders>
              <w:bottom w:val="single" w:sz="4" w:space="0" w:color="808080"/>
            </w:tcBorders>
            <w:shd w:val="clear" w:color="auto" w:fill="8BAB80"/>
          </w:tcPr>
          <w:p w:rsidR="00A45935" w:rsidRPr="005474FA" w:rsidRDefault="00A45935" w:rsidP="00E05D08">
            <w:pPr>
              <w:spacing w:after="120" w:line="280" w:lineRule="atLeast"/>
              <w:ind w:left="355" w:right="31"/>
              <w:mirrorIndents/>
              <w:rPr>
                <w:rFonts w:cs="Arial"/>
                <w:b/>
                <w:color w:val="FFFFFF"/>
                <w:sz w:val="18"/>
                <w:szCs w:val="18"/>
              </w:rPr>
            </w:pPr>
            <w:r>
              <w:rPr>
                <w:b/>
                <w:color w:val="FFFFFF"/>
                <w:sz w:val="18"/>
                <w:szCs w:val="18"/>
              </w:rPr>
              <w:t>Gemeenschappelijke evaluatie-elementen (GMES en overeenkomstig het werkdocument "Common evaluation questions 2014-2020")</w:t>
            </w:r>
          </w:p>
        </w:tc>
      </w:tr>
      <w:tr w:rsidR="00A45935" w:rsidRPr="00E05D08" w:rsidTr="00406C98">
        <w:tc>
          <w:tcPr>
            <w:tcW w:w="3578" w:type="dxa"/>
            <w:tcBorders>
              <w:bottom w:val="nil"/>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Langdurige samenwerking tussen landbouw-, voedselproductie- en bosbouwentiteiten en instellingen voor onderzoek en innovatie is opgezet.</w:t>
            </w:r>
          </w:p>
        </w:tc>
        <w:tc>
          <w:tcPr>
            <w:tcW w:w="3578" w:type="dxa"/>
            <w:tcBorders>
              <w:bottom w:val="nil"/>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D2: Totaal aantal in het kader van de samenwerkingsmaatregel gesteunde concrete acties inzake samenwerking (art. 35 van Verordening (EU) nr. 1305/2013 (groepen, netwerken/clusters, proefprojecten).</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t>Aanvullende indicator:</w:t>
            </w:r>
            <w:r>
              <w:rPr>
                <w:color w:val="57825E"/>
                <w:sz w:val="18"/>
                <w:szCs w:val="18"/>
              </w:rPr>
              <w:t xml:space="preserve"> Aantal en soorten partners betrokken bij samenwerkingsprojecten, met inbegrip van hun taken en verantwoordelijkheden.</w:t>
            </w:r>
          </w:p>
        </w:tc>
        <w:tc>
          <w:tcPr>
            <w:tcW w:w="3578" w:type="dxa"/>
            <w:tcBorders>
              <w:bottom w:val="nil"/>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Aantal EIP-acties (gegeven O16).</w:t>
            </w:r>
          </w:p>
          <w:p w:rsidR="00A45935" w:rsidRPr="00385368" w:rsidRDefault="00A45935" w:rsidP="007E63EF">
            <w:pPr>
              <w:spacing w:after="120" w:line="280" w:lineRule="atLeast"/>
              <w:ind w:left="11" w:right="12"/>
              <w:mirrorIndents/>
              <w:jc w:val="left"/>
              <w:rPr>
                <w:rFonts w:cs="Arial"/>
                <w:sz w:val="18"/>
                <w:szCs w:val="18"/>
              </w:rPr>
            </w:pPr>
            <w:r>
              <w:rPr>
                <w:sz w:val="18"/>
                <w:szCs w:val="18"/>
              </w:rPr>
              <w:t>Aantal andere samenwerkingsoperaties (groepen, netwerken/clusters, proefprojecten) dat ondersteuning behoeft in het kader van M16: "Samenwerking" (gegeven O17).</w:t>
            </w:r>
          </w:p>
          <w:p w:rsidR="00A45935" w:rsidRPr="00385368" w:rsidRDefault="00A45935" w:rsidP="007E63EF">
            <w:pPr>
              <w:spacing w:after="120" w:line="280" w:lineRule="atLeast"/>
              <w:ind w:left="11" w:right="12"/>
              <w:mirrorIndents/>
              <w:jc w:val="left"/>
              <w:rPr>
                <w:rFonts w:cs="Arial"/>
                <w:sz w:val="18"/>
                <w:szCs w:val="18"/>
              </w:rPr>
            </w:pPr>
            <w:r>
              <w:rPr>
                <w:sz w:val="18"/>
                <w:szCs w:val="18"/>
              </w:rPr>
              <w:t xml:space="preserve">Soorten en aantal betrokken partners. </w:t>
            </w:r>
          </w:p>
        </w:tc>
        <w:tc>
          <w:tcPr>
            <w:tcW w:w="3578" w:type="dxa"/>
            <w:tcBorders>
              <w:bottom w:val="nil"/>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POP-monitoringsysteem</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Aanvraagformulieren van begunstigden (begin van het project)</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Betalingsverzoeken van begunstigden (einde van project)</w:t>
            </w:r>
          </w:p>
        </w:tc>
      </w:tr>
      <w:tr w:rsidR="00A45935" w:rsidRPr="00E05D08" w:rsidTr="005520BA">
        <w:tc>
          <w:tcPr>
            <w:tcW w:w="3578" w:type="dxa"/>
            <w:tcBorders>
              <w:top w:val="nil"/>
              <w:bottom w:val="single" w:sz="4" w:space="0" w:color="808080"/>
            </w:tcBorders>
          </w:tcPr>
          <w:p w:rsidR="00A45935" w:rsidRPr="00EE73A7" w:rsidRDefault="00A45935" w:rsidP="007E63EF">
            <w:pPr>
              <w:spacing w:after="120" w:line="280" w:lineRule="atLeast"/>
              <w:ind w:left="29" w:right="110"/>
              <w:mirrorIndents/>
              <w:jc w:val="left"/>
              <w:rPr>
                <w:rFonts w:cs="Arial"/>
                <w:sz w:val="18"/>
                <w:szCs w:val="18"/>
                <w:lang w:val="nl-BE"/>
              </w:rPr>
            </w:pPr>
          </w:p>
        </w:tc>
        <w:tc>
          <w:tcPr>
            <w:tcW w:w="3578" w:type="dxa"/>
            <w:tcBorders>
              <w:top w:val="nil"/>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O3 Aantal gesteunde concrete acties.</w:t>
            </w:r>
          </w:p>
        </w:tc>
        <w:tc>
          <w:tcPr>
            <w:tcW w:w="3578" w:type="dxa"/>
            <w:tcBorders>
              <w:top w:val="nil"/>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Totaal aantal gesteunde concrete acties.</w:t>
            </w:r>
          </w:p>
          <w:p w:rsidR="00A45935" w:rsidRPr="00385368" w:rsidRDefault="00A45935" w:rsidP="007E63EF">
            <w:pPr>
              <w:spacing w:after="120" w:line="280" w:lineRule="atLeast"/>
              <w:ind w:left="11" w:right="12"/>
              <w:mirrorIndents/>
              <w:jc w:val="left"/>
              <w:rPr>
                <w:rFonts w:cs="Arial"/>
                <w:sz w:val="18"/>
                <w:szCs w:val="18"/>
              </w:rPr>
            </w:pPr>
            <w:r>
              <w:rPr>
                <w:sz w:val="18"/>
                <w:szCs w:val="18"/>
              </w:rPr>
              <w:t>Aantal ondersteunde samenwerkingsoperaties (O16+O17).</w:t>
            </w:r>
          </w:p>
        </w:tc>
        <w:tc>
          <w:tcPr>
            <w:tcW w:w="3578" w:type="dxa"/>
            <w:tcBorders>
              <w:top w:val="nil"/>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 xml:space="preserve">POP-monitoringsysteem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Aanvraagformulieren van begunstigden (begin van het project)</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Betalingsverzoeken van begunstigden (einde van project)</w:t>
            </w:r>
          </w:p>
        </w:tc>
      </w:tr>
      <w:tr w:rsidR="00A45935" w:rsidRPr="00E05D08" w:rsidTr="005520BA">
        <w:trPr>
          <w:trHeight w:val="1003"/>
        </w:trPr>
        <w:tc>
          <w:tcPr>
            <w:tcW w:w="3578" w:type="dxa"/>
            <w:tcBorders>
              <w:bottom w:val="single" w:sz="4" w:space="0" w:color="808080"/>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Concrete samenwerkingsacties tussen landbouw, voedselproductie, bosbouw, onderzoek en innovatie ten behoeve van een beter milieubeheer en betere milieuprestaties zijn uitgevoerd.</w:t>
            </w:r>
          </w:p>
        </w:tc>
        <w:tc>
          <w:tcPr>
            <w:tcW w:w="3578" w:type="dxa"/>
            <w:tcBorders>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 xml:space="preserve">D2: Totaal aantal in het kader van de samenwerkingsmaatregel gesteunde concrete acties inzake samenwerking (art. 35 van Verordening (EU) nr. 1305/2013 (groepen, netwerken/clusters, proefprojecten). </w:t>
            </w:r>
          </w:p>
          <w:p w:rsidR="00A45935" w:rsidRPr="00385368" w:rsidRDefault="00A45935" w:rsidP="007E63EF">
            <w:pPr>
              <w:spacing w:after="120" w:line="280" w:lineRule="atLeast"/>
              <w:ind w:left="75" w:right="61"/>
              <w:mirrorIndents/>
              <w:jc w:val="left"/>
              <w:rPr>
                <w:rFonts w:cs="Arial"/>
                <w:color w:val="57825E"/>
                <w:sz w:val="18"/>
                <w:szCs w:val="18"/>
              </w:rPr>
            </w:pPr>
            <w:r>
              <w:rPr>
                <w:color w:val="57825E"/>
                <w:sz w:val="18"/>
                <w:szCs w:val="18"/>
                <w:u w:val="single"/>
              </w:rPr>
              <w:t>Aanvullende indicator:</w:t>
            </w:r>
            <w:r>
              <w:rPr>
                <w:color w:val="57825E"/>
                <w:sz w:val="18"/>
                <w:szCs w:val="18"/>
              </w:rPr>
              <w:t xml:space="preserve"> Percentage van concrete samenwerkingsacties dat na afloop van de steun uit het POP, mede </w:t>
            </w:r>
            <w:r>
              <w:rPr>
                <w:color w:val="57825E"/>
                <w:sz w:val="18"/>
                <w:szCs w:val="18"/>
              </w:rPr>
              <w:lastRenderedPageBreak/>
              <w:t>met het oog op beter milieubeheer en betere milieuprestaties, wordt voortgezet.</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t>Aanvullende indicator:</w:t>
            </w:r>
            <w:r>
              <w:rPr>
                <w:color w:val="57825E"/>
                <w:sz w:val="18"/>
                <w:szCs w:val="18"/>
              </w:rPr>
              <w:t xml:space="preserve"> Aantal en soorten partners betrokken bij samenwerkingsprojecten, met inbegrip van hun taken en verantwoordelijkheden.</w:t>
            </w:r>
          </w:p>
        </w:tc>
        <w:tc>
          <w:tcPr>
            <w:tcW w:w="3578" w:type="dxa"/>
            <w:tcBorders>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lastRenderedPageBreak/>
              <w:t>Aantal door EIP gesteunde acties (gegeven O16) dat verband houdt met beter milieubeheer en betere milieuprestaties.</w:t>
            </w:r>
          </w:p>
          <w:p w:rsidR="00A45935" w:rsidRPr="00385368" w:rsidRDefault="00A45935" w:rsidP="007E63EF">
            <w:pPr>
              <w:spacing w:after="120" w:line="280" w:lineRule="atLeast"/>
              <w:ind w:left="11" w:right="12"/>
              <w:mirrorIndents/>
              <w:jc w:val="left"/>
              <w:rPr>
                <w:rFonts w:cs="Arial"/>
                <w:sz w:val="18"/>
                <w:szCs w:val="18"/>
              </w:rPr>
            </w:pPr>
            <w:r>
              <w:rPr>
                <w:sz w:val="18"/>
                <w:szCs w:val="18"/>
              </w:rPr>
              <w:t xml:space="preserve">Aantal andere samenwerkingsoperaties (groepen, netwerken/clusters, proefprojecten) dat ondersteuning behoeft in het kader van M16: "Samenwerking" (gegeven O17) en </w:t>
            </w:r>
            <w:r>
              <w:rPr>
                <w:sz w:val="18"/>
                <w:szCs w:val="18"/>
              </w:rPr>
              <w:lastRenderedPageBreak/>
              <w:t>betrekking heeft op beter milieubeheer en betere milieuprestaties.</w:t>
            </w:r>
          </w:p>
          <w:p w:rsidR="00A45935" w:rsidRPr="00385368" w:rsidRDefault="00A45935" w:rsidP="007E63EF">
            <w:pPr>
              <w:spacing w:after="120" w:line="280" w:lineRule="atLeast"/>
              <w:ind w:left="11" w:right="12"/>
              <w:mirrorIndents/>
              <w:jc w:val="left"/>
              <w:rPr>
                <w:rFonts w:cs="Arial"/>
                <w:sz w:val="18"/>
                <w:szCs w:val="18"/>
              </w:rPr>
            </w:pPr>
            <w:r>
              <w:rPr>
                <w:sz w:val="18"/>
                <w:szCs w:val="18"/>
              </w:rPr>
              <w:t>Soorten en aantal betrokken partners.</w:t>
            </w:r>
          </w:p>
        </w:tc>
        <w:tc>
          <w:tcPr>
            <w:tcW w:w="3578" w:type="dxa"/>
            <w:tcBorders>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lastRenderedPageBreak/>
              <w:t xml:space="preserve">POP-monitoringsysteem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Aanvraagformulieren van begunstigden (begin van het project)</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Betalingsverzoeken van begunstigden (einde van project)</w:t>
            </w:r>
          </w:p>
        </w:tc>
      </w:tr>
      <w:tr w:rsidR="00A45935" w:rsidRPr="00E05D08" w:rsidTr="005520BA">
        <w:tc>
          <w:tcPr>
            <w:tcW w:w="3578" w:type="dxa"/>
            <w:tcBorders>
              <w:top w:val="single" w:sz="4" w:space="0" w:color="808080"/>
            </w:tcBorders>
          </w:tcPr>
          <w:p w:rsidR="00A45935" w:rsidRPr="00EE73A7" w:rsidRDefault="00A45935" w:rsidP="00E05D08">
            <w:pPr>
              <w:spacing w:after="120" w:line="280" w:lineRule="atLeast"/>
              <w:ind w:left="29" w:right="110"/>
              <w:mirrorIndents/>
              <w:rPr>
                <w:rFonts w:cs="Arial"/>
                <w:sz w:val="18"/>
                <w:szCs w:val="18"/>
                <w:lang w:val="nl-BE"/>
              </w:rPr>
            </w:pPr>
          </w:p>
        </w:tc>
        <w:tc>
          <w:tcPr>
            <w:tcW w:w="3578" w:type="dxa"/>
            <w:tcBorders>
              <w:top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O3 Aantal gesteunde concrete acties</w:t>
            </w:r>
          </w:p>
        </w:tc>
        <w:tc>
          <w:tcPr>
            <w:tcW w:w="3578" w:type="dxa"/>
            <w:tcBorders>
              <w:top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Totaal aantal gesteunde concrete acties.</w:t>
            </w:r>
          </w:p>
          <w:p w:rsidR="00A45935" w:rsidRPr="00385368" w:rsidRDefault="00A45935" w:rsidP="007E63EF">
            <w:pPr>
              <w:spacing w:after="120" w:line="280" w:lineRule="atLeast"/>
              <w:ind w:left="11" w:right="12"/>
              <w:mirrorIndents/>
              <w:jc w:val="left"/>
              <w:rPr>
                <w:rFonts w:cs="Arial"/>
                <w:sz w:val="18"/>
                <w:szCs w:val="18"/>
              </w:rPr>
            </w:pPr>
            <w:r>
              <w:rPr>
                <w:sz w:val="18"/>
                <w:szCs w:val="18"/>
              </w:rPr>
              <w:t>Aantal ondersteunde samenwerkingsoperaties (O16+O17).</w:t>
            </w:r>
          </w:p>
        </w:tc>
        <w:tc>
          <w:tcPr>
            <w:tcW w:w="3578" w:type="dxa"/>
            <w:tcBorders>
              <w:top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POP-monitoringsysteem</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Aanvraagformulieren van begunstigden (begin van het project)</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Betalingsverzoeken van begunstigden (einde van project)</w:t>
            </w:r>
          </w:p>
        </w:tc>
      </w:tr>
      <w:tr w:rsidR="00A45935" w:rsidRPr="00E05D08" w:rsidTr="00E05D08">
        <w:tc>
          <w:tcPr>
            <w:tcW w:w="14312" w:type="dxa"/>
            <w:gridSpan w:val="4"/>
            <w:shd w:val="clear" w:color="auto" w:fill="8BAB80"/>
          </w:tcPr>
          <w:p w:rsidR="00A45935" w:rsidRPr="00E05D08" w:rsidRDefault="00A45935" w:rsidP="00E05D08">
            <w:pPr>
              <w:spacing w:after="120" w:line="280" w:lineRule="atLeast"/>
              <w:ind w:left="355" w:right="31"/>
              <w:mirrorIndents/>
              <w:rPr>
                <w:rFonts w:cs="Arial"/>
                <w:b/>
                <w:color w:val="FFFFFF"/>
                <w:sz w:val="18"/>
                <w:szCs w:val="18"/>
              </w:rPr>
            </w:pPr>
            <w:r>
              <w:rPr>
                <w:b/>
                <w:color w:val="FFFFFF"/>
                <w:sz w:val="18"/>
                <w:szCs w:val="18"/>
              </w:rPr>
              <w:t>Aanvullende evaluatie-elementen (optioneel)</w:t>
            </w:r>
          </w:p>
        </w:tc>
      </w:tr>
      <w:tr w:rsidR="00A45935" w:rsidRPr="00E05D08" w:rsidTr="00E05D08">
        <w:tc>
          <w:tcPr>
            <w:tcW w:w="3578" w:type="dxa"/>
          </w:tcPr>
          <w:p w:rsidR="00A45935" w:rsidRPr="00385368" w:rsidRDefault="00A45935" w:rsidP="007E63EF">
            <w:pPr>
              <w:spacing w:after="120" w:line="280" w:lineRule="atLeast"/>
              <w:ind w:left="29" w:right="110"/>
              <w:mirrorIndents/>
              <w:jc w:val="left"/>
              <w:rPr>
                <w:rFonts w:cs="Arial"/>
                <w:sz w:val="18"/>
                <w:szCs w:val="18"/>
              </w:rPr>
            </w:pPr>
            <w:r>
              <w:rPr>
                <w:sz w:val="18"/>
                <w:szCs w:val="18"/>
              </w:rPr>
              <w:t>Samenwerkingsprojecten hebben de innovatiecapaciteit verbeterd, ook op het gebied van milieubeheer en milieuprestaties.</w:t>
            </w:r>
          </w:p>
        </w:tc>
        <w:tc>
          <w:tcPr>
            <w:tcW w:w="3578" w:type="dxa"/>
          </w:tcPr>
          <w:p w:rsidR="00A45935" w:rsidRPr="00385368" w:rsidRDefault="00A45935" w:rsidP="007E63EF">
            <w:pPr>
              <w:spacing w:after="120" w:line="280" w:lineRule="atLeast"/>
              <w:ind w:left="75" w:right="61"/>
              <w:mirrorIndents/>
              <w:jc w:val="left"/>
              <w:rPr>
                <w:rFonts w:cs="Arial"/>
                <w:sz w:val="18"/>
                <w:szCs w:val="18"/>
              </w:rPr>
            </w:pPr>
            <w:r>
              <w:rPr>
                <w:sz w:val="18"/>
                <w:szCs w:val="18"/>
              </w:rPr>
              <w:t xml:space="preserve">Aantal en soort van uit samenwerkingsprojecten voortgevloeide innovaties, waaronder innovaties gericht op milieubeheer en milieuprestaties. </w:t>
            </w:r>
          </w:p>
        </w:tc>
        <w:tc>
          <w:tcPr>
            <w:tcW w:w="3578" w:type="dxa"/>
          </w:tcPr>
          <w:p w:rsidR="00A45935" w:rsidRPr="00385368" w:rsidRDefault="00A45935" w:rsidP="007E63EF">
            <w:pPr>
              <w:spacing w:after="120" w:line="280" w:lineRule="atLeast"/>
              <w:ind w:left="11" w:right="12"/>
              <w:mirrorIndents/>
              <w:jc w:val="left"/>
              <w:rPr>
                <w:rFonts w:cs="Arial"/>
                <w:sz w:val="18"/>
                <w:szCs w:val="18"/>
              </w:rPr>
            </w:pPr>
            <w:r>
              <w:rPr>
                <w:sz w:val="18"/>
                <w:szCs w:val="18"/>
              </w:rPr>
              <w:t>Aantal voortgebrachte innovaties.</w:t>
            </w:r>
          </w:p>
          <w:p w:rsidR="00A45935" w:rsidRPr="00385368" w:rsidRDefault="00A45935" w:rsidP="007E63EF">
            <w:pPr>
              <w:spacing w:after="120" w:line="280" w:lineRule="atLeast"/>
              <w:ind w:left="11" w:right="12"/>
              <w:mirrorIndents/>
              <w:jc w:val="left"/>
              <w:rPr>
                <w:rFonts w:cs="Arial"/>
                <w:sz w:val="18"/>
                <w:szCs w:val="18"/>
              </w:rPr>
            </w:pPr>
            <w:r>
              <w:rPr>
                <w:sz w:val="18"/>
                <w:szCs w:val="18"/>
              </w:rPr>
              <w:t>Aantal innovaties ten behoeve van beter milieubeheer en betere milieuprestaties.</w:t>
            </w:r>
          </w:p>
        </w:tc>
        <w:tc>
          <w:tcPr>
            <w:tcW w:w="3578" w:type="dxa"/>
          </w:tcPr>
          <w:p w:rsidR="00A45935" w:rsidRPr="00385368" w:rsidRDefault="00A45935" w:rsidP="007E63EF">
            <w:pPr>
              <w:spacing w:after="120" w:line="280" w:lineRule="atLeast"/>
              <w:ind w:right="31"/>
              <w:mirrorIndents/>
              <w:jc w:val="left"/>
              <w:rPr>
                <w:rFonts w:cs="Arial"/>
                <w:sz w:val="18"/>
                <w:szCs w:val="18"/>
              </w:rPr>
            </w:pPr>
            <w:r>
              <w:rPr>
                <w:sz w:val="18"/>
                <w:szCs w:val="18"/>
              </w:rPr>
              <w:t>Enquêtes.</w:t>
            </w:r>
          </w:p>
          <w:p w:rsidR="00A45935" w:rsidRPr="00385368" w:rsidRDefault="00A45935" w:rsidP="007E63EF">
            <w:pPr>
              <w:spacing w:after="120" w:line="280" w:lineRule="atLeast"/>
              <w:ind w:right="31"/>
              <w:mirrorIndents/>
              <w:jc w:val="left"/>
              <w:rPr>
                <w:rFonts w:cs="Arial"/>
                <w:sz w:val="18"/>
                <w:szCs w:val="18"/>
              </w:rPr>
            </w:pPr>
            <w:r>
              <w:rPr>
                <w:sz w:val="18"/>
                <w:szCs w:val="18"/>
              </w:rPr>
              <w:t>Interviews met en focusgroepen van deelnemers aan samenwerkingsprojecten.</w:t>
            </w:r>
          </w:p>
          <w:p w:rsidR="00A45935" w:rsidRPr="00E05D08" w:rsidRDefault="00A45935" w:rsidP="007E63EF">
            <w:pPr>
              <w:spacing w:after="120" w:line="280" w:lineRule="atLeast"/>
              <w:ind w:right="31"/>
              <w:mirrorIndents/>
              <w:jc w:val="left"/>
              <w:rPr>
                <w:rFonts w:cs="Arial"/>
                <w:sz w:val="18"/>
                <w:szCs w:val="18"/>
              </w:rPr>
            </w:pPr>
            <w:r>
              <w:rPr>
                <w:sz w:val="18"/>
                <w:szCs w:val="18"/>
              </w:rPr>
              <w:t>GIS.</w:t>
            </w:r>
          </w:p>
        </w:tc>
      </w:tr>
    </w:tbl>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lastRenderedPageBreak/>
        <w:t xml:space="preserve">Voorgestelde evaluatiemethodologie </w:t>
      </w:r>
    </w:p>
    <w:p w:rsidR="00A45935" w:rsidRPr="00E05D08" w:rsidRDefault="00A45935" w:rsidP="00E05D08">
      <w:pPr>
        <w:spacing w:after="120" w:line="280" w:lineRule="atLeast"/>
        <w:mirrorIndents/>
        <w:rPr>
          <w:rFonts w:eastAsia="Times New Roman" w:cs="Times New Roman"/>
          <w:color w:val="F07E31"/>
          <w:szCs w:val="20"/>
          <w:u w:val="single"/>
        </w:rPr>
      </w:pPr>
      <w:r>
        <w:t>De berekening van de gemeenschappelijke indicatoren die aan CEQ 2 gekoppeld zijn, is beschreven in bijlage 11 van de richtsnoeren: "</w:t>
      </w:r>
      <w:hyperlink r:id="rId50" w:history="1">
        <w:r>
          <w:rPr>
            <w:color w:val="F07E31"/>
            <w:szCs w:val="20"/>
            <w:u w:val="single"/>
          </w:rPr>
          <w:t>Assessment of RDP results: how to prepare for reporting on evaluation in 2017</w:t>
        </w:r>
      </w:hyperlink>
      <w:r>
        <w:t>".</w:t>
      </w:r>
    </w:p>
    <w:p w:rsidR="00A45935" w:rsidRPr="00E05D08" w:rsidRDefault="00A45935" w:rsidP="00E05D08">
      <w:pPr>
        <w:spacing w:after="120" w:line="280" w:lineRule="atLeast"/>
        <w:mirrorIndents/>
        <w:rPr>
          <w:rFonts w:eastAsia="Times New Roman" w:cs="Times New Roman"/>
          <w:szCs w:val="20"/>
        </w:rPr>
      </w:pPr>
      <w:r>
        <w:t>Voor de beoordeling van het innovatiegerelateerde deel van CEQ nr. 2 worden de volgende stappen voorgesteld.</w:t>
      </w:r>
    </w:p>
    <w:p w:rsidR="00A45935" w:rsidRPr="008F1F04" w:rsidRDefault="00A45935" w:rsidP="00547012">
      <w:pPr>
        <w:pStyle w:val="Hlistbullet"/>
      </w:pPr>
      <w:r>
        <w:rPr>
          <w:b/>
        </w:rPr>
        <w:t>STAP 1: Begunstigden van M16</w:t>
      </w:r>
      <w:r>
        <w:t xml:space="preserve"> en submaatregelen daarvan vaststellen in overeenstemming met de beoordelingsresultaten inzake hun innovatiepotentieel (begunstigden die als innovatief aangemerkte acties geïmplementeerd hebben). </w:t>
      </w:r>
    </w:p>
    <w:p w:rsidR="00A45935" w:rsidRPr="008F1F04" w:rsidRDefault="00A45935" w:rsidP="00547012">
      <w:pPr>
        <w:pStyle w:val="Hlistbullet"/>
      </w:pPr>
      <w:r>
        <w:rPr>
          <w:b/>
        </w:rPr>
        <w:t>STAP 2: Output- en doelindicatoren kwantificeren</w:t>
      </w:r>
      <w:r>
        <w:t xml:space="preserve"> met behulp van de monitoringgegevens van OG's uit de database met concrete acties van het POP. Om de database met concrete acties te kunnen gebruiken voor de evaluatie van innovatie, kan de beheersautoriteit gegevens, gerelateerd aan OG's en aan innovatie, toevoegen en verzamelen. </w:t>
      </w:r>
    </w:p>
    <w:p w:rsidR="00A45935" w:rsidRPr="008F1F04" w:rsidRDefault="00A45935" w:rsidP="00547012">
      <w:pPr>
        <w:pStyle w:val="Hlistbullet"/>
      </w:pPr>
      <w:r>
        <w:rPr>
          <w:b/>
        </w:rPr>
        <w:t xml:space="preserve">STAP 3: </w:t>
      </w:r>
      <w:r>
        <w:t xml:space="preserve">Met behulp van opgegeven methoden </w:t>
      </w:r>
      <w:r>
        <w:rPr>
          <w:b/>
        </w:rPr>
        <w:t>informatie ter beantwoording van de CEQ verzamelen.</w:t>
      </w:r>
      <w:r>
        <w:t xml:space="preserve"> Open vragen formuleren voor gebruik van de methoden in onderstaande tabel (enquêtes, focusgroepen en Delphi-methode) met inachtneming van de voorgestelde criteria en indicatoren en de beoordelingsresultaten inzake het innovatiepotentieel.</w:t>
      </w:r>
    </w:p>
    <w:p w:rsidR="00A45935" w:rsidRPr="008F1F04" w:rsidRDefault="00A45935" w:rsidP="00547012">
      <w:pPr>
        <w:pStyle w:val="Hlistbullet"/>
      </w:pPr>
      <w:r>
        <w:rPr>
          <w:b/>
        </w:rPr>
        <w:t>STAP 4: De verzamelde informatie analyseren en interpreteren</w:t>
      </w:r>
      <w:r>
        <w:t xml:space="preserve"> en vervolgens gebruiken om CEQ nr. 2 te beantwoorden met betrekking tot de versterking van de verbindingen met het oog op innovatie.</w:t>
      </w:r>
    </w:p>
    <w:p w:rsidR="00A45935" w:rsidRPr="00897804" w:rsidRDefault="00A45935" w:rsidP="00897804">
      <w:pPr>
        <w:pStyle w:val="HHeadingtables"/>
        <w:rPr>
          <w:color w:val="6F6F6F"/>
          <w:sz w:val="18"/>
          <w:szCs w:val="18"/>
        </w:rPr>
      </w:pPr>
      <w:bookmarkStart w:id="117" w:name="_Toc511656285"/>
      <w:r>
        <w:rPr>
          <w:color w:val="6F6F6F"/>
          <w:sz w:val="18"/>
          <w:szCs w:val="18"/>
        </w:rPr>
        <w:t>Aanbevolen methoden voor CEQ nr. 2</w:t>
      </w:r>
      <w:bookmarkEnd w:id="117"/>
      <w:r>
        <w:rPr>
          <w:color w:val="6F6F6F"/>
          <w:sz w:val="18"/>
          <w:szCs w:val="18"/>
        </w:rPr>
        <w:t xml:space="preserve">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E05D08" w:rsidTr="00E05D08">
        <w:tc>
          <w:tcPr>
            <w:tcW w:w="2405"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Methoden</w:t>
            </w:r>
          </w:p>
        </w:tc>
        <w:tc>
          <w:tcPr>
            <w:tcW w:w="6612"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Tips voor het gebruik van de methoden</w:t>
            </w:r>
          </w:p>
        </w:tc>
      </w:tr>
      <w:tr w:rsidR="00A45935" w:rsidRPr="00E05D08" w:rsidTr="00E05D08">
        <w:tc>
          <w:tcPr>
            <w:tcW w:w="2405" w:type="dxa"/>
          </w:tcPr>
          <w:p w:rsidR="00A45935" w:rsidRPr="00385368" w:rsidRDefault="00A45935" w:rsidP="000E0FE4">
            <w:pPr>
              <w:spacing w:after="120" w:line="280" w:lineRule="atLeast"/>
              <w:ind w:left="22" w:right="91"/>
              <w:mirrorIndents/>
              <w:jc w:val="left"/>
              <w:rPr>
                <w:sz w:val="18"/>
                <w:szCs w:val="18"/>
              </w:rPr>
            </w:pPr>
            <w:r>
              <w:rPr>
                <w:sz w:val="18"/>
                <w:szCs w:val="18"/>
              </w:rPr>
              <w:t>Enquête onder begunstigden van samenwerkingsprojecten en eindbegunstigden</w:t>
            </w:r>
          </w:p>
        </w:tc>
        <w:tc>
          <w:tcPr>
            <w:tcW w:w="6612" w:type="dxa"/>
          </w:tcPr>
          <w:p w:rsidR="00A45935" w:rsidRPr="00385368" w:rsidRDefault="00A45935" w:rsidP="008C0B17">
            <w:pPr>
              <w:numPr>
                <w:ilvl w:val="0"/>
                <w:numId w:val="21"/>
              </w:numPr>
              <w:spacing w:before="60" w:after="120" w:line="280" w:lineRule="atLeast"/>
              <w:ind w:left="459"/>
              <w:rPr>
                <w:sz w:val="18"/>
                <w:szCs w:val="18"/>
              </w:rPr>
            </w:pPr>
            <w:r>
              <w:rPr>
                <w:sz w:val="18"/>
                <w:szCs w:val="18"/>
              </w:rPr>
              <w:t>Een steekproef van samenwerkingsprojecten nemen (bv. per sector, grootte van OG, geografie enz.) om via een enquête gegevens en informatie van begunstigden te verzamelen voor indicatoren.</w:t>
            </w:r>
          </w:p>
          <w:p w:rsidR="00A45935" w:rsidRPr="00385368" w:rsidRDefault="00A45935" w:rsidP="008C0B17">
            <w:pPr>
              <w:numPr>
                <w:ilvl w:val="0"/>
                <w:numId w:val="21"/>
              </w:numPr>
              <w:spacing w:before="60" w:after="120" w:line="280" w:lineRule="atLeast"/>
              <w:ind w:left="459"/>
              <w:rPr>
                <w:sz w:val="18"/>
                <w:szCs w:val="18"/>
              </w:rPr>
            </w:pPr>
            <w:r>
              <w:rPr>
                <w:sz w:val="18"/>
                <w:szCs w:val="18"/>
              </w:rPr>
              <w:t>Onder meer samenwerkingsprojecten selecteren die gevolgen kunnen hebben voor milieubeheer en milieuprestaties (bv. submaatregelen 5, 6, 8 en 9 of operationele groepen op dit gebied - M16.1).</w:t>
            </w:r>
          </w:p>
          <w:p w:rsidR="00A45935" w:rsidRPr="00385368" w:rsidRDefault="00A45935" w:rsidP="008C0B17">
            <w:pPr>
              <w:numPr>
                <w:ilvl w:val="0"/>
                <w:numId w:val="21"/>
              </w:numPr>
              <w:spacing w:before="60" w:after="120" w:line="280" w:lineRule="atLeast"/>
              <w:ind w:left="459"/>
              <w:rPr>
                <w:sz w:val="18"/>
                <w:szCs w:val="18"/>
              </w:rPr>
            </w:pPr>
            <w:r>
              <w:rPr>
                <w:sz w:val="18"/>
                <w:szCs w:val="18"/>
              </w:rPr>
              <w:t>De enquêtes samenstellen, met inbegrip van open vragen over de manier waarop samenwerkingsprojecten bijdragen aan: a) het delen van innovatieve ideeën, b) het opbouwen van innovatiecapaciteit, c) het scheppen van een faciliterende omgeving voor innovatie.</w:t>
            </w:r>
          </w:p>
          <w:p w:rsidR="00A45935" w:rsidRPr="00385368" w:rsidRDefault="00A45935" w:rsidP="008C0B17">
            <w:pPr>
              <w:numPr>
                <w:ilvl w:val="0"/>
                <w:numId w:val="21"/>
              </w:numPr>
              <w:spacing w:before="60" w:after="120" w:line="280" w:lineRule="atLeast"/>
              <w:ind w:left="459"/>
            </w:pPr>
            <w:r>
              <w:rPr>
                <w:sz w:val="18"/>
                <w:szCs w:val="18"/>
              </w:rPr>
              <w:t>De resultaten van de enquêtes gebruiken om: vast te stellen op welke manier verschillende vormen van samenwerkingsprojecten (samenwerking tussen verschillende actoren, clusters en netwerken en operationele groepen) bijdragen aan sterkere verbindingen tussen onderzoek/innovatie en praktijk.</w:t>
            </w:r>
          </w:p>
        </w:tc>
      </w:tr>
      <w:tr w:rsidR="00A45935" w:rsidRPr="00E05D08" w:rsidTr="00E05D08">
        <w:tc>
          <w:tcPr>
            <w:tcW w:w="2405" w:type="dxa"/>
          </w:tcPr>
          <w:p w:rsidR="00A45935" w:rsidRPr="00E05D08" w:rsidRDefault="00A45935" w:rsidP="000E0FE4">
            <w:pPr>
              <w:spacing w:after="120" w:line="280" w:lineRule="atLeast"/>
              <w:ind w:left="22" w:right="143"/>
              <w:mirrorIndents/>
              <w:jc w:val="left"/>
              <w:rPr>
                <w:sz w:val="18"/>
                <w:szCs w:val="18"/>
              </w:rPr>
            </w:pPr>
            <w:r>
              <w:rPr>
                <w:sz w:val="18"/>
                <w:szCs w:val="18"/>
              </w:rPr>
              <w:t>Gestructureerde focusgroepen</w:t>
            </w:r>
          </w:p>
        </w:tc>
        <w:tc>
          <w:tcPr>
            <w:tcW w:w="6612" w:type="dxa"/>
          </w:tcPr>
          <w:p w:rsidR="00A45935" w:rsidRPr="00385368" w:rsidRDefault="00A45935" w:rsidP="008C0B17">
            <w:pPr>
              <w:numPr>
                <w:ilvl w:val="0"/>
                <w:numId w:val="22"/>
              </w:numPr>
              <w:spacing w:before="60" w:after="120" w:line="280" w:lineRule="atLeast"/>
              <w:ind w:left="459"/>
              <w:rPr>
                <w:sz w:val="18"/>
                <w:szCs w:val="18"/>
              </w:rPr>
            </w:pPr>
            <w:r>
              <w:rPr>
                <w:sz w:val="18"/>
                <w:szCs w:val="18"/>
              </w:rPr>
              <w:t>Focusgroepen organiseren met belanghebbenden van innovatie (bv. innovatiesteundiensten, adviseurs die fungeren als innovatiebemiddelaars, onderzoeks- en innovatiecentra enz.).</w:t>
            </w:r>
          </w:p>
          <w:p w:rsidR="00A45935" w:rsidRPr="00385368" w:rsidRDefault="00A45935" w:rsidP="008C0B17">
            <w:pPr>
              <w:numPr>
                <w:ilvl w:val="0"/>
                <w:numId w:val="22"/>
              </w:numPr>
              <w:spacing w:before="60" w:after="120" w:line="280" w:lineRule="atLeast"/>
              <w:ind w:left="459"/>
              <w:rPr>
                <w:sz w:val="18"/>
                <w:szCs w:val="18"/>
              </w:rPr>
            </w:pPr>
            <w:r>
              <w:rPr>
                <w:sz w:val="18"/>
                <w:szCs w:val="18"/>
              </w:rPr>
              <w:t>Analyseren welke invloed verbindingen tussen belanghebbenden uitoefenen op de innovatiecapaciteit en het vermogen een faciliterende omgeving voor innovatie te scheppen.</w:t>
            </w:r>
          </w:p>
          <w:p w:rsidR="00A45935" w:rsidRPr="00385368" w:rsidRDefault="00A45935" w:rsidP="008C0B17">
            <w:pPr>
              <w:numPr>
                <w:ilvl w:val="0"/>
                <w:numId w:val="22"/>
              </w:numPr>
              <w:spacing w:before="60" w:after="120" w:line="280" w:lineRule="atLeast"/>
              <w:ind w:left="459"/>
              <w:rPr>
                <w:sz w:val="18"/>
                <w:szCs w:val="18"/>
              </w:rPr>
            </w:pPr>
            <w:r>
              <w:rPr>
                <w:sz w:val="18"/>
                <w:szCs w:val="18"/>
              </w:rPr>
              <w:lastRenderedPageBreak/>
              <w:t>De mogelijkheid van thematische focusgroepen overwegen (bv. een focusgroep voor samenwerkingsprojecten die zich bezighoudt met milieukwesties, een andere voor operationele groepen van het EIP enz.).</w:t>
            </w:r>
          </w:p>
        </w:tc>
      </w:tr>
      <w:tr w:rsidR="00A45935" w:rsidRPr="00E05D08" w:rsidTr="00E05D08">
        <w:tc>
          <w:tcPr>
            <w:tcW w:w="2405" w:type="dxa"/>
          </w:tcPr>
          <w:p w:rsidR="00A45935" w:rsidRPr="00E05D08" w:rsidRDefault="00A45935" w:rsidP="000E0FE4">
            <w:pPr>
              <w:spacing w:after="120" w:line="280" w:lineRule="atLeast"/>
              <w:ind w:right="143"/>
              <w:mirrorIndents/>
              <w:jc w:val="left"/>
              <w:rPr>
                <w:sz w:val="18"/>
                <w:szCs w:val="18"/>
              </w:rPr>
            </w:pPr>
            <w:r>
              <w:rPr>
                <w:sz w:val="18"/>
                <w:szCs w:val="18"/>
              </w:rPr>
              <w:lastRenderedPageBreak/>
              <w:t>Delphi-methode</w:t>
            </w:r>
          </w:p>
        </w:tc>
        <w:tc>
          <w:tcPr>
            <w:tcW w:w="6612" w:type="dxa"/>
          </w:tcPr>
          <w:p w:rsidR="00A45935" w:rsidRPr="00385368" w:rsidRDefault="0050721E" w:rsidP="008C0B17">
            <w:pPr>
              <w:numPr>
                <w:ilvl w:val="0"/>
                <w:numId w:val="23"/>
              </w:numPr>
              <w:spacing w:before="60" w:after="120" w:line="280" w:lineRule="atLeast"/>
              <w:ind w:left="459"/>
              <w:rPr>
                <w:sz w:val="18"/>
                <w:szCs w:val="18"/>
              </w:rPr>
            </w:pPr>
            <w:r>
              <w:rPr>
                <w:sz w:val="18"/>
                <w:szCs w:val="18"/>
              </w:rPr>
              <w:t>Een Delphi-proces met innovatiedeskundigen organiseren (bv. deskundigen die betrokken zijn bij samenwerkingsprojecten, maar ook academici enz.) om te komen tot een oordeel over de relevante criteria.</w:t>
            </w:r>
          </w:p>
        </w:tc>
      </w:tr>
    </w:tbl>
    <w:p w:rsidR="00A45935" w:rsidRPr="00E05D08" w:rsidRDefault="00A45935" w:rsidP="00E05D08">
      <w:pPr>
        <w:spacing w:after="0" w:line="240" w:lineRule="auto"/>
        <w:rPr>
          <w:rFonts w:eastAsia="Times New Roman" w:cs="Times New Roman"/>
          <w:sz w:val="18"/>
          <w:szCs w:val="24"/>
        </w:rPr>
      </w:pPr>
      <w:r>
        <w:br w:type="page"/>
      </w:r>
    </w:p>
    <w:p w:rsidR="00A45935" w:rsidRPr="00E05D08" w:rsidRDefault="00A45935"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w:lastRenderedPageBreak/>
        <mc:AlternateContent>
          <mc:Choice Requires="wps">
            <w:drawing>
              <wp:inline distT="0" distB="0" distL="0" distR="0" wp14:anchorId="1DD8511E" wp14:editId="0EACBC86">
                <wp:extent cx="5707380" cy="4648200"/>
                <wp:effectExtent l="0" t="0" r="26670" b="19050"/>
                <wp:docPr id="26" name="Rectangle: Diagonal Corners Rounded 26"/>
                <wp:cNvGraphicFramePr/>
                <a:graphic xmlns:a="http://schemas.openxmlformats.org/drawingml/2006/main">
                  <a:graphicData uri="http://schemas.microsoft.com/office/word/2010/wordprocessingShape">
                    <wps:wsp>
                      <wps:cNvSpPr/>
                      <wps:spPr>
                        <a:xfrm>
                          <a:off x="0" y="0"/>
                          <a:ext cx="5707380" cy="4648200"/>
                        </a:xfrm>
                        <a:prstGeom prst="round2DiagRect">
                          <a:avLst>
                            <a:gd name="adj1" fmla="val 7299"/>
                            <a:gd name="adj2" fmla="val 0"/>
                          </a:avLst>
                        </a:prstGeom>
                        <a:noFill/>
                        <a:ln w="25400" cap="flat" cmpd="sng" algn="ctr">
                          <a:solidFill>
                            <a:srgbClr val="F07E31"/>
                          </a:solidFill>
                          <a:prstDash val="solid"/>
                        </a:ln>
                        <a:effectLst/>
                      </wps:spPr>
                      <wps:txbx>
                        <w:txbxContent>
                          <w:p w:rsidR="00891EED" w:rsidRPr="001954EB" w:rsidRDefault="00891EED" w:rsidP="00E05D08">
                            <w:pPr>
                              <w:pStyle w:val="HStandard"/>
                              <w:rPr>
                                <w:b/>
                                <w:color w:val="F07E31"/>
                                <w:sz w:val="18"/>
                                <w:szCs w:val="18"/>
                              </w:rPr>
                            </w:pPr>
                            <w:r>
                              <w:rPr>
                                <w:noProof/>
                                <w:sz w:val="18"/>
                                <w:szCs w:val="18"/>
                                <w:lang w:val="en-GB" w:eastAsia="en-GB"/>
                              </w:rPr>
                              <w:drawing>
                                <wp:inline distT="0" distB="0" distL="0" distR="0" wp14:anchorId="7C7F2E15" wp14:editId="3617E01A">
                                  <wp:extent cx="353060" cy="359410"/>
                                  <wp:effectExtent l="0" t="0" r="8890" b="2540"/>
                                  <wp:docPr id="70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Voorbeelden uit de JUV's die in 2017 zijn ingediend</w:t>
                            </w:r>
                          </w:p>
                          <w:p w:rsidR="00891EED" w:rsidRPr="00547012" w:rsidRDefault="00891EED" w:rsidP="00E05D08">
                            <w:pPr>
                              <w:rPr>
                                <w:rFonts w:cs="Arial"/>
                                <w:sz w:val="18"/>
                                <w:szCs w:val="18"/>
                              </w:rPr>
                            </w:pPr>
                            <w:r>
                              <w:rPr>
                                <w:b/>
                                <w:sz w:val="18"/>
                                <w:szCs w:val="18"/>
                              </w:rPr>
                              <w:t>Mecklenburg-Vorpommern (DE) -</w:t>
                            </w:r>
                            <w:r>
                              <w:rPr>
                                <w:sz w:val="18"/>
                                <w:szCs w:val="18"/>
                              </w:rPr>
                              <w:t xml:space="preserve"> gebruikt drie beoordelingscriteria met betrekking tot innovatie:</w:t>
                            </w:r>
                          </w:p>
                          <w:p w:rsidR="00891EED" w:rsidRPr="001954EB" w:rsidRDefault="00891EED" w:rsidP="008C0B17">
                            <w:pPr>
                              <w:numPr>
                                <w:ilvl w:val="0"/>
                                <w:numId w:val="57"/>
                              </w:numPr>
                              <w:rPr>
                                <w:rFonts w:cs="Arial"/>
                                <w:sz w:val="18"/>
                                <w:szCs w:val="18"/>
                              </w:rPr>
                            </w:pPr>
                            <w:r>
                              <w:rPr>
                                <w:sz w:val="18"/>
                                <w:szCs w:val="18"/>
                              </w:rPr>
                              <w:t xml:space="preserve">Door het POP ondersteunde projecten zijn innovatief en gebaseerd op verworven kennis; </w:t>
                            </w:r>
                          </w:p>
                          <w:p w:rsidR="00891EED" w:rsidRPr="001954EB" w:rsidRDefault="00891EED" w:rsidP="008C0B17">
                            <w:pPr>
                              <w:numPr>
                                <w:ilvl w:val="0"/>
                                <w:numId w:val="57"/>
                              </w:numPr>
                              <w:rPr>
                                <w:rFonts w:cs="Arial"/>
                                <w:sz w:val="18"/>
                                <w:szCs w:val="18"/>
                              </w:rPr>
                            </w:pPr>
                            <w:r>
                              <w:rPr>
                                <w:sz w:val="18"/>
                                <w:szCs w:val="18"/>
                              </w:rPr>
                              <w:t>Innovatieve acties worden geïmplementeerd en verspreid via OG's;</w:t>
                            </w:r>
                          </w:p>
                          <w:p w:rsidR="00891EED" w:rsidRPr="001954EB" w:rsidRDefault="00891EED" w:rsidP="008C0B17">
                            <w:pPr>
                              <w:numPr>
                                <w:ilvl w:val="0"/>
                                <w:numId w:val="57"/>
                              </w:numPr>
                              <w:rPr>
                                <w:rFonts w:cs="Arial"/>
                                <w:sz w:val="18"/>
                                <w:szCs w:val="18"/>
                              </w:rPr>
                            </w:pPr>
                            <w:r>
                              <w:rPr>
                                <w:sz w:val="18"/>
                                <w:szCs w:val="18"/>
                              </w:rPr>
                              <w:t>Verkregen resultaten leiden via innovatie tot een betere marktpositie van betrokken partners.</w:t>
                            </w:r>
                          </w:p>
                          <w:p w:rsidR="00891EED" w:rsidRPr="00547012" w:rsidRDefault="00891EED" w:rsidP="00E05D08">
                            <w:pPr>
                              <w:rPr>
                                <w:rFonts w:cs="Arial"/>
                                <w:sz w:val="18"/>
                                <w:szCs w:val="18"/>
                              </w:rPr>
                            </w:pPr>
                            <w:r>
                              <w:rPr>
                                <w:sz w:val="18"/>
                                <w:szCs w:val="18"/>
                              </w:rPr>
                              <w:t>Om informatie van OG's van het EIP te verzamelen worden verschillende methoden gebruikt. Deze hebben betrekking op verschillende dimensies van innovatie en beogen de kwaliteit en effecten van OG's te beoordelen:</w:t>
                            </w:r>
                          </w:p>
                          <w:p w:rsidR="00891EED" w:rsidRPr="001954EB" w:rsidRDefault="00891EED" w:rsidP="008C0B17">
                            <w:pPr>
                              <w:numPr>
                                <w:ilvl w:val="0"/>
                                <w:numId w:val="58"/>
                              </w:numPr>
                              <w:rPr>
                                <w:rFonts w:cs="Arial"/>
                                <w:sz w:val="18"/>
                                <w:szCs w:val="18"/>
                              </w:rPr>
                            </w:pPr>
                            <w:r>
                              <w:rPr>
                                <w:sz w:val="18"/>
                                <w:szCs w:val="18"/>
                              </w:rPr>
                              <w:t>Analyse van de uitgangssituatie (vaststelling van randvoorwaarden, interviews met actoren enz.);</w:t>
                            </w:r>
                          </w:p>
                          <w:p w:rsidR="00891EED" w:rsidRPr="001954EB" w:rsidRDefault="00891EED" w:rsidP="008C0B17">
                            <w:pPr>
                              <w:numPr>
                                <w:ilvl w:val="0"/>
                                <w:numId w:val="58"/>
                              </w:numPr>
                              <w:rPr>
                                <w:rFonts w:cs="Arial"/>
                                <w:sz w:val="18"/>
                                <w:szCs w:val="18"/>
                              </w:rPr>
                            </w:pPr>
                            <w:r>
                              <w:rPr>
                                <w:sz w:val="18"/>
                                <w:szCs w:val="18"/>
                              </w:rPr>
                              <w:t xml:space="preserve">Beoordeling van innovatiekenmerken en -soorten door analyse van de selectiecriteria en casestudy's; </w:t>
                            </w:r>
                          </w:p>
                          <w:p w:rsidR="00891EED" w:rsidRPr="001954EB" w:rsidRDefault="00891EED" w:rsidP="008C0B17">
                            <w:pPr>
                              <w:numPr>
                                <w:ilvl w:val="0"/>
                                <w:numId w:val="58"/>
                              </w:numPr>
                              <w:rPr>
                                <w:rFonts w:cs="Arial"/>
                                <w:sz w:val="18"/>
                                <w:szCs w:val="18"/>
                              </w:rPr>
                            </w:pPr>
                            <w:r>
                              <w:rPr>
                                <w:sz w:val="18"/>
                                <w:szCs w:val="18"/>
                              </w:rPr>
                              <w:t>Analyse van verkregen resultaten en de verspreiding daarvan (enquête en zelfbeoordeling van OG's).</w:t>
                            </w:r>
                          </w:p>
                          <w:p w:rsidR="00891EED" w:rsidRPr="00547012" w:rsidRDefault="00891EED" w:rsidP="00E05D08">
                            <w:pPr>
                              <w:rPr>
                                <w:rFonts w:cs="Arial"/>
                                <w:sz w:val="18"/>
                                <w:szCs w:val="18"/>
                              </w:rPr>
                            </w:pPr>
                            <w:r>
                              <w:rPr>
                                <w:sz w:val="18"/>
                                <w:szCs w:val="18"/>
                              </w:rPr>
                              <w:t xml:space="preserve">Gegevens- en informatiebronnen zijn onder meer monitoringgegevens, aanvraagformulieren, projectdocumentatie, primaire statistische gegevens uit enquêtes, secundaire statistische gegevens uit verschillende bronnen. </w:t>
                            </w:r>
                          </w:p>
                          <w:p w:rsidR="00891EED" w:rsidRPr="00547012" w:rsidRDefault="00891EED" w:rsidP="00E05D08">
                            <w:pPr>
                              <w:rPr>
                                <w:rFonts w:cs="Arial"/>
                                <w:sz w:val="18"/>
                                <w:szCs w:val="18"/>
                              </w:rPr>
                            </w:pPr>
                            <w:r>
                              <w:rPr>
                                <w:sz w:val="18"/>
                                <w:szCs w:val="18"/>
                              </w:rPr>
                              <w:t xml:space="preserve">De enquête onder begunstigden (OG's van het EIP) wordt voor en na de interventie uitgevoerd. </w:t>
                            </w:r>
                          </w:p>
                          <w:p w:rsidR="00891EED" w:rsidRPr="001954EB" w:rsidRDefault="00891EED" w:rsidP="00E05D08">
                            <w:pPr>
                              <w:pStyle w:val="HStandard"/>
                              <w:rPr>
                                <w:sz w:val="18"/>
                                <w:szCs w:val="18"/>
                              </w:rPr>
                            </w:pPr>
                            <w:r>
                              <w:rPr>
                                <w:b/>
                                <w:sz w:val="18"/>
                                <w:szCs w:val="18"/>
                              </w:rPr>
                              <w:t xml:space="preserve">Tsjechische Republiek - </w:t>
                            </w:r>
                            <w:r>
                              <w:rPr>
                                <w:sz w:val="18"/>
                                <w:szCs w:val="18"/>
                              </w:rPr>
                              <w:t>oppert een benadering waarbij op basis van een casestudy innovatiegerelateerde informatie van OG's en samenwerkingsprojecten wordt verzameld.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D8511E" id="Rectangle: Diagonal Corners Rounded 26" o:spid="_x0000_s1048" style="width:449.4pt;height:366pt;visibility:visible;mso-wrap-style:square;mso-left-percent:-10001;mso-top-percent:-10001;mso-position-horizontal:absolute;mso-position-horizontal-relative:char;mso-position-vertical:absolute;mso-position-vertical-relative:line;mso-left-percent:-10001;mso-top-percent:-10001;v-text-anchor:middle" coordsize="5707380,464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" adj="-11796480,,5400" path="m339272,l5707380,r,l5707380,4308928v,187375,-151897,339272,-339272,339272l,4648200r,l,339272c,151897,151897,,339272,xe" filled="f" strokecolor="#f07e31" strokeweight="2pt">
                <v:stroke joinstyle="miter"/>
                <v:formulas/>
                <v:path arrowok="t" o:connecttype="custom" o:connectlocs="339272,0;5707380,0;5707380,0;5707380,4308928;5368108,4648200;0,4648200;0,4648200;0,339272;339272,0" o:connectangles="0,0,0,0,0,0,0,0,0" textboxrect="0,0,5707380,4648200"/>
                <v:textbox>
                  <w:txbxContent>
                    <w:p w:rsidR="00891EED" w:rsidRPr="001954EB" w:rsidRDefault="00891EED" w:rsidP="00E05D08">
                      <w:pPr>
                        <w:pStyle w:val="HStandard"/>
                        <w:rPr>
                          <w:b/>
                          <w:color w:val="F07E31"/>
                          <w:sz w:val="18"/>
                          <w:szCs w:val="18"/>
                        </w:rPr>
                      </w:pPr>
                      <w:r>
                        <w:rPr>
                          <w:noProof/>
                          <w:sz w:val="18"/>
                          <w:szCs w:val="18"/>
                          <w:lang w:val="en-GB" w:eastAsia="en-GB"/>
                        </w:rPr>
                        <w:drawing>
                          <wp:inline distT="0" distB="0" distL="0" distR="0" wp14:anchorId="7C7F2E15" wp14:editId="3617E01A">
                            <wp:extent cx="353060" cy="359410"/>
                            <wp:effectExtent l="0" t="0" r="8890" b="2540"/>
                            <wp:docPr id="70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Voorbeelden uit de JUV's die in 2017 zijn ingediend</w:t>
                      </w:r>
                    </w:p>
                    <w:p w:rsidR="00891EED" w:rsidRPr="00547012" w:rsidRDefault="00891EED" w:rsidP="00E05D08">
                      <w:pPr>
                        <w:rPr>
                          <w:rFonts w:cs="Arial"/>
                          <w:sz w:val="18"/>
                          <w:szCs w:val="18"/>
                        </w:rPr>
                      </w:pPr>
                      <w:r>
                        <w:rPr>
                          <w:b/>
                          <w:sz w:val="18"/>
                          <w:szCs w:val="18"/>
                        </w:rPr>
                        <w:t>Mecklenburg-Vorpommern (DE) -</w:t>
                      </w:r>
                      <w:r>
                        <w:rPr>
                          <w:sz w:val="18"/>
                          <w:szCs w:val="18"/>
                        </w:rPr>
                        <w:t xml:space="preserve"> gebruikt drie beoordelingscriteria met betrekking tot innovatie:</w:t>
                      </w:r>
                    </w:p>
                    <w:p w:rsidR="00891EED" w:rsidRPr="001954EB" w:rsidRDefault="00891EED" w:rsidP="008C0B17">
                      <w:pPr>
                        <w:numPr>
                          <w:ilvl w:val="0"/>
                          <w:numId w:val="57"/>
                        </w:numPr>
                        <w:rPr>
                          <w:rFonts w:cs="Arial"/>
                          <w:sz w:val="18"/>
                          <w:szCs w:val="18"/>
                        </w:rPr>
                      </w:pPr>
                      <w:r>
                        <w:rPr>
                          <w:sz w:val="18"/>
                          <w:szCs w:val="18"/>
                        </w:rPr>
                        <w:t xml:space="preserve">Door het POP ondersteunde projecten zijn innovatief en gebaseerd op verworven kennis; </w:t>
                      </w:r>
                    </w:p>
                    <w:p w:rsidR="00891EED" w:rsidRPr="001954EB" w:rsidRDefault="00891EED" w:rsidP="008C0B17">
                      <w:pPr>
                        <w:numPr>
                          <w:ilvl w:val="0"/>
                          <w:numId w:val="57"/>
                        </w:numPr>
                        <w:rPr>
                          <w:rFonts w:cs="Arial"/>
                          <w:sz w:val="18"/>
                          <w:szCs w:val="18"/>
                        </w:rPr>
                      </w:pPr>
                      <w:r>
                        <w:rPr>
                          <w:sz w:val="18"/>
                          <w:szCs w:val="18"/>
                        </w:rPr>
                        <w:t>Innovatieve acties worden geïmplementeerd en verspreid via OG's;</w:t>
                      </w:r>
                    </w:p>
                    <w:p w:rsidR="00891EED" w:rsidRPr="001954EB" w:rsidRDefault="00891EED" w:rsidP="008C0B17">
                      <w:pPr>
                        <w:numPr>
                          <w:ilvl w:val="0"/>
                          <w:numId w:val="57"/>
                        </w:numPr>
                        <w:rPr>
                          <w:rFonts w:cs="Arial"/>
                          <w:sz w:val="18"/>
                          <w:szCs w:val="18"/>
                        </w:rPr>
                      </w:pPr>
                      <w:r>
                        <w:rPr>
                          <w:sz w:val="18"/>
                          <w:szCs w:val="18"/>
                        </w:rPr>
                        <w:t>Verkregen resultaten leiden via innovatie tot een betere marktpositie van betrokken partners.</w:t>
                      </w:r>
                    </w:p>
                    <w:p w:rsidR="00891EED" w:rsidRPr="00547012" w:rsidRDefault="00891EED" w:rsidP="00E05D08">
                      <w:pPr>
                        <w:rPr>
                          <w:rFonts w:cs="Arial"/>
                          <w:sz w:val="18"/>
                          <w:szCs w:val="18"/>
                        </w:rPr>
                      </w:pPr>
                      <w:r>
                        <w:rPr>
                          <w:sz w:val="18"/>
                          <w:szCs w:val="18"/>
                        </w:rPr>
                        <w:t>Om informatie van OG's van het EIP te verzamelen worden verschillende methoden gebruikt. Deze hebben betrekking op verschillende dimensies van innovatie en beogen de kwaliteit en effecten van OG's te beoordelen:</w:t>
                      </w:r>
                    </w:p>
                    <w:p w:rsidR="00891EED" w:rsidRPr="001954EB" w:rsidRDefault="00891EED" w:rsidP="008C0B17">
                      <w:pPr>
                        <w:numPr>
                          <w:ilvl w:val="0"/>
                          <w:numId w:val="58"/>
                        </w:numPr>
                        <w:rPr>
                          <w:rFonts w:cs="Arial"/>
                          <w:sz w:val="18"/>
                          <w:szCs w:val="18"/>
                        </w:rPr>
                      </w:pPr>
                      <w:r>
                        <w:rPr>
                          <w:sz w:val="18"/>
                          <w:szCs w:val="18"/>
                        </w:rPr>
                        <w:t>Analyse van de uitgangssituatie (vaststelling van randvoorwaarden, interviews met actoren enz.);</w:t>
                      </w:r>
                    </w:p>
                    <w:p w:rsidR="00891EED" w:rsidRPr="001954EB" w:rsidRDefault="00891EED" w:rsidP="008C0B17">
                      <w:pPr>
                        <w:numPr>
                          <w:ilvl w:val="0"/>
                          <w:numId w:val="58"/>
                        </w:numPr>
                        <w:rPr>
                          <w:rFonts w:cs="Arial"/>
                          <w:sz w:val="18"/>
                          <w:szCs w:val="18"/>
                        </w:rPr>
                      </w:pPr>
                      <w:r>
                        <w:rPr>
                          <w:sz w:val="18"/>
                          <w:szCs w:val="18"/>
                        </w:rPr>
                        <w:t xml:space="preserve">Beoordeling van innovatiekenmerken en -soorten door analyse van de selectiecriteria en casestudy's; </w:t>
                      </w:r>
                    </w:p>
                    <w:p w:rsidR="00891EED" w:rsidRPr="001954EB" w:rsidRDefault="00891EED" w:rsidP="008C0B17">
                      <w:pPr>
                        <w:numPr>
                          <w:ilvl w:val="0"/>
                          <w:numId w:val="58"/>
                        </w:numPr>
                        <w:rPr>
                          <w:rFonts w:cs="Arial"/>
                          <w:sz w:val="18"/>
                          <w:szCs w:val="18"/>
                        </w:rPr>
                      </w:pPr>
                      <w:r>
                        <w:rPr>
                          <w:sz w:val="18"/>
                          <w:szCs w:val="18"/>
                        </w:rPr>
                        <w:t>Analyse van verkregen resultaten en de verspreiding daarvan (enquête en zelfbeoordeling van OG's).</w:t>
                      </w:r>
                    </w:p>
                    <w:p w:rsidR="00891EED" w:rsidRPr="00547012" w:rsidRDefault="00891EED" w:rsidP="00E05D08">
                      <w:pPr>
                        <w:rPr>
                          <w:rFonts w:cs="Arial"/>
                          <w:sz w:val="18"/>
                          <w:szCs w:val="18"/>
                        </w:rPr>
                      </w:pPr>
                      <w:r>
                        <w:rPr>
                          <w:sz w:val="18"/>
                          <w:szCs w:val="18"/>
                        </w:rPr>
                        <w:t xml:space="preserve">Gegevens- en informatiebronnen zijn onder meer monitoringgegevens, aanvraagformulieren, projectdocumentatie, primaire statistische gegevens uit enquêtes, secundaire statistische gegevens uit verschillende bronnen. </w:t>
                      </w:r>
                    </w:p>
                    <w:p w:rsidR="00891EED" w:rsidRPr="00547012" w:rsidRDefault="00891EED" w:rsidP="00E05D08">
                      <w:pPr>
                        <w:rPr>
                          <w:rFonts w:cs="Arial"/>
                          <w:sz w:val="18"/>
                          <w:szCs w:val="18"/>
                        </w:rPr>
                      </w:pPr>
                      <w:r>
                        <w:rPr>
                          <w:sz w:val="18"/>
                          <w:szCs w:val="18"/>
                        </w:rPr>
                        <w:t xml:space="preserve">De enquête onder begunstigden (OG's van het EIP) wordt voor en na de interventie uitgevoerd. </w:t>
                      </w:r>
                    </w:p>
                    <w:p w:rsidR="00891EED" w:rsidRPr="001954EB" w:rsidRDefault="00891EED" w:rsidP="00E05D08">
                      <w:pPr>
                        <w:pStyle w:val="HStandard"/>
                        <w:rPr>
                          <w:sz w:val="18"/>
                          <w:szCs w:val="18"/>
                        </w:rPr>
                      </w:pPr>
                      <w:r>
                        <w:rPr>
                          <w:b/>
                          <w:sz w:val="18"/>
                          <w:szCs w:val="18"/>
                        </w:rPr>
                        <w:t xml:space="preserve">Tsjechische Republiek - </w:t>
                      </w:r>
                      <w:r>
                        <w:rPr>
                          <w:sz w:val="18"/>
                          <w:szCs w:val="18"/>
                        </w:rPr>
                        <w:t>oppert een benadering waarbij op basis van een casestudy innovatiegerelateerde informatie van OG's en samenwerkingsprojecten wordt verzameld.</w:t>
                      </w:r>
                    </w:p>
                  </w:txbxContent>
                </v:textbox>
                <w10:anchorlock/>
              </v:shape>
            </w:pict>
          </mc:Fallback>
        </mc:AlternateContent>
      </w:r>
    </w:p>
    <w:p w:rsidR="00A45935" w:rsidRPr="00E05D08" w:rsidRDefault="00A45935" w:rsidP="00647766">
      <w:pPr>
        <w:numPr>
          <w:ilvl w:val="0"/>
          <w:numId w:val="56"/>
        </w:numPr>
        <w:spacing w:before="120" w:after="120" w:line="280" w:lineRule="atLeast"/>
        <w:ind w:left="567" w:hanging="567"/>
        <w:mirrorIndents/>
        <w:rPr>
          <w:rFonts w:eastAsia="Times New Roman" w:cs="Times New Roman"/>
          <w:b/>
          <w:szCs w:val="20"/>
        </w:rPr>
      </w:pPr>
      <w:r>
        <w:rPr>
          <w:b/>
          <w:szCs w:val="20"/>
        </w:rPr>
        <w:t xml:space="preserve">Risico's en oplossingen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44"/>
        <w:gridCol w:w="5387"/>
      </w:tblGrid>
      <w:tr w:rsidR="00A45935" w:rsidRPr="00E05D08" w:rsidTr="00E05D08">
        <w:tc>
          <w:tcPr>
            <w:tcW w:w="3544"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Risico's</w:t>
            </w:r>
          </w:p>
        </w:tc>
        <w:tc>
          <w:tcPr>
            <w:tcW w:w="5387"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Oplossingen</w:t>
            </w:r>
          </w:p>
        </w:tc>
      </w:tr>
      <w:tr w:rsidR="00A45935" w:rsidRPr="00E05D08" w:rsidTr="00E05D08">
        <w:tc>
          <w:tcPr>
            <w:tcW w:w="3544" w:type="dxa"/>
            <w:hideMark/>
          </w:tcPr>
          <w:p w:rsidR="00A45935" w:rsidRPr="00385368" w:rsidRDefault="00A45935" w:rsidP="00E05D08">
            <w:pPr>
              <w:spacing w:after="120" w:line="280" w:lineRule="atLeast"/>
              <w:ind w:left="22" w:right="33"/>
              <w:mirrorIndents/>
              <w:rPr>
                <w:sz w:val="18"/>
                <w:szCs w:val="18"/>
              </w:rPr>
            </w:pPr>
            <w:r>
              <w:rPr>
                <w:sz w:val="18"/>
                <w:szCs w:val="18"/>
              </w:rPr>
              <w:t>Voor sommige indicatoren zijn mogelijk pas gegevens beschikbaar na afloop van de programmeringsperiode (bv. het aantal samenwerkingsoperaties dat na de ondersteuning door het POP doorgaat).</w:t>
            </w:r>
          </w:p>
        </w:tc>
        <w:tc>
          <w:tcPr>
            <w:tcW w:w="5387" w:type="dxa"/>
            <w:hideMark/>
          </w:tcPr>
          <w:p w:rsidR="00A45935" w:rsidRPr="00385368" w:rsidRDefault="00A45935" w:rsidP="00E05D08">
            <w:pPr>
              <w:spacing w:after="120" w:line="280" w:lineRule="atLeast"/>
              <w:ind w:left="27" w:right="47"/>
              <w:mirrorIndents/>
              <w:rPr>
                <w:sz w:val="18"/>
                <w:szCs w:val="18"/>
              </w:rPr>
            </w:pPr>
            <w:r>
              <w:rPr>
                <w:sz w:val="18"/>
                <w:szCs w:val="18"/>
              </w:rPr>
              <w:t xml:space="preserve">De soorten samenwerkingsstructuren (rechtsvorm, samenstelling, verbintenisverklaring van partners enz.) kunnen worden geanalyseerd door middel van een kwalitatieve beoordeling (bv. met gebruikmaking van focusgroepen of interviews met partners van OG's). </w:t>
            </w:r>
          </w:p>
        </w:tc>
      </w:tr>
      <w:tr w:rsidR="00A45935" w:rsidRPr="00E05D08" w:rsidTr="00E05D08">
        <w:tc>
          <w:tcPr>
            <w:tcW w:w="3544" w:type="dxa"/>
          </w:tcPr>
          <w:p w:rsidR="00A45935" w:rsidRPr="00385368" w:rsidRDefault="00A45935" w:rsidP="00E05D08">
            <w:pPr>
              <w:spacing w:after="120" w:line="280" w:lineRule="atLeast"/>
              <w:ind w:left="22" w:right="33"/>
              <w:mirrorIndents/>
              <w:rPr>
                <w:sz w:val="18"/>
                <w:szCs w:val="18"/>
              </w:rPr>
            </w:pPr>
            <w:r>
              <w:rPr>
                <w:sz w:val="18"/>
                <w:szCs w:val="18"/>
              </w:rPr>
              <w:t xml:space="preserve">Om informatie te vergaren voor sommige indicatoren die mogelijk nog niet zijn opgenomen in het POP-monitoringsysteem (bv. aanvullende indicatoren). </w:t>
            </w:r>
          </w:p>
        </w:tc>
        <w:tc>
          <w:tcPr>
            <w:tcW w:w="5387" w:type="dxa"/>
          </w:tcPr>
          <w:p w:rsidR="00A45935" w:rsidRPr="00385368" w:rsidRDefault="00A45935" w:rsidP="00E05D08">
            <w:pPr>
              <w:spacing w:after="120" w:line="280" w:lineRule="atLeast"/>
              <w:ind w:left="27" w:right="47"/>
              <w:mirrorIndents/>
              <w:rPr>
                <w:sz w:val="18"/>
                <w:szCs w:val="18"/>
              </w:rPr>
            </w:pPr>
            <w:r>
              <w:rPr>
                <w:sz w:val="18"/>
                <w:szCs w:val="18"/>
              </w:rPr>
              <w:t xml:space="preserve">Informatie kan worden verzameld door middel van enquêtes en interviews. </w:t>
            </w:r>
          </w:p>
          <w:p w:rsidR="00A45935" w:rsidRPr="00385368" w:rsidRDefault="00A45935" w:rsidP="00E05D08">
            <w:pPr>
              <w:spacing w:after="120" w:line="280" w:lineRule="atLeast"/>
              <w:ind w:left="27" w:right="47"/>
              <w:mirrorIndents/>
              <w:rPr>
                <w:sz w:val="18"/>
                <w:szCs w:val="18"/>
              </w:rPr>
            </w:pPr>
            <w:r>
              <w:rPr>
                <w:sz w:val="18"/>
                <w:szCs w:val="18"/>
              </w:rPr>
              <w:t xml:space="preserve">De beheersautoriteiten kunnen ook overwegen gegevensvergaring voor aanvullende indicatoren via de database met concrete acties op te nemen. </w:t>
            </w:r>
          </w:p>
        </w:tc>
      </w:tr>
    </w:tbl>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Conclusies en aanbevelingen</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De belangrijkste conclusies en aanbevelingen dienen ten minste betrekking te hebben op de volgende beleidspunten:</w:t>
      </w:r>
    </w:p>
    <w:p w:rsidR="00A45935" w:rsidRPr="00E54929" w:rsidRDefault="00A45935" w:rsidP="00547012">
      <w:pPr>
        <w:pStyle w:val="Hlistbullet"/>
        <w:rPr>
          <w:rFonts w:eastAsia="Calibri"/>
          <w:shd w:val="clear" w:color="auto" w:fill="FFFFFF"/>
        </w:rPr>
      </w:pPr>
      <w:r>
        <w:rPr>
          <w:b/>
          <w:shd w:val="clear" w:color="auto" w:fill="FFFFFF"/>
        </w:rPr>
        <w:t>De neiging van het POP om de samenwerkingsmaatregel te gebruiken om innovatie in plattelandsgebieden vast te stellen.</w:t>
      </w:r>
      <w:r>
        <w:rPr>
          <w:shd w:val="clear" w:color="auto" w:fill="FFFFFF"/>
        </w:rPr>
        <w:t xml:space="preserve"> Zo duidt de oprichting van een operationele groep erop dat er een innovatief idee is ontdekt dat geïmplementeerd kan worden door onderzoek en praktijk met elkaar te verbinden. De reikwijdte, inhoud en duur van het door de OG uitgewerkte </w:t>
      </w:r>
      <w:r>
        <w:rPr>
          <w:shd w:val="clear" w:color="auto" w:fill="FFFFFF"/>
        </w:rPr>
        <w:lastRenderedPageBreak/>
        <w:t>en geïmplementeerde project verschaffen nuttige informatie op basis waarvan in dit verband verdere conclusies getrokken kunnen worden.</w:t>
      </w:r>
    </w:p>
    <w:p w:rsidR="00A45935" w:rsidRPr="00E54929" w:rsidRDefault="00A45935" w:rsidP="00547012">
      <w:pPr>
        <w:pStyle w:val="Hlistbullet"/>
        <w:rPr>
          <w:rFonts w:eastAsia="Calibri"/>
          <w:shd w:val="clear" w:color="auto" w:fill="FFFFFF"/>
        </w:rPr>
      </w:pPr>
      <w:r>
        <w:rPr>
          <w:b/>
          <w:shd w:val="clear" w:color="auto" w:fill="FFFFFF"/>
        </w:rPr>
        <w:t>De effecten van samenwerkingsprojecten op de innovatiecapaciteit.</w:t>
      </w:r>
      <w:r>
        <w:rPr>
          <w:shd w:val="clear" w:color="auto" w:fill="FFFFFF"/>
        </w:rPr>
        <w:t xml:space="preserve"> Op basis van de analyse van het aantal en de soort samenwerkingsprojecten en de betrokkenheid van innovatiebelanghebbenden kunnen mogelijk conclusies worden getrokken over de resultaten van de samenwerkingsmaatregelen met betrekking tot de innovatiecapaciteit in plattelandsgebieden.</w:t>
      </w:r>
    </w:p>
    <w:p w:rsidR="00A45935" w:rsidRPr="00E54929" w:rsidRDefault="00A45935" w:rsidP="00547012">
      <w:pPr>
        <w:pStyle w:val="Hlistbullet"/>
        <w:rPr>
          <w:rFonts w:eastAsia="Calibri"/>
          <w:shd w:val="clear" w:color="auto" w:fill="FFFFFF"/>
        </w:rPr>
      </w:pPr>
      <w:r>
        <w:rPr>
          <w:b/>
          <w:shd w:val="clear" w:color="auto" w:fill="FFFFFF"/>
        </w:rPr>
        <w:t>De effecten van samenwerkingsprojecten op het scheppen van een faciliterende omgeving voor innovatie</w:t>
      </w:r>
      <w:r>
        <w:rPr>
          <w:shd w:val="clear" w:color="auto" w:fill="FFFFFF"/>
        </w:rPr>
        <w:t xml:space="preserve"> (d.w.z. de mate waarin samenwerkingsprojecten het mogelijk hebben gemaakt structuren en procedures in te stellen die het ontstaan van innovatieve ideeën bevorderen). Hierbij kan bijvoorbeeld gedacht worden aan structuren en methoden voor innovatiebemiddeling, de instelling van permanente verbindingen tussen kleine en middelgrote ondernemingen, innovatiediensten en financieringsorganisaties enz.</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Meer informatie</w:t>
      </w:r>
    </w:p>
    <w:p w:rsidR="009D0C0A" w:rsidRDefault="00A45935" w:rsidP="00547012">
      <w:pPr>
        <w:spacing w:after="120" w:line="280" w:lineRule="atLeast"/>
        <w:mirrorIndents/>
      </w:pPr>
      <w:r>
        <w:rPr>
          <w:rFonts w:eastAsia="Times New Roman" w:cs="Times New Roman"/>
          <w:noProof/>
          <w:sz w:val="18"/>
          <w:szCs w:val="24"/>
          <w:lang w:val="en-GB" w:eastAsia="en-GB"/>
        </w:rPr>
        <mc:AlternateContent>
          <mc:Choice Requires="wps">
            <w:drawing>
              <wp:inline distT="0" distB="0" distL="0" distR="0" wp14:anchorId="13C9253E" wp14:editId="26A676B8">
                <wp:extent cx="5633451" cy="1952625"/>
                <wp:effectExtent l="0" t="0" r="24765" b="28575"/>
                <wp:docPr id="27" name="Rectangle: Diagonal Corners Rounded 27"/>
                <wp:cNvGraphicFramePr/>
                <a:graphic xmlns:a="http://schemas.openxmlformats.org/drawingml/2006/main">
                  <a:graphicData uri="http://schemas.microsoft.com/office/word/2010/wordprocessingShape">
                    <wps:wsp>
                      <wps:cNvSpPr/>
                      <wps:spPr>
                        <a:xfrm>
                          <a:off x="0" y="0"/>
                          <a:ext cx="5633451" cy="1952625"/>
                        </a:xfrm>
                        <a:prstGeom prst="round2DiagRect">
                          <a:avLst>
                            <a:gd name="adj1" fmla="val 11556"/>
                            <a:gd name="adj2" fmla="val 0"/>
                          </a:avLst>
                        </a:prstGeom>
                        <a:noFill/>
                        <a:ln w="25400" cap="flat" cmpd="sng" algn="ctr">
                          <a:solidFill>
                            <a:srgbClr val="59638E"/>
                          </a:solidFill>
                          <a:prstDash val="solid"/>
                        </a:ln>
                        <a:effectLst/>
                      </wps:spPr>
                      <wps:txbx>
                        <w:txbxContent>
                          <w:p w:rsidR="00891EED" w:rsidRDefault="00891EED" w:rsidP="00E05D08">
                            <w:pPr>
                              <w:pStyle w:val="HStandard"/>
                              <w:rPr>
                                <w:color w:val="000000"/>
                                <w:sz w:val="18"/>
                              </w:rPr>
                            </w:pPr>
                            <w:r>
                              <w:rPr>
                                <w:noProof/>
                                <w:lang w:val="en-GB" w:eastAsia="en-GB"/>
                              </w:rPr>
                              <w:drawing>
                                <wp:inline distT="0" distB="0" distL="0" distR="0" wp14:anchorId="300C58DA" wp14:editId="64B9717E">
                                  <wp:extent cx="360465" cy="360000"/>
                                  <wp:effectExtent l="0" t="0" r="1905" b="2540"/>
                                  <wp:docPr id="710"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891EED" w:rsidRPr="000D7890" w:rsidRDefault="00891EED" w:rsidP="00E05D08">
                            <w:pPr>
                              <w:pStyle w:val="HStandard"/>
                              <w:rPr>
                                <w:sz w:val="18"/>
                                <w:szCs w:val="18"/>
                                <w:lang w:val="en-US"/>
                              </w:rPr>
                            </w:pPr>
                            <w:r w:rsidRPr="000D7890">
                              <w:rPr>
                                <w:sz w:val="18"/>
                                <w:szCs w:val="18"/>
                                <w:lang w:val="en-US"/>
                              </w:rPr>
                              <w:t>Richtsnoeren "</w:t>
                            </w:r>
                            <w:hyperlink r:id="rId51" w:history="1">
                              <w:r w:rsidRPr="000D7890">
                                <w:rPr>
                                  <w:rStyle w:val="Hyperlink"/>
                                  <w:sz w:val="18"/>
                                  <w:szCs w:val="18"/>
                                  <w:lang w:val="en-US"/>
                                </w:rPr>
                                <w:t>Assessment of RDP results:</w:t>
                              </w:r>
                            </w:hyperlink>
                            <w:hyperlink r:id="rId52" w:history="1">
                              <w:r w:rsidRPr="000D7890">
                                <w:rPr>
                                  <w:rStyle w:val="Hyperlink"/>
                                  <w:sz w:val="18"/>
                                  <w:szCs w:val="18"/>
                                  <w:lang w:val="en-US"/>
                                </w:rPr>
                                <w:t xml:space="preserve"> How to Prepare for Reporting on Evaluation in 2017</w:t>
                              </w:r>
                            </w:hyperlink>
                            <w:r w:rsidRPr="000D7890">
                              <w:rPr>
                                <w:lang w:val="en-US"/>
                              </w:rPr>
                              <w:t>"</w:t>
                            </w:r>
                            <w:r w:rsidRPr="000D7890">
                              <w:rPr>
                                <w:sz w:val="18"/>
                                <w:szCs w:val="18"/>
                                <w:lang w:val="en-US"/>
                              </w:rPr>
                              <w:t xml:space="preserve">, bijlage 11; </w:t>
                            </w:r>
                          </w:p>
                          <w:p w:rsidR="00891EED" w:rsidRDefault="00891EED" w:rsidP="00E05D08">
                            <w:pPr>
                              <w:pStyle w:val="HStandard"/>
                              <w:rPr>
                                <w:sz w:val="18"/>
                                <w:szCs w:val="18"/>
                              </w:rPr>
                            </w:pPr>
                            <w:r>
                              <w:rPr>
                                <w:sz w:val="18"/>
                                <w:szCs w:val="18"/>
                              </w:rPr>
                              <w:t>Richtsnoer "</w:t>
                            </w:r>
                            <w:hyperlink r:id="rId53" w:history="1">
                              <w:r>
                                <w:rPr>
                                  <w:rStyle w:val="Hyperlink"/>
                                  <w:sz w:val="18"/>
                                </w:rPr>
                                <w:t>Cooperation measure</w:t>
                              </w:r>
                            </w:hyperlink>
                            <w:r>
                              <w:rPr>
                                <w:sz w:val="18"/>
                                <w:szCs w:val="18"/>
                              </w:rPr>
                              <w:t>", Artikel 35 van Verordening (EU) nr. 1305/2013, november 2014;</w:t>
                            </w:r>
                          </w:p>
                          <w:p w:rsidR="00891EED" w:rsidRPr="000041C9" w:rsidRDefault="00891EED" w:rsidP="00E05D08">
                            <w:pPr>
                              <w:pStyle w:val="HStandard"/>
                              <w:rPr>
                                <w:sz w:val="18"/>
                                <w:szCs w:val="18"/>
                              </w:rPr>
                            </w:pPr>
                            <w:r>
                              <w:rPr>
                                <w:sz w:val="18"/>
                                <w:szCs w:val="18"/>
                              </w:rPr>
                              <w:t xml:space="preserve">Documenten van de workshop van het ENPO over M16: "Samenwerking", juni 2016, Brussel: </w:t>
                            </w:r>
                            <w:hyperlink r:id="rId54" w:history="1">
                              <w:r>
                                <w:rPr>
                                  <w:rStyle w:val="Hyperlink"/>
                                  <w:sz w:val="18"/>
                                  <w:szCs w:val="18"/>
                                </w:rPr>
                                <w:t>http://enrd.ec.europa.eu/news-events/events/enrd-workshop-measure-16-cooperation_en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3C9253E" id="Rectangle: Diagonal Corners Rounded 27" o:spid="_x0000_s1049" style="width:443.6pt;height:153.75pt;visibility:visible;mso-wrap-style:square;mso-left-percent:-10001;mso-top-percent:-10001;mso-position-horizontal:absolute;mso-position-horizontal-relative:char;mso-position-vertical:absolute;mso-position-vertical-relative:line;mso-left-percent:-10001;mso-top-percent:-10001;v-text-anchor:middle" coordsize="5633451,1952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" adj="-11796480,,5400" path="m225645,l5633451,r,l5633451,1726980v,124620,-101025,225645,-225645,225645l,1952625r,l,225645c,101025,101025,,225645,xe" filled="f" strokecolor="#59638e" strokeweight="2pt">
                <v:stroke joinstyle="miter"/>
                <v:formulas/>
                <v:path arrowok="t" o:connecttype="custom" o:connectlocs="225645,0;5633451,0;5633451,0;5633451,1726980;5407806,1952625;0,1952625;0,1952625;0,225645;225645,0" o:connectangles="0,0,0,0,0,0,0,0,0" textboxrect="0,0,5633451,1952625"/>
                <v:textbox>
                  <w:txbxContent>
                    <w:p w:rsidR="00891EED" w:rsidRDefault="00891EED" w:rsidP="00E05D08">
                      <w:pPr>
                        <w:pStyle w:val="HStandard"/>
                        <w:rPr>
                          <w:color w:val="000000"/>
                          <w:sz w:val="18"/>
                        </w:rPr>
                      </w:pPr>
                      <w:r>
                        <w:rPr>
                          <w:noProof/>
                          <w:lang w:val="en-GB" w:eastAsia="en-GB"/>
                        </w:rPr>
                        <w:drawing>
                          <wp:inline distT="0" distB="0" distL="0" distR="0" wp14:anchorId="300C58DA" wp14:editId="64B9717E">
                            <wp:extent cx="360465" cy="360000"/>
                            <wp:effectExtent l="0" t="0" r="1905" b="2540"/>
                            <wp:docPr id="710"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891EED" w:rsidRPr="000D7890" w:rsidRDefault="00891EED" w:rsidP="00E05D08">
                      <w:pPr>
                        <w:pStyle w:val="HStandard"/>
                        <w:rPr>
                          <w:sz w:val="18"/>
                          <w:szCs w:val="18"/>
                          <w:lang w:val="en-US"/>
                        </w:rPr>
                      </w:pPr>
                      <w:r w:rsidRPr="000D7890">
                        <w:rPr>
                          <w:sz w:val="18"/>
                          <w:szCs w:val="18"/>
                          <w:lang w:val="en-US"/>
                        </w:rPr>
                        <w:t>Richtsnoeren "</w:t>
                      </w:r>
                      <w:hyperlink r:id="rId55" w:history="1">
                        <w:r w:rsidRPr="000D7890">
                          <w:rPr>
                            <w:rStyle w:val="Hyperlink"/>
                            <w:sz w:val="18"/>
                            <w:szCs w:val="18"/>
                            <w:lang w:val="en-US"/>
                          </w:rPr>
                          <w:t>Assessment of RDP results:</w:t>
                        </w:r>
                      </w:hyperlink>
                      <w:hyperlink r:id="rId56" w:history="1">
                        <w:r w:rsidRPr="000D7890">
                          <w:rPr>
                            <w:rStyle w:val="Hyperlink"/>
                            <w:sz w:val="18"/>
                            <w:szCs w:val="18"/>
                            <w:lang w:val="en-US"/>
                          </w:rPr>
                          <w:t xml:space="preserve"> How to Prepare for Reporting on Evaluation in 2017</w:t>
                        </w:r>
                      </w:hyperlink>
                      <w:r w:rsidRPr="000D7890">
                        <w:rPr>
                          <w:lang w:val="en-US"/>
                        </w:rPr>
                        <w:t>"</w:t>
                      </w:r>
                      <w:r w:rsidRPr="000D7890">
                        <w:rPr>
                          <w:sz w:val="18"/>
                          <w:szCs w:val="18"/>
                          <w:lang w:val="en-US"/>
                        </w:rPr>
                        <w:t xml:space="preserve">, bijlage 11; </w:t>
                      </w:r>
                    </w:p>
                    <w:p w:rsidR="00891EED" w:rsidRDefault="00891EED" w:rsidP="00E05D08">
                      <w:pPr>
                        <w:pStyle w:val="HStandard"/>
                        <w:rPr>
                          <w:sz w:val="18"/>
                          <w:szCs w:val="18"/>
                        </w:rPr>
                      </w:pPr>
                      <w:r>
                        <w:rPr>
                          <w:sz w:val="18"/>
                          <w:szCs w:val="18"/>
                        </w:rPr>
                        <w:t>Richtsnoer "</w:t>
                      </w:r>
                      <w:hyperlink r:id="rId57" w:history="1">
                        <w:r>
                          <w:rPr>
                            <w:rStyle w:val="Hyperlink"/>
                            <w:sz w:val="18"/>
                          </w:rPr>
                          <w:t>Cooperation measure</w:t>
                        </w:r>
                      </w:hyperlink>
                      <w:r>
                        <w:rPr>
                          <w:sz w:val="18"/>
                          <w:szCs w:val="18"/>
                        </w:rPr>
                        <w:t>", Artikel 35 van Verordening (EU) nr. 1305/2013, november 2014;</w:t>
                      </w:r>
                    </w:p>
                    <w:p w:rsidR="00891EED" w:rsidRPr="000041C9" w:rsidRDefault="00891EED" w:rsidP="00E05D08">
                      <w:pPr>
                        <w:pStyle w:val="HStandard"/>
                        <w:rPr>
                          <w:sz w:val="18"/>
                          <w:szCs w:val="18"/>
                        </w:rPr>
                      </w:pPr>
                      <w:r>
                        <w:rPr>
                          <w:sz w:val="18"/>
                          <w:szCs w:val="18"/>
                        </w:rPr>
                        <w:t xml:space="preserve">Documenten van de workshop van het ENPO over M16: "Samenwerking", juni 2016, Brussel: </w:t>
                      </w:r>
                      <w:hyperlink r:id="rId58" w:history="1">
                        <w:r>
                          <w:rPr>
                            <w:rStyle w:val="Hyperlink"/>
                            <w:sz w:val="18"/>
                            <w:szCs w:val="18"/>
                          </w:rPr>
                          <w:t>http://enrd.ec.europa.eu/news-events/events/enrd-workshop-measure-16-cooperation_en</w:t>
                        </w:r>
                      </w:hyperlink>
                    </w:p>
                  </w:txbxContent>
                </v:textbox>
                <w10:anchorlock/>
              </v:shape>
            </w:pict>
          </mc:Fallback>
        </mc:AlternateContent>
      </w:r>
      <w:bookmarkStart w:id="118" w:name="_Toc501382133"/>
    </w:p>
    <w:p w:rsidR="00D50380" w:rsidRDefault="00D50380" w:rsidP="0079071D">
      <w:pPr>
        <w:pStyle w:val="HHeading3"/>
        <w:numPr>
          <w:ilvl w:val="2"/>
          <w:numId w:val="119"/>
        </w:numPr>
        <w:tabs>
          <w:tab w:val="clear" w:pos="567"/>
        </w:tabs>
        <w:spacing w:before="480" w:line="280" w:lineRule="exact"/>
        <w:ind w:left="567" w:hanging="567"/>
      </w:pPr>
      <w:bookmarkStart w:id="119" w:name="CEQ_NRN"/>
      <w:bookmarkStart w:id="120" w:name="_Toc511656276"/>
      <w:bookmarkEnd w:id="119"/>
      <w:r>
        <w:t>CEQ nr. 21: "In welke mate heeft het nationale netwerk voor het platteland bijgedragen aan het verwezenlijken van de doelstellingen die in artikel 54, lid 2, van Verordening (EU) nr. 1305/2013 zijn vastgelegd?"</w:t>
      </w:r>
      <w:bookmarkEnd w:id="120"/>
    </w:p>
    <w:bookmarkEnd w:id="118"/>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De CEQ begrijpen</w:t>
      </w:r>
    </w:p>
    <w:p w:rsidR="00A45935" w:rsidRPr="00E05D08" w:rsidRDefault="00A45935" w:rsidP="00E05D08">
      <w:pPr>
        <w:spacing w:after="120" w:line="280" w:lineRule="atLeast"/>
        <w:mirrorIndents/>
        <w:rPr>
          <w:rFonts w:eastAsia="Calibri" w:cs="Times New Roman"/>
          <w:szCs w:val="20"/>
        </w:rPr>
      </w:pPr>
      <w:r>
        <w:t>Deze vraag heeft betrekking op de verwezenlijking van de vier doelstellingen van het NPN</w:t>
      </w:r>
      <w:r>
        <w:rPr>
          <w:rFonts w:eastAsia="Times New Roman" w:cs="Times New Roman"/>
          <w:szCs w:val="20"/>
          <w:vertAlign w:val="superscript"/>
          <w:lang w:eastAsia="de-DE"/>
        </w:rPr>
        <w:footnoteReference w:id="57"/>
      </w:r>
      <w:r>
        <w:t>. Deze richtsnoeren</w:t>
      </w:r>
      <w:r>
        <w:rPr>
          <w:rFonts w:eastAsia="Times New Roman" w:cs="Times New Roman"/>
          <w:szCs w:val="20"/>
          <w:vertAlign w:val="superscript"/>
          <w:lang w:eastAsia="de-DE"/>
        </w:rPr>
        <w:footnoteReference w:id="58"/>
      </w:r>
      <w:r>
        <w:t xml:space="preserve"> behandelen CEQ nr. 21 </w:t>
      </w:r>
      <w:r>
        <w:rPr>
          <w:szCs w:val="18"/>
          <w14:textFill>
            <w14:solidFill>
              <w14:srgbClr w14:val="373737">
                <w14:lumMod w14:val="75000"/>
              </w14:srgbClr>
            </w14:solidFill>
          </w14:textFill>
        </w:rPr>
        <w:t>in het licht van de doelstelling van het NPN om "innovatie in de landbouw, de voedselproductie, de bosbouw en in plattelandsgebieden te bevorderen"</w:t>
      </w:r>
      <w:r>
        <w:t xml:space="preserve"> teneinde innovatie te evalueren, zoals dat door NPN's wordt gestimuleerd vanaf 2019. </w:t>
      </w:r>
    </w:p>
    <w:p w:rsidR="00A45935" w:rsidRPr="00E05D08" w:rsidRDefault="00A45935" w:rsidP="00E05D08">
      <w:pPr>
        <w:spacing w:after="120" w:line="280" w:lineRule="atLeast"/>
        <w:mirrorIndents/>
        <w:rPr>
          <w:rFonts w:eastAsia="Calibri" w:cs="Times New Roman"/>
          <w:szCs w:val="20"/>
        </w:rPr>
      </w:pPr>
      <w:r>
        <w:t>Het NPN werkt via verschillende groepen van acties die in het actieplan van het NPN zijn vastgesteld en omvat verschillende soorten belanghebbenden, waaronder innovatieactoren. Het is derhalve belangrijk te bepalen welke groepen van acties</w:t>
      </w:r>
      <w:r>
        <w:rPr>
          <w:rFonts w:eastAsia="Calibri" w:cs="Times New Roman"/>
          <w:szCs w:val="20"/>
          <w:vertAlign w:val="superscript"/>
        </w:rPr>
        <w:footnoteReference w:id="59"/>
      </w:r>
      <w:r>
        <w:t xml:space="preserve"> het potentieel hebben om innovatie te bevorderen via de drie trajecten (zie </w:t>
      </w:r>
      <w:hyperlink w:anchor="Innovation_RD" w:history="1">
        <w:r>
          <w:rPr>
            <w:rStyle w:val="Hyperlink"/>
            <w:sz w:val="20"/>
            <w:szCs w:val="20"/>
          </w:rPr>
          <w:t>paragraaf 1.1</w:t>
        </w:r>
      </w:hyperlink>
      <w:r>
        <w:t xml:space="preserve">) en welke soorten belanghebbenden van het innovatiesysteem erbij betrokken zijn en invloed van deze acties kunnen ondervinden waar het bevordering van innovatie betreft. </w:t>
      </w:r>
    </w:p>
    <w:p w:rsidR="001327F5" w:rsidRDefault="00A45935" w:rsidP="00E05D08">
      <w:pPr>
        <w:spacing w:after="120" w:line="280" w:lineRule="atLeast"/>
        <w:mirrorIndents/>
        <w:rPr>
          <w:rFonts w:eastAsia="Calibri" w:cs="Times New Roman"/>
          <w:szCs w:val="20"/>
        </w:rPr>
      </w:pPr>
      <w:r>
        <w:lastRenderedPageBreak/>
        <w:t>De acties die in het NPN-actieplan zijn opgenomen vallen onder zeven groepen van activiteiten zoals bepaald in de verordening</w:t>
      </w:r>
      <w:r>
        <w:rPr>
          <w:rFonts w:eastAsia="Calibri" w:cs="Times New Roman"/>
          <w:szCs w:val="20"/>
          <w:vertAlign w:val="superscript"/>
        </w:rPr>
        <w:footnoteReference w:id="60"/>
      </w:r>
      <w:r>
        <w:t>. In onderstaande kaders staan voorbeelden van de manier waarop deze activiteiten verband kunnen houden met het bevorderen van innovatie.</w:t>
      </w:r>
    </w:p>
    <w:p w:rsidR="001327F5" w:rsidRPr="00E05D08" w:rsidRDefault="001327F5" w:rsidP="001327F5">
      <w:pPr>
        <w:spacing w:after="120" w:line="280" w:lineRule="atLeast"/>
        <w:mirrorIndents/>
        <w:rPr>
          <w:rFonts w:eastAsia="Calibri" w:cs="Times New Roman"/>
          <w:szCs w:val="20"/>
        </w:rPr>
      </w:pPr>
      <w:r>
        <w:t>Als onderdeel van technische bijstand zijn NPN's bedoeld om de implementatie van POP's te begeleiden en ondersteunen en aldus dragen ze direct bij aan het bevorderen van innovatie als horizontale doelstelling. NPN's werken echter ook in synergie met andere innovatieactoren van plattelandsontwikkeling, zoals LAG's van LEADER of het EIP-AGRI (zie voorbeeld in het kader).</w:t>
      </w:r>
    </w:p>
    <w:p w:rsidR="00A45935" w:rsidRPr="00E05D08" w:rsidRDefault="00547012"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mc:AlternateContent>
          <mc:Choice Requires="wps">
            <w:drawing>
              <wp:anchor distT="0" distB="0" distL="114300" distR="114300" simplePos="0" relativeHeight="251659264" behindDoc="1" locked="0" layoutInCell="1" allowOverlap="1" wp14:anchorId="5B25375A" wp14:editId="3DC94E9D">
                <wp:simplePos x="0" y="0"/>
                <wp:positionH relativeFrom="column">
                  <wp:posOffset>0</wp:posOffset>
                </wp:positionH>
                <wp:positionV relativeFrom="paragraph">
                  <wp:posOffset>197485</wp:posOffset>
                </wp:positionV>
                <wp:extent cx="5676900" cy="7239000"/>
                <wp:effectExtent l="0" t="0" r="19050" b="19050"/>
                <wp:wrapTight wrapText="bothSides">
                  <wp:wrapPolygon edited="0">
                    <wp:start x="797" y="0"/>
                    <wp:lineTo x="0" y="341"/>
                    <wp:lineTo x="0" y="21600"/>
                    <wp:lineTo x="20875" y="21600"/>
                    <wp:lineTo x="21600" y="21202"/>
                    <wp:lineTo x="21600" y="0"/>
                    <wp:lineTo x="797" y="0"/>
                  </wp:wrapPolygon>
                </wp:wrapTight>
                <wp:docPr id="28" name="Rectangle: Diagonal Corners Rounded 28"/>
                <wp:cNvGraphicFramePr/>
                <a:graphic xmlns:a="http://schemas.openxmlformats.org/drawingml/2006/main">
                  <a:graphicData uri="http://schemas.microsoft.com/office/word/2010/wordprocessingShape">
                    <wps:wsp>
                      <wps:cNvSpPr/>
                      <wps:spPr>
                        <a:xfrm>
                          <a:off x="0" y="0"/>
                          <a:ext cx="5676900" cy="7239000"/>
                        </a:xfrm>
                        <a:prstGeom prst="round2DiagRect">
                          <a:avLst>
                            <a:gd name="adj1" fmla="val 6054"/>
                            <a:gd name="adj2" fmla="val 0"/>
                          </a:avLst>
                        </a:prstGeom>
                        <a:noFill/>
                        <a:ln w="25400" cap="flat" cmpd="sng" algn="ctr">
                          <a:solidFill>
                            <a:srgbClr val="F07E31"/>
                          </a:solidFill>
                          <a:prstDash val="solid"/>
                        </a:ln>
                        <a:effectLst/>
                      </wps:spPr>
                      <wps:txbx>
                        <w:txbxContent>
                          <w:p w:rsidR="00891EED" w:rsidRPr="0079762F" w:rsidRDefault="00891EED" w:rsidP="00601253">
                            <w:pPr>
                              <w:pStyle w:val="HStandard"/>
                              <w:spacing w:after="0"/>
                              <w:ind w:left="567" w:hanging="567"/>
                              <w:rPr>
                                <w:i/>
                                <w:sz w:val="18"/>
                                <w:szCs w:val="18"/>
                              </w:rPr>
                            </w:pPr>
                            <w:r>
                              <w:rPr>
                                <w:noProof/>
                                <w:sz w:val="18"/>
                                <w:szCs w:val="18"/>
                                <w:lang w:val="en-GB" w:eastAsia="en-GB"/>
                              </w:rPr>
                              <w:drawing>
                                <wp:inline distT="0" distB="0" distL="0" distR="0" wp14:anchorId="469FDF10" wp14:editId="7E3D4C04">
                                  <wp:extent cx="353060" cy="359410"/>
                                  <wp:effectExtent l="0" t="0" r="8890" b="2540"/>
                                  <wp:docPr id="71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Nieuwe ideeën stimuleren en innovaties delen:</w:t>
                            </w:r>
                          </w:p>
                          <w:p w:rsidR="00891EED" w:rsidRPr="0079762F" w:rsidRDefault="00891EED" w:rsidP="008C0B17">
                            <w:pPr>
                              <w:pStyle w:val="HStandard"/>
                              <w:numPr>
                                <w:ilvl w:val="0"/>
                                <w:numId w:val="26"/>
                              </w:numPr>
                              <w:ind w:left="567" w:hanging="567"/>
                              <w:rPr>
                                <w:sz w:val="18"/>
                                <w:szCs w:val="18"/>
                              </w:rPr>
                            </w:pPr>
                            <w:r>
                              <w:rPr>
                                <w:sz w:val="18"/>
                                <w:szCs w:val="18"/>
                              </w:rPr>
                              <w:t>Verzamelen van projectvoorbeelden voor alle prioriteiten van het POP: het kan daarbij bijvoorbeeld gaan om innovatieve projecten of om het aanmaken van databases van innovatieve projecten, waardoor een bijdrage wordt geleverd aan het herkennen en delen van innovaties.</w:t>
                            </w:r>
                          </w:p>
                          <w:p w:rsidR="00891EED" w:rsidRPr="0079762F" w:rsidRDefault="00891EED" w:rsidP="008C0B17">
                            <w:pPr>
                              <w:pStyle w:val="HStandard"/>
                              <w:numPr>
                                <w:ilvl w:val="0"/>
                                <w:numId w:val="26"/>
                              </w:numPr>
                              <w:ind w:left="567" w:hanging="567"/>
                              <w:rPr>
                                <w:sz w:val="18"/>
                                <w:szCs w:val="18"/>
                              </w:rPr>
                            </w:pPr>
                            <w:r>
                              <w:rPr>
                                <w:sz w:val="18"/>
                                <w:szCs w:val="18"/>
                              </w:rPr>
                              <w:t>Faciliteren van thematische en analytische uitwisselingen tussen belanghebbenden van plattelandsontwikkeling, delen en verspreiden van resultaten. Dergelijke uitwisselingen kunnen ook innovatie bevorderen omdat nieuwe ideeën gestimuleerd en gedeeld worden en omdat de voorwaarden voor de ontwikkeling van nieuwe kennis worden geschapen.</w:t>
                            </w:r>
                          </w:p>
                          <w:p w:rsidR="00891EED" w:rsidRDefault="00891EED" w:rsidP="008C0B17">
                            <w:pPr>
                              <w:pStyle w:val="HStandard"/>
                              <w:numPr>
                                <w:ilvl w:val="0"/>
                                <w:numId w:val="26"/>
                              </w:numPr>
                              <w:ind w:left="567" w:hanging="567"/>
                              <w:rPr>
                                <w:sz w:val="18"/>
                                <w:szCs w:val="18"/>
                              </w:rPr>
                            </w:pPr>
                            <w:r>
                              <w:rPr>
                                <w:sz w:val="18"/>
                                <w:szCs w:val="18"/>
                              </w:rPr>
                              <w:t>Publiciteit en voorlichting met betrekking tot het POP en voorlichtings- en communicatie-activiteiten voor een breed publiek. Hierbij kan onder meer gedacht worden aan voorlichting over de innovatiegerelateerde resultaten van het POP, de resultaten van de OG's van het EIP, de manier waarop strategieën en partnerschappen in het kader van GGLO innovatie bevorderen en voorbeelden van dergelijke partnerschappen en innovatieve projecten in het kader van LEADER/GGLO enz.</w:t>
                            </w:r>
                          </w:p>
                          <w:p w:rsidR="00891EED" w:rsidRPr="00E05D08" w:rsidRDefault="00891EED" w:rsidP="00601253">
                            <w:pPr>
                              <w:pStyle w:val="HStandard"/>
                              <w:spacing w:after="0"/>
                              <w:rPr>
                                <w:b/>
                                <w:color w:val="F07E31"/>
                                <w:sz w:val="18"/>
                                <w:szCs w:val="18"/>
                              </w:rPr>
                            </w:pPr>
                            <w:r>
                              <w:rPr>
                                <w:b/>
                                <w:color w:val="F07E31"/>
                                <w:sz w:val="18"/>
                                <w:szCs w:val="18"/>
                              </w:rPr>
                              <w:t>Innovatiecapaciteit opbouwen:</w:t>
                            </w:r>
                          </w:p>
                          <w:p w:rsidR="00891EED" w:rsidRPr="0079762F" w:rsidRDefault="00891EED" w:rsidP="008A0CFF">
                            <w:pPr>
                              <w:pStyle w:val="HStandard"/>
                              <w:numPr>
                                <w:ilvl w:val="0"/>
                                <w:numId w:val="26"/>
                              </w:numPr>
                              <w:rPr>
                                <w:sz w:val="18"/>
                                <w:szCs w:val="18"/>
                              </w:rPr>
                            </w:pPr>
                            <w:r>
                              <w:rPr>
                                <w:sz w:val="18"/>
                                <w:szCs w:val="18"/>
                              </w:rPr>
                              <w:t>Verschaffing van opleidingen en netwerkactiviteiten voor adviseurs en innovatiesteundiensten, gericht op innovatie in de landbouw, bosbouw en andere sectoren waarop het POP betrekking heeft. Opleiding van adviseurs en innovatiesteundiensten kan bijvoorbeeld de oprichting van OG's van het EIP faciliteren en aldus bijdragen aan het opbouwen van innovatiecapaciteit in plattelandsgebieden, aangezien van OG's verwacht wordt dat ze innovatieve projecten ontwikkelen.</w:t>
                            </w:r>
                          </w:p>
                          <w:p w:rsidR="00891EED" w:rsidRPr="00ED3BAD" w:rsidRDefault="00891EED" w:rsidP="008A0CFF">
                            <w:pPr>
                              <w:pStyle w:val="HStandard"/>
                              <w:numPr>
                                <w:ilvl w:val="0"/>
                                <w:numId w:val="26"/>
                              </w:numPr>
                              <w:rPr>
                                <w:sz w:val="18"/>
                                <w:szCs w:val="18"/>
                              </w:rPr>
                            </w:pPr>
                            <w:r>
                              <w:rPr>
                                <w:sz w:val="18"/>
                                <w:szCs w:val="18"/>
                              </w:rPr>
                              <w:t>Verschaffing van opleiding en netwerkactiviteiten voor LAG's en in het bijzonder technische bijstand voor interregionale en transnationale samenwerking, facilitering van samenwerking tussen LAG's en het zoeken naar partners in het kader van M16 (samenwerking). Het NPN kan bijvoorbeeld gezamenlijke inspanningen ter ondersteuning van experimenten en innovatie faciliteren.</w:t>
                            </w:r>
                          </w:p>
                          <w:p w:rsidR="00891EED" w:rsidRPr="0079762F" w:rsidRDefault="00891EED" w:rsidP="00601253">
                            <w:pPr>
                              <w:pStyle w:val="HStandard"/>
                              <w:spacing w:after="0"/>
                              <w:ind w:left="567" w:hanging="567"/>
                              <w:rPr>
                                <w:i/>
                                <w:sz w:val="18"/>
                                <w:szCs w:val="18"/>
                              </w:rPr>
                            </w:pPr>
                            <w:r>
                              <w:rPr>
                                <w:b/>
                                <w:color w:val="F07E31"/>
                                <w:sz w:val="18"/>
                                <w:szCs w:val="18"/>
                              </w:rPr>
                              <w:t>Een faciliterende omgeving voor innovatie scheppen:</w:t>
                            </w:r>
                          </w:p>
                          <w:p w:rsidR="00891EED" w:rsidRPr="00ED3BAD" w:rsidRDefault="00891EED" w:rsidP="008A0CFF">
                            <w:pPr>
                              <w:pStyle w:val="HStandard"/>
                              <w:numPr>
                                <w:ilvl w:val="0"/>
                                <w:numId w:val="29"/>
                              </w:numPr>
                              <w:ind w:left="567" w:hanging="567"/>
                              <w:rPr>
                                <w:sz w:val="18"/>
                                <w:szCs w:val="18"/>
                              </w:rPr>
                            </w:pPr>
                            <w:r>
                              <w:rPr>
                                <w:sz w:val="18"/>
                                <w:szCs w:val="18"/>
                              </w:rPr>
                              <w:t>Deelnemen en bijdragen aan de activiteiten van Europese netwerken, met name het ENPO en het EIP-AGRI, kan de mogelijkheid bieden om via die netwerken een faciliterende omgeving voor innovatie te scheppen.</w:t>
                            </w:r>
                          </w:p>
                          <w:p w:rsidR="00891EED" w:rsidRPr="00547012" w:rsidRDefault="00891EED" w:rsidP="00547012">
                            <w:pPr>
                              <w:pStyle w:val="HStandard"/>
                              <w:numPr>
                                <w:ilvl w:val="0"/>
                                <w:numId w:val="29"/>
                              </w:numPr>
                              <w:ind w:left="567" w:hanging="567"/>
                              <w:rPr>
                                <w:sz w:val="18"/>
                                <w:szCs w:val="18"/>
                              </w:rPr>
                            </w:pPr>
                            <w:r>
                              <w:rPr>
                                <w:sz w:val="18"/>
                                <w:szCs w:val="18"/>
                              </w:rPr>
                              <w:t>NPN's kunnen innovatie bevorderen door innovatieactoren (landbouwers, onderzoekers, ngo's, LAG's enz.) met elkaar te verbinden, informatie te verzamelen, initiatieven van onderop te stimuleren, innovatieve ideeën te helpen verfijnen en ondersteuning te bieden bij het vinden van partners en financiering. Al deze factoren dragen bij tot een faciliterende omgeving voor innovatie.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5375A" id="Rectangle: Diagonal Corners Rounded 28" o:spid="_x0000_s1050" style="position:absolute;left:0;text-align:left;margin-left:0;margin-top:15.55pt;width:447pt;height:57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6900,7239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" adj="-11796480,,5400" path="m343680,l5676900,r,l5676900,6895320v,189809,-153871,343680,-343680,343680l,7239000r,l,343680c,153871,153871,,343680,xe" filled="f" strokecolor="#f07e31" strokeweight="2pt">
                <v:stroke joinstyle="miter"/>
                <v:formulas/>
                <v:path arrowok="t" o:connecttype="custom" o:connectlocs="343680,0;5676900,0;5676900,0;5676900,6895320;5333220,7239000;0,7239000;0,7239000;0,343680;343680,0" o:connectangles="0,0,0,0,0,0,0,0,0" textboxrect="0,0,5676900,7239000"/>
                <v:textbox>
                  <w:txbxContent>
                    <w:p w:rsidR="00891EED" w:rsidRPr="0079762F" w:rsidRDefault="00891EED" w:rsidP="00601253">
                      <w:pPr>
                        <w:pStyle w:val="HStandard"/>
                        <w:spacing w:after="0"/>
                        <w:ind w:left="567" w:hanging="567"/>
                        <w:rPr>
                          <w:i/>
                          <w:sz w:val="18"/>
                          <w:szCs w:val="18"/>
                        </w:rPr>
                      </w:pPr>
                      <w:r>
                        <w:rPr>
                          <w:noProof/>
                          <w:sz w:val="18"/>
                          <w:szCs w:val="18"/>
                          <w:lang w:val="en-GB" w:eastAsia="en-GB"/>
                        </w:rPr>
                        <w:drawing>
                          <wp:inline distT="0" distB="0" distL="0" distR="0" wp14:anchorId="469FDF10" wp14:editId="7E3D4C04">
                            <wp:extent cx="353060" cy="359410"/>
                            <wp:effectExtent l="0" t="0" r="8890" b="2540"/>
                            <wp:docPr id="71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Nieuwe ideeën stimuleren en innovaties delen:</w:t>
                      </w:r>
                    </w:p>
                    <w:p w:rsidR="00891EED" w:rsidRPr="0079762F" w:rsidRDefault="00891EED" w:rsidP="008C0B17">
                      <w:pPr>
                        <w:pStyle w:val="HStandard"/>
                        <w:numPr>
                          <w:ilvl w:val="0"/>
                          <w:numId w:val="26"/>
                        </w:numPr>
                        <w:ind w:left="567" w:hanging="567"/>
                        <w:rPr>
                          <w:sz w:val="18"/>
                          <w:szCs w:val="18"/>
                        </w:rPr>
                      </w:pPr>
                      <w:r>
                        <w:rPr>
                          <w:sz w:val="18"/>
                          <w:szCs w:val="18"/>
                        </w:rPr>
                        <w:t>Verzamelen van projectvoorbeelden voor alle prioriteiten van het POP: het kan daarbij bijvoorbeeld gaan om innovatieve projecten of om het aanmaken van databases van innovatieve projecten, waardoor een bijdrage wordt geleverd aan het herkennen en delen van innovaties.</w:t>
                      </w:r>
                    </w:p>
                    <w:p w:rsidR="00891EED" w:rsidRPr="0079762F" w:rsidRDefault="00891EED" w:rsidP="008C0B17">
                      <w:pPr>
                        <w:pStyle w:val="HStandard"/>
                        <w:numPr>
                          <w:ilvl w:val="0"/>
                          <w:numId w:val="26"/>
                        </w:numPr>
                        <w:ind w:left="567" w:hanging="567"/>
                        <w:rPr>
                          <w:sz w:val="18"/>
                          <w:szCs w:val="18"/>
                        </w:rPr>
                      </w:pPr>
                      <w:r>
                        <w:rPr>
                          <w:sz w:val="18"/>
                          <w:szCs w:val="18"/>
                        </w:rPr>
                        <w:t>Faciliteren van thematische en analytische uitwisselingen tussen belanghebbenden van plattelandsontwikkeling, delen en verspreiden van resultaten. Dergelijke uitwisselingen kunnen ook innovatie bevorderen omdat nieuwe ideeën gestimuleerd en gedeeld worden en omdat de voorwaarden voor de ontwikkeling van nieuwe kennis worden geschapen.</w:t>
                      </w:r>
                    </w:p>
                    <w:p w:rsidR="00891EED" w:rsidRDefault="00891EED" w:rsidP="008C0B17">
                      <w:pPr>
                        <w:pStyle w:val="HStandard"/>
                        <w:numPr>
                          <w:ilvl w:val="0"/>
                          <w:numId w:val="26"/>
                        </w:numPr>
                        <w:ind w:left="567" w:hanging="567"/>
                        <w:rPr>
                          <w:sz w:val="18"/>
                          <w:szCs w:val="18"/>
                        </w:rPr>
                      </w:pPr>
                      <w:r>
                        <w:rPr>
                          <w:sz w:val="18"/>
                          <w:szCs w:val="18"/>
                        </w:rPr>
                        <w:t>Publiciteit en voorlichting met betrekking tot het POP en voorlichtings- en communicatie-activiteiten voor een breed publiek. Hierbij kan onder meer gedacht worden aan voorlichting over de innovatiegerelateerde resultaten van het POP, de resultaten van de OG's van het EIP, de manier waarop strategieën en partnerschappen in het kader van GGLO innovatie bevorderen en voorbeelden van dergelijke partnerschappen en innovatieve projecten in het kader van LEADER/GGLO enz.</w:t>
                      </w:r>
                    </w:p>
                    <w:p w:rsidR="00891EED" w:rsidRPr="00E05D08" w:rsidRDefault="00891EED" w:rsidP="00601253">
                      <w:pPr>
                        <w:pStyle w:val="HStandard"/>
                        <w:spacing w:after="0"/>
                        <w:rPr>
                          <w:b/>
                          <w:color w:val="F07E31"/>
                          <w:sz w:val="18"/>
                          <w:szCs w:val="18"/>
                        </w:rPr>
                      </w:pPr>
                      <w:r>
                        <w:rPr>
                          <w:b/>
                          <w:color w:val="F07E31"/>
                          <w:sz w:val="18"/>
                          <w:szCs w:val="18"/>
                        </w:rPr>
                        <w:t>Innovatiecapaciteit opbouwen:</w:t>
                      </w:r>
                    </w:p>
                    <w:p w:rsidR="00891EED" w:rsidRPr="0079762F" w:rsidRDefault="00891EED" w:rsidP="008A0CFF">
                      <w:pPr>
                        <w:pStyle w:val="HStandard"/>
                        <w:numPr>
                          <w:ilvl w:val="0"/>
                          <w:numId w:val="26"/>
                        </w:numPr>
                        <w:rPr>
                          <w:sz w:val="18"/>
                          <w:szCs w:val="18"/>
                        </w:rPr>
                      </w:pPr>
                      <w:r>
                        <w:rPr>
                          <w:sz w:val="18"/>
                          <w:szCs w:val="18"/>
                        </w:rPr>
                        <w:t>Verschaffing van opleidingen en netwerkactiviteiten voor adviseurs en innovatiesteundiensten, gericht op innovatie in de landbouw, bosbouw en andere sectoren waarop het POP betrekking heeft. Opleiding van adviseurs en innovatiesteundiensten kan bijvoorbeeld de oprichting van OG's van het EIP faciliteren en aldus bijdragen aan het opbouwen van innovatiecapaciteit in plattelandsgebieden, aangezien van OG's verwacht wordt dat ze innovatieve projecten ontwikkelen.</w:t>
                      </w:r>
                    </w:p>
                    <w:p w:rsidR="00891EED" w:rsidRPr="00ED3BAD" w:rsidRDefault="00891EED" w:rsidP="008A0CFF">
                      <w:pPr>
                        <w:pStyle w:val="HStandard"/>
                        <w:numPr>
                          <w:ilvl w:val="0"/>
                          <w:numId w:val="26"/>
                        </w:numPr>
                        <w:rPr>
                          <w:sz w:val="18"/>
                          <w:szCs w:val="18"/>
                        </w:rPr>
                      </w:pPr>
                      <w:r>
                        <w:rPr>
                          <w:sz w:val="18"/>
                          <w:szCs w:val="18"/>
                        </w:rPr>
                        <w:t>Verschaffing van opleiding en netwerkactiviteiten voor LAG's en in het bijzonder technische bijstand voor interregionale en transnationale samenwerking, facilitering van samenwerking tussen LAG's en het zoeken naar partners in het kader van M16 (samenwerking). Het NPN kan bijvoorbeeld gezamenlijke inspanningen ter ondersteuning van experimenten en innovatie faciliteren.</w:t>
                      </w:r>
                    </w:p>
                    <w:p w:rsidR="00891EED" w:rsidRPr="0079762F" w:rsidRDefault="00891EED" w:rsidP="00601253">
                      <w:pPr>
                        <w:pStyle w:val="HStandard"/>
                        <w:spacing w:after="0"/>
                        <w:ind w:left="567" w:hanging="567"/>
                        <w:rPr>
                          <w:i/>
                          <w:sz w:val="18"/>
                          <w:szCs w:val="18"/>
                        </w:rPr>
                      </w:pPr>
                      <w:r>
                        <w:rPr>
                          <w:b/>
                          <w:color w:val="F07E31"/>
                          <w:sz w:val="18"/>
                          <w:szCs w:val="18"/>
                        </w:rPr>
                        <w:t>Een faciliterende omgeving voor innovatie scheppen:</w:t>
                      </w:r>
                    </w:p>
                    <w:p w:rsidR="00891EED" w:rsidRPr="00ED3BAD" w:rsidRDefault="00891EED" w:rsidP="008A0CFF">
                      <w:pPr>
                        <w:pStyle w:val="HStandard"/>
                        <w:numPr>
                          <w:ilvl w:val="0"/>
                          <w:numId w:val="29"/>
                        </w:numPr>
                        <w:ind w:left="567" w:hanging="567"/>
                        <w:rPr>
                          <w:sz w:val="18"/>
                          <w:szCs w:val="18"/>
                        </w:rPr>
                      </w:pPr>
                      <w:r>
                        <w:rPr>
                          <w:sz w:val="18"/>
                          <w:szCs w:val="18"/>
                        </w:rPr>
                        <w:t>Deelnemen en bijdragen aan de activiteiten van Europese netwerken, met name het ENPO en het EIP-AGRI, kan de mogelijkheid bieden om via die netwerken een faciliterende omgeving voor innovatie te scheppen.</w:t>
                      </w:r>
                    </w:p>
                    <w:p w:rsidR="00891EED" w:rsidRPr="00547012" w:rsidRDefault="00891EED" w:rsidP="00547012">
                      <w:pPr>
                        <w:pStyle w:val="HStandard"/>
                        <w:numPr>
                          <w:ilvl w:val="0"/>
                          <w:numId w:val="29"/>
                        </w:numPr>
                        <w:ind w:left="567" w:hanging="567"/>
                        <w:rPr>
                          <w:sz w:val="18"/>
                          <w:szCs w:val="18"/>
                        </w:rPr>
                      </w:pPr>
                      <w:r>
                        <w:rPr>
                          <w:sz w:val="18"/>
                          <w:szCs w:val="18"/>
                        </w:rPr>
                        <w:t>NPN's kunnen innovatie bevorderen door innovatieactoren (landbouwers, onderzoekers, ngo's, LAG's enz.) met elkaar te verbinden, informatie te verzamelen, initiatieven van onderop te stimuleren, innovatieve ideeën te helpen verfijnen en ondersteuning te bieden bij het vinden van partners en financiering. Al deze factoren dragen bij tot een faciliterende omgeving voor innovatie.</w:t>
                      </w:r>
                    </w:p>
                  </w:txbxContent>
                </v:textbox>
                <w10:wrap type="tight"/>
              </v:shape>
            </w:pict>
          </mc:Fallback>
        </mc:AlternateContent>
      </w:r>
    </w:p>
    <w:p w:rsidR="00A45935" w:rsidRPr="00E05D08" w:rsidRDefault="00A45935" w:rsidP="00E05D08">
      <w:pPr>
        <w:spacing w:before="120"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E05D08" w:rsidRDefault="00A45935" w:rsidP="00E05D08">
      <w:pPr>
        <w:spacing w:before="120" w:after="120" w:line="280" w:lineRule="atLeast"/>
        <w:mirrorIndents/>
        <w:rPr>
          <w:rFonts w:eastAsia="Times New Roman" w:cs="Times New Roman"/>
          <w:szCs w:val="20"/>
        </w:rPr>
      </w:pPr>
      <w:r>
        <w:lastRenderedPageBreak/>
        <w:t>Deze evaluatievraag over innovatiebevordering door NPN's heeft niet alleen betrekking op de landbouw, maar op plattelandsgebieden in hun geheel. NPN's kunnen op vele manieren actief zijn om innovatie te bevorderen en plattelandsgemeenschappen "iets nieuws" te bieden, door:</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met plattelandsorganisaties en bedrijven samen te werken om nieuwe ideeën en benaderingen te genereren teneinde gemeenschappelijke behoeften te vervullen;</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profijt te trekken van goede praktijken door beroepsbeoefenaars op het gebied van plattelandsontwikkeling en relevante deskundigen, de academische wereld en onderzoeksinstellingen met elkaar te verbinden;</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opleidingen te verschaffen over specifieke innovatiegerelateerde onderwerpen;</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 xml:space="preserve">LAG's en LEADER-belanghebbenden te helpen bij het ondersteunen van innovatie als kernbeginsel van hun lokale ontwikkelingsstrategieën en nieuwe ideeën en benaderingen "uit te broeden". </w:t>
      </w:r>
    </w:p>
    <w:p w:rsidR="00A45935" w:rsidRPr="00E05D08" w:rsidRDefault="00A45935" w:rsidP="00E05D08">
      <w:pPr>
        <w:spacing w:after="120" w:line="280" w:lineRule="atLeast"/>
        <w:mirrorIndents/>
        <w:rPr>
          <w:rFonts w:eastAsia="Times New Roman" w:cs="Times New Roman"/>
          <w:szCs w:val="20"/>
        </w:rPr>
      </w:pPr>
      <w:r>
        <w:t>Alvorens CEQ nr. 21 te beantwoorden is het derhalve belangrijk om deze aspecten helder te krijgen en een goed inzicht te verwerven in de manier waarop een bepaald NPN door middel van zijn activiteiten innovatie kan bevorderen.</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Specifieke uitdagingen </w:t>
      </w:r>
    </w:p>
    <w:p w:rsidR="00A45935" w:rsidRPr="00C9522B" w:rsidRDefault="00A45935" w:rsidP="00547012">
      <w:pPr>
        <w:pStyle w:val="Hlistbullet"/>
      </w:pPr>
      <w:r>
        <w:rPr>
          <w:b/>
          <w:shd w:val="clear" w:color="auto" w:fill="FFFFFF"/>
        </w:rPr>
        <w:t>Aanvullende en programmaspecifieke evaluatie-elementen ontwikkelen om innovatie te beoordelen met betrekking tot NPN's</w:t>
      </w:r>
      <w:r>
        <w:rPr>
          <w:shd w:val="clear" w:color="auto" w:fill="FFFFFF"/>
        </w:rPr>
        <w:t xml:space="preserve">. </w:t>
      </w:r>
      <w:r>
        <w:t xml:space="preserve">Hoe kunnen naast de outputindicatoren die al in het GMES vervat zijn aanvullende (resultaat- en effect)indicatoren worden bedacht en gebruikt om CEQ nr. 21 te beantwoorden vanuit het oogpunt van innovatiebevordering? </w:t>
      </w:r>
    </w:p>
    <w:p w:rsidR="00A45935" w:rsidRPr="00C9522B" w:rsidRDefault="00A45935" w:rsidP="00547012">
      <w:pPr>
        <w:pStyle w:val="Hlistbullet"/>
      </w:pPr>
      <w:r>
        <w:rPr>
          <w:b/>
          <w:shd w:val="clear" w:color="auto" w:fill="FFFFFF"/>
        </w:rPr>
        <w:t xml:space="preserve">De innovatieprocessen toewijzen aan de NPN-interventies. </w:t>
      </w:r>
      <w:r>
        <w:rPr>
          <w:shd w:val="clear" w:color="auto" w:fill="FFFFFF"/>
        </w:rPr>
        <w:t>Hoe kan de mate waarin de in plattelandsgebieden gegenereerde innovatieprocessen direct of indirect aan NPN-activiteiten kunnen worden toegewezen, worden gemeten?</w:t>
      </w:r>
    </w:p>
    <w:p w:rsidR="00A45935" w:rsidRPr="00C9522B" w:rsidRDefault="00A45935" w:rsidP="00547012">
      <w:pPr>
        <w:pStyle w:val="Hlistbullet"/>
      </w:pPr>
      <w:r>
        <w:rPr>
          <w:b/>
        </w:rPr>
        <w:t>Via het POP bevorderde innovatie aan het NPN toewijzen</w:t>
      </w:r>
      <w:r>
        <w:t xml:space="preserve">, met name door vast te stellen in welke mate de door het POP bevorderde innovatie aan de NPN-activiteiten gekoppeld kan worden. Dit houdt in dat de gevolgen van de innovatiebevorderende activiteiten van het NPN los gezien moeten worden van de gevolgen van andere steunmaatregelen in het kader van het POP (andere maatregelen enz.).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Voorgestelde aanpak om CEQ nr. 21 te beantwoorden</w:t>
      </w:r>
    </w:p>
    <w:p w:rsidR="00A45935" w:rsidRPr="00A304B0" w:rsidRDefault="00A45935" w:rsidP="008C0B17">
      <w:pPr>
        <w:numPr>
          <w:ilvl w:val="0"/>
          <w:numId w:val="60"/>
        </w:numPr>
        <w:spacing w:before="120" w:after="120" w:line="280" w:lineRule="atLeast"/>
        <w:ind w:left="567" w:hanging="567"/>
        <w:mirrorIndents/>
        <w:rPr>
          <w:rFonts w:eastAsia="Times New Roman" w:cs="Times New Roman"/>
          <w:b/>
          <w:szCs w:val="20"/>
        </w:rPr>
      </w:pPr>
      <w:r>
        <w:rPr>
          <w:b/>
          <w:szCs w:val="20"/>
        </w:rPr>
        <w:t xml:space="preserve">Interventielogica </w:t>
      </w:r>
    </w:p>
    <w:p w:rsidR="00A45935" w:rsidRPr="00E05D08" w:rsidRDefault="00A45935" w:rsidP="00E05D08">
      <w:pPr>
        <w:spacing w:after="120" w:line="280" w:lineRule="atLeast"/>
        <w:mirrorIndents/>
        <w:rPr>
          <w:rFonts w:eastAsia="Times New Roman" w:cs="Times New Roman"/>
          <w:szCs w:val="20"/>
        </w:rPr>
      </w:pPr>
      <w:r>
        <w:t>De aanpak van het POP inzake innovatie zoals vastgesteld tijdens het programma-ontwerp</w:t>
      </w:r>
      <w:r>
        <w:rPr>
          <w:rFonts w:eastAsia="Times New Roman" w:cs="Times New Roman"/>
          <w:szCs w:val="20"/>
          <w:vertAlign w:val="superscript"/>
          <w:lang w:eastAsia="de-DE"/>
        </w:rPr>
        <w:footnoteReference w:id="61"/>
      </w:r>
      <w:r>
        <w:t xml:space="preserve"> omvat ook het NPN. Bij het uitwerken van de evaluatie die in het in 2019 in te dienen JUV gerapporteerd dient te worden, wordt de groep in het NPN opgenomen acties op dezelfde manier als de POP-maatregelen gescreend op innovatiebevorderend potentieel. Daarbij gaat het om het potentieel van het NPN om: a) nieuwe ideeën te herkennen en te delen, b) innovatiecapaciteit op te bouwen, c) een faciliterende omgeving voor innovatie te scheppen. Bijgevolg worden alle in het kader van de groep van acties van het NPN geïmplementeerde activiteiten die blijk van innovatiepotentieel hebben gegeven, beschouwd als deel van de onderliggende innovatiegerelateerde interventielogica van het NPN.</w:t>
      </w:r>
    </w:p>
    <w:p w:rsidR="00A45935" w:rsidRPr="00E05D08" w:rsidRDefault="00A45935" w:rsidP="006E2A31">
      <w:pPr>
        <w:pStyle w:val="HStandard"/>
        <w:rPr>
          <w:b/>
          <w:sz w:val="16"/>
        </w:rPr>
      </w:pPr>
      <w:r>
        <w:lastRenderedPageBreak/>
        <w:t xml:space="preserve">De onderstaande figuur illustreert de innovatiegerelateerde interventielogica van het NPN en de manier waarop die uit de bestaande interventielogica of het actieplan van het NPN gereconstrueerd kan worden. </w:t>
      </w:r>
      <w:r>
        <w:br w:type="page"/>
      </w:r>
    </w:p>
    <w:p w:rsidR="00A45935" w:rsidRPr="00CB68D9" w:rsidRDefault="00A45935" w:rsidP="00676B41">
      <w:pPr>
        <w:pStyle w:val="HHeadingfigures"/>
      </w:pPr>
      <w:bookmarkStart w:id="121" w:name="_Toc511656302"/>
      <w:r>
        <w:lastRenderedPageBreak/>
        <w:t>Interventielogica van het NPN met betrekking tot innovatie</w:t>
      </w:r>
      <w:bookmarkEnd w:id="121"/>
    </w:p>
    <w:p w:rsidR="00A45935" w:rsidRPr="00E05D08" w:rsidRDefault="001E4A08" w:rsidP="00E05D08">
      <w:pPr>
        <w:spacing w:before="240" w:after="120" w:line="280" w:lineRule="atLeast"/>
        <w:ind w:left="-142"/>
        <w:mirrorIndents/>
        <w:jc w:val="center"/>
        <w:rPr>
          <w:rFonts w:eastAsia="Times New Roman" w:cs="Times New Roman"/>
          <w:b/>
          <w:szCs w:val="20"/>
        </w:rPr>
      </w:pPr>
      <w:r w:rsidRPr="001E4A08">
        <w:rPr>
          <w:noProof/>
          <w:lang w:val="en-GB" w:eastAsia="en-GB"/>
        </w:rPr>
        <w:drawing>
          <wp:inline distT="0" distB="0" distL="0" distR="0" wp14:anchorId="6ED9AB7C" wp14:editId="2F9494B5">
            <wp:extent cx="5731510" cy="3657452"/>
            <wp:effectExtent l="0" t="0" r="2540" b="635"/>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3657452"/>
                    </a:xfrm>
                    <a:prstGeom prst="rect">
                      <a:avLst/>
                    </a:prstGeom>
                    <a:noFill/>
                    <a:ln>
                      <a:noFill/>
                    </a:ln>
                  </pic:spPr>
                </pic:pic>
              </a:graphicData>
            </a:graphic>
          </wp:inline>
        </w:drawing>
      </w:r>
    </w:p>
    <w:p w:rsidR="00A45935" w:rsidRPr="00E05D08" w:rsidRDefault="00A45935" w:rsidP="00177C4F">
      <w:pPr>
        <w:suppressAutoHyphens/>
        <w:spacing w:before="60" w:after="140" w:line="240" w:lineRule="auto"/>
        <w:mirrorIndents/>
        <w:jc w:val="center"/>
        <w:rPr>
          <w:rFonts w:eastAsia="Times New Roman" w:cs="Times New Roman"/>
          <w:i/>
          <w:sz w:val="16"/>
          <w:szCs w:val="20"/>
        </w:rPr>
      </w:pPr>
      <w:r>
        <w:rPr>
          <w:i/>
          <w:sz w:val="16"/>
          <w:szCs w:val="20"/>
        </w:rPr>
        <w:t>Bron: Europese evaluatiehelpdesk voor plattelandsontwikkeling, 2017</w:t>
      </w:r>
    </w:p>
    <w:p w:rsidR="00A45935" w:rsidRPr="00E05D08" w:rsidRDefault="00A45935" w:rsidP="00E05D08">
      <w:pPr>
        <w:spacing w:before="120" w:after="120" w:line="280" w:lineRule="atLeast"/>
        <w:mirrorIndents/>
        <w:rPr>
          <w:rFonts w:eastAsia="Times New Roman" w:cs="Times New Roman"/>
          <w:szCs w:val="20"/>
        </w:rPr>
      </w:pPr>
      <w:r>
        <w:t>Op basis van de figuur kan als volgt een innovatiegerelateerde interventielogica van het NPN worden gereconstrueerd:</w:t>
      </w:r>
    </w:p>
    <w:p w:rsidR="00A45935" w:rsidRPr="00BC2432" w:rsidRDefault="00A45935" w:rsidP="00676B41">
      <w:pPr>
        <w:pStyle w:val="Hlistbullet"/>
      </w:pPr>
      <w:r>
        <w:rPr>
          <w:b/>
        </w:rPr>
        <w:t>STAP 1:</w:t>
      </w:r>
      <w:r>
        <w:t xml:space="preserve"> Vaststellen welke innovatiebehoeften van het POP-gebied via plattelandsnetwerken aangepakt kunnen worden. </w:t>
      </w:r>
    </w:p>
    <w:p w:rsidR="00A45935" w:rsidRPr="00BC2432" w:rsidRDefault="00A45935" w:rsidP="00676B41">
      <w:pPr>
        <w:pStyle w:val="Hlistbullet"/>
      </w:pPr>
      <w:r>
        <w:rPr>
          <w:b/>
        </w:rPr>
        <w:t>STAP 2:</w:t>
      </w:r>
      <w:r>
        <w:t xml:space="preserve"> De activiteiten die in het actieplan van het NPN zijn vermeld (en in het regelgevingskader van de programmeringsperiode 2014-2020 vooraf zijn gedefinieerd</w:t>
      </w:r>
      <w:r>
        <w:rPr>
          <w:rFonts w:cs="Arial"/>
          <w:vertAlign w:val="superscript"/>
        </w:rPr>
        <w:footnoteReference w:id="62"/>
      </w:r>
      <w:r>
        <w:t xml:space="preserve">) koppelen aan de drie trajecten en bijgevolg aan de overkoepelende doelstelling om innovatie te bevorderen door middel van het NPN (zoals gebaseerd op de analyse van het innovatiepotentieel van maatregelen, zie </w:t>
      </w:r>
      <w:hyperlink w:anchor="Screening_Potential" w:history="1">
        <w:r>
          <w:rPr>
            <w:rStyle w:val="Hyperlink"/>
            <w:sz w:val="20"/>
          </w:rPr>
          <w:t>paragraaf 2.2</w:t>
        </w:r>
      </w:hyperlink>
      <w:r>
        <w:t>).</w:t>
      </w:r>
    </w:p>
    <w:p w:rsidR="00A45935" w:rsidRPr="00BC2432" w:rsidRDefault="00A45935" w:rsidP="00676B41">
      <w:pPr>
        <w:pStyle w:val="Hlistbullet"/>
      </w:pPr>
      <w:r>
        <w:rPr>
          <w:b/>
        </w:rPr>
        <w:t>STAP 3:</w:t>
      </w:r>
      <w:r>
        <w:t xml:space="preserve"> De veranderingstheorie gebruiken om de met de activiteiten gegenereerde verwachte outputs te definiëren, die tot de aan de drie trajecten gekoppelde verwachte resultaten leiden. Effecten gekoppeld aan de gemeenschappelijke NPN- en POP-doelstellingen. </w:t>
      </w:r>
    </w:p>
    <w:p w:rsidR="00A45935" w:rsidRPr="00E05D08" w:rsidRDefault="00A45935" w:rsidP="008C0B17">
      <w:pPr>
        <w:numPr>
          <w:ilvl w:val="0"/>
          <w:numId w:val="60"/>
        </w:numPr>
        <w:spacing w:before="120" w:after="120" w:line="280" w:lineRule="atLeast"/>
        <w:ind w:left="567" w:hanging="567"/>
        <w:mirrorIndents/>
        <w:rPr>
          <w:rFonts w:eastAsia="Times New Roman" w:cs="Times New Roman"/>
          <w:b/>
          <w:szCs w:val="20"/>
        </w:rPr>
      </w:pPr>
      <w:r>
        <w:rPr>
          <w:b/>
          <w:szCs w:val="20"/>
        </w:rPr>
        <w:t xml:space="preserve">Evaluatie-elementen </w:t>
      </w:r>
    </w:p>
    <w:p w:rsidR="00A45935" w:rsidRPr="00E05D08" w:rsidRDefault="00A45935" w:rsidP="00676B41">
      <w:pPr>
        <w:spacing w:after="120" w:line="280" w:lineRule="atLeast"/>
        <w:ind w:left="142"/>
        <w:mirrorIndents/>
        <w:rPr>
          <w:rFonts w:eastAsia="Times New Roman" w:cs="Times New Roman"/>
          <w:szCs w:val="20"/>
        </w:rPr>
      </w:pPr>
      <w:r>
        <w:t>Er is één beoordelingscriterium voor het beantwoorden van CEQ nr. 21, namelijk "Innovatie in landbouw, voedselproductie, bosbouw en plattelandsgebieden is bevorderd door het NPN"</w:t>
      </w:r>
      <w:r>
        <w:rPr>
          <w:rFonts w:eastAsia="Times New Roman" w:cs="Times New Roman"/>
          <w:szCs w:val="20"/>
          <w:vertAlign w:val="superscript"/>
          <w:lang w:eastAsia="de-DE"/>
        </w:rPr>
        <w:footnoteReference w:id="63"/>
      </w:r>
      <w:r>
        <w:t>. Dit wordt door twee gemeenschappelijke outputindicatoren ondersteund</w:t>
      </w:r>
      <w:r>
        <w:rPr>
          <w:rFonts w:eastAsia="Times New Roman" w:cs="Times New Roman"/>
          <w:szCs w:val="20"/>
          <w:vertAlign w:val="superscript"/>
          <w:lang w:eastAsia="de-DE"/>
        </w:rPr>
        <w:footnoteReference w:id="64"/>
      </w:r>
      <w:r>
        <w:t>:</w:t>
      </w:r>
    </w:p>
    <w:p w:rsidR="00A45935" w:rsidRPr="005D0347" w:rsidRDefault="00A45935" w:rsidP="008C0B17">
      <w:pPr>
        <w:numPr>
          <w:ilvl w:val="0"/>
          <w:numId w:val="95"/>
        </w:numPr>
        <w:tabs>
          <w:tab w:val="left" w:pos="426"/>
        </w:tabs>
        <w:ind w:left="426" w:hanging="284"/>
        <w:mirrorIndents/>
        <w:rPr>
          <w:szCs w:val="20"/>
        </w:rPr>
      </w:pPr>
      <w:r>
        <w:t>Aantal thematische en analytische uitwisselingen, opgezet met steun van het NPN (O24)</w:t>
      </w:r>
    </w:p>
    <w:p w:rsidR="00A45935" w:rsidRPr="005D0347" w:rsidRDefault="00A45935" w:rsidP="008C0B17">
      <w:pPr>
        <w:numPr>
          <w:ilvl w:val="0"/>
          <w:numId w:val="95"/>
        </w:numPr>
        <w:tabs>
          <w:tab w:val="left" w:pos="426"/>
        </w:tabs>
        <w:ind w:left="426" w:hanging="284"/>
        <w:mirrorIndents/>
        <w:rPr>
          <w:szCs w:val="20"/>
        </w:rPr>
      </w:pPr>
      <w:r>
        <w:t>Aantal ENPO-activiteiten waaraan het NPN heeft deelgenomen (O26)</w:t>
      </w:r>
    </w:p>
    <w:p w:rsidR="00A45935" w:rsidRPr="00E05D08" w:rsidRDefault="00A45935" w:rsidP="00E05D08">
      <w:pPr>
        <w:spacing w:after="120" w:line="280" w:lineRule="atLeast"/>
        <w:mirrorIndents/>
        <w:rPr>
          <w:rFonts w:eastAsia="Times New Roman" w:cs="Times New Roman"/>
          <w:szCs w:val="20"/>
        </w:rPr>
      </w:pPr>
      <w:r>
        <w:lastRenderedPageBreak/>
        <w:t>Aanvullende beoordelingscriteria en indicatoren staan vermeld in tabel 5. Hiertoe is het bestaande beoordelingscriterium opgesplitst in verschillende criteria langs de drie innovatietrajecten.</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412D26" w:rsidRDefault="00A45935" w:rsidP="00412D26">
      <w:pPr>
        <w:pStyle w:val="HHeadingtables"/>
        <w:rPr>
          <w:color w:val="6F6F6F"/>
          <w:sz w:val="18"/>
          <w:szCs w:val="18"/>
        </w:rPr>
      </w:pPr>
      <w:bookmarkStart w:id="122" w:name="_Toc511656286"/>
      <w:r>
        <w:rPr>
          <w:color w:val="6F6F6F"/>
          <w:sz w:val="18"/>
          <w:szCs w:val="18"/>
        </w:rPr>
        <w:lastRenderedPageBreak/>
        <w:t>Voorgestelde aanvullende beoordelingscriteria, indicatoren en gegevens ter beantwoording van CEQ nr. 21</w:t>
      </w:r>
      <w:bookmarkEnd w:id="122"/>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A45935" w:rsidRPr="00E05D08" w:rsidTr="00E05D08">
        <w:trPr>
          <w:tblHeader/>
        </w:trPr>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Beoordelingscriteria</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Indicatoren</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Benodigde gegevens</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Gegevensbronnen</w:t>
            </w:r>
          </w:p>
        </w:tc>
      </w:tr>
      <w:tr w:rsidR="00A45935" w:rsidRPr="00E05D08" w:rsidTr="00E05D08">
        <w:trPr>
          <w:trHeight w:val="290"/>
        </w:trPr>
        <w:tc>
          <w:tcPr>
            <w:tcW w:w="14032" w:type="dxa"/>
            <w:gridSpan w:val="4"/>
            <w:shd w:val="clear" w:color="auto" w:fill="8BAB80"/>
          </w:tcPr>
          <w:p w:rsidR="00A45935" w:rsidRPr="00E54013" w:rsidRDefault="00A45935" w:rsidP="00E05D08">
            <w:pPr>
              <w:spacing w:after="120" w:line="280" w:lineRule="atLeast"/>
              <w:mirrorIndents/>
              <w:rPr>
                <w:rFonts w:cs="Arial"/>
                <w:b/>
                <w:color w:val="FFFFFF"/>
                <w:sz w:val="18"/>
                <w:szCs w:val="18"/>
              </w:rPr>
            </w:pPr>
            <w:r>
              <w:rPr>
                <w:b/>
                <w:color w:val="FFFFFF"/>
                <w:sz w:val="18"/>
                <w:szCs w:val="18"/>
              </w:rPr>
              <w:t>Gemeenschappelijke evaluatie-elementen (GMES en overeenkomstig het werkdocument "</w:t>
            </w:r>
            <w:r>
              <w:rPr>
                <w:b/>
                <w:i/>
                <w:color w:val="FFFFFF"/>
                <w:sz w:val="18"/>
                <w:szCs w:val="18"/>
              </w:rPr>
              <w:t>Common evaluation questions 2014-2020</w:t>
            </w:r>
            <w:r>
              <w:rPr>
                <w:b/>
                <w:color w:val="FFFFFF"/>
                <w:sz w:val="18"/>
                <w:szCs w:val="18"/>
              </w:rPr>
              <w:t>")</w:t>
            </w:r>
          </w:p>
        </w:tc>
      </w:tr>
      <w:tr w:rsidR="00A45935" w:rsidRPr="00E05D08" w:rsidTr="00E05D08">
        <w:trPr>
          <w:trHeight w:val="500"/>
        </w:trPr>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Innovatie in landbouw, voedselproductie, bosbouw en plattelandsgebieden is bevorderd door het NPN.</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O24 – Aantal thematische en analytische uitwisselingen (in verband met innovatie), opgezet met steun van het NPN.</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O25 – Aantal NPN-communicatiemiddelen (in verband met innovatie).</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O26 – Aantal ENPO-activiteiten (in verband met innovatie) waaraan het NPN heeft deelgenomen. </w:t>
            </w:r>
          </w:p>
          <w:p w:rsidR="00A45935" w:rsidRPr="00385368" w:rsidRDefault="00A45935" w:rsidP="007E63EF">
            <w:pPr>
              <w:spacing w:after="120" w:line="280" w:lineRule="atLeast"/>
              <w:jc w:val="left"/>
              <w:rPr>
                <w:rFonts w:eastAsia="Calibri" w:cs="Arial"/>
                <w:color w:val="57825E"/>
                <w:sz w:val="18"/>
                <w:szCs w:val="18"/>
                <w:u w:val="single"/>
                <w14:textFill>
                  <w14:solidFill>
                    <w14:srgbClr w14:val="57825E">
                      <w14:lumMod w14:val="75000"/>
                      <w14:lumMod w14:val="75000"/>
                    </w14:srgbClr>
                  </w14:solidFill>
                </w14:textFill>
              </w:rPr>
            </w:pPr>
            <w:r>
              <w:rPr>
                <w:color w:val="57825E"/>
                <w:sz w:val="18"/>
                <w:szCs w:val="18"/>
                <w:u w:val="single"/>
                <w14:textFill>
                  <w14:solidFill>
                    <w14:srgbClr w14:val="57825E">
                      <w14:lumMod w14:val="75000"/>
                      <w14:lumMod w14:val="75000"/>
                    </w14:srgbClr>
                  </w14:solidFill>
                </w14:textFill>
              </w:rPr>
              <w:t>Aanvullende indicator:</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color w:val="57825E"/>
                <w:sz w:val="18"/>
                <w:szCs w:val="18"/>
                <w14:textFill>
                  <w14:solidFill>
                    <w14:srgbClr w14:val="57825E">
                      <w14:lumMod w14:val="75000"/>
                      <w14:lumMod w14:val="75000"/>
                    </w14:srgbClr>
                  </w14:solidFill>
                </w14:textFill>
              </w:rPr>
              <w:t>Percentage van innovatieve projecten aangemoedigd door het NPN van het totale aantal innovatieve projecten aangemoedigd door het POP.</w:t>
            </w:r>
            <w:r>
              <w:rPr>
                <w:sz w:val="18"/>
                <w:szCs w:val="18"/>
                <w14:textFill>
                  <w14:solidFill>
                    <w14:srgbClr w14:val="373737">
                      <w14:lumMod w14:val="75000"/>
                    </w14:srgbClr>
                  </w14:solidFill>
                </w14:textFill>
              </w:rPr>
              <w:t xml:space="preserve">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Gegevens over door het NPN opgezette innovatieve thematische en analytische uitwisselingen.</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Gegevens over door het NPN ingestelde communicatiemiddelen in verband met innovatie.</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Informatie over activiteiten van het ENPO in verband met innovatie waaraan het NPN heeft deelgenomen.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Gegevens over door het NPN in gang gezette/ondersteunde innovatieprojecten van het POP.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POP-monitoringsysteem.</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Monitoring en zelfbeoordeling NPN.</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Monitoring ENPO (netwerkstatistieken).</w:t>
            </w:r>
          </w:p>
        </w:tc>
      </w:tr>
      <w:tr w:rsidR="00A45935" w:rsidRPr="00E05D08" w:rsidTr="00E05D08">
        <w:trPr>
          <w:trHeight w:val="461"/>
        </w:trPr>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Aanvullende evaluatie-elementen gekoppeld aan de bijdrage van het NPN aan de vaststelling en het delen van innovatie (optioneel)</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De door het NPN uitgevoerde publiciteits-, voorlichtings- en communicatie-activiteiten met betrekking tot innovatie in het POP zijn toegenomen.</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Aantal door het NPN uitgevoerde publiciteits-, voorlichtings- en communicatie-activiteiten met betrekking tot innovatie.</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Aantal publiciteits-, voorlichtings- en communicatie-activiteiten per onderwerp.</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Monitoring en zelfbeoordeling van het NPN.</w:t>
            </w:r>
          </w:p>
          <w:p w:rsidR="00A45935" w:rsidRPr="00E05D08" w:rsidRDefault="00E54013"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Interviews.</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Publicaties van het NPN.</w:t>
            </w:r>
          </w:p>
        </w:tc>
      </w:tr>
    </w:tbl>
    <w:p w:rsidR="00E54013" w:rsidRDefault="00E54013">
      <w:r>
        <w:br w:type="page"/>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310"/>
        <w:gridCol w:w="4409"/>
        <w:gridCol w:w="3429"/>
        <w:gridCol w:w="3334"/>
      </w:tblGrid>
      <w:tr w:rsidR="00E54013" w:rsidRPr="00E05D08" w:rsidTr="009F1589">
        <w:trPr>
          <w:tblHeader/>
        </w:trPr>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lastRenderedPageBreak/>
              <w:t>Beoordelingscriteria</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Indicatoren</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Benodigde gegevens</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Gegevensbronnen</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Aanvullende evaluatie-elementen gekoppeld aan de bijdrage van het NPN aan innovatiecapaciteit (optioneel)</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NPN-activiteiten met betrekking tot opleiding en netwerken zijn toegenomen voor: a) adviseurs en innovatiesteundiensten en/of b) LAG's.</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Aantal opleidings- en netwerkactiviteiten van het NPN voor: a) adviseurs en innovatiesteundiensten en/of b) LAG's.</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Aantal opleidings- en netwerkactiviteiten per doelgroep.</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NPN's (monitoring, zelfbeoordeling, interviews, publicaties).</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LAG's (interviews, enquêtes, focusgroepen).</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Het vermogen van adviseurs en innovatiesteundiensten om de oprichting van OG's te faciliteren is verbeterd dankzij de activiteiten van het NPN.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Aantal OG's opgericht met steun van adviseurs/innovatiesteundiensten die opleidings-/netwerkactiviteiten van het NPN hebben genoten.</w:t>
            </w:r>
          </w:p>
        </w:tc>
        <w:tc>
          <w:tcPr>
            <w:tcW w:w="3508" w:type="dxa"/>
          </w:tcPr>
          <w:p w:rsidR="00A45935" w:rsidRPr="00385368"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Aantal OG's opgericht met steun van adviseurs/innovatiesteundiensten.</w:t>
            </w:r>
          </w:p>
          <w:p w:rsidR="00A45935" w:rsidRPr="00385368"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Aantal OG's opgericht met steun van adviseurs/innovatiesteundiensten die opleidings-/netwerkactiviteiten van het NPN hebben genoten.</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NPN's (monitoring, zelfbeoordeling, interviews, publicaties).</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Enquêtes/focusgroepen met OG's.</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Enquêtes/focusgroepen met adviseurs (innovatiesteundiensten).</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 xml:space="preserve">Aanvullende evaluatie-elementen gekoppeld aan de bijdrage van het NPN aan het scheppen van een faciliterende omgeving voor innovatie </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De deelname van het NPN aan innovatiegerelateerde activiteiten van het ENPO is toegenomen.</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Aantal ENPO-activiteiten waaraan het NPN heeft deelgenomen (O26), onder meer in verband met innovatieonderwerpen.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Aantal ENPO-activiteiten waaraan het NPN heeft deelgenomen (gegeven O26), per onderwerp.</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Monitoringtabellen.</w:t>
            </w:r>
          </w:p>
          <w:p w:rsidR="00A45935" w:rsidRPr="00385368" w:rsidRDefault="00A45935" w:rsidP="009F1589">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NPN's (monitoring, zelfbeoordeling, interviews, publicaties).</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De deelname van het NPN aan de activiteiten van het EIP is toegenomen.</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Aantal en soort bijdragen van het NPN aan het EIP-AGRI, waaronder:</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Verstrekking van voorbeelden van projecten/goede praktijken die gericht zijn op innovatie;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Organisatie van bijeenkomsten over innovatie;</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Netwerkevenementen tussen belanghebbenden van innovatie, namelijk LAG's en OG's;</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Grensoverschrijdende uitwisseling van informatie over projecten, onderzoeksinitiatieven, thematische netwerken en financieringsmogelijkheden op grond </w:t>
            </w:r>
            <w:r>
              <w:rPr>
                <w:sz w:val="18"/>
                <w:szCs w:val="18"/>
                <w14:textFill>
                  <w14:solidFill>
                    <w14:srgbClr w14:val="373737">
                      <w14:lumMod w14:val="75000"/>
                    </w14:srgbClr>
                  </w14:solidFill>
                </w14:textFill>
              </w:rPr>
              <w:lastRenderedPageBreak/>
              <w:t>van Horizon 2020;</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Activiteiten ter ondersteuning van innovatiesteundiensten om innovatieve acties te stimuleren en OG's op te richten;</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Ondersteuning bij het zoeken naar partners.</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Aantal bijdragen van het NPN aan het EIP per soort, zoals bepaald in artikel 35, lid 2, onder a) tot en met f), van Verordening (EU) nr. 1305/2013.</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NPN's (monitoring, zelfbeoordeling, interviews, publicaties).</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Netwerkstructuur op lidstaatniveau voor innovatiesteundiensten (indien gescheiden van het NPN).</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Servicepunt van het EIP.</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Enquêtes/focusgroepen met betrekking tot projecten van OG's.</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Toegenomen samenwerking, uitwisselingen en netwerkactiviteiten tussen partners van innovatieprojecten.</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Aantal door het NPN aangemoedigde aanvullende netwerken/partnerschappen/samenwerkingsgroepen onder partners van innovatieprojecten.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Aantal door het NPN ondersteunde netwerken/partnerschappen en/of samenwerkingsgroepen onder partners van innovatieprojecten.</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Database NPN.</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Enquêtes/focusgroepen.</w:t>
            </w:r>
          </w:p>
        </w:tc>
      </w:tr>
    </w:tbl>
    <w:p w:rsidR="00A45935" w:rsidRPr="00E05D08" w:rsidRDefault="00A45935" w:rsidP="00E05D08">
      <w:pPr>
        <w:spacing w:after="120" w:line="280" w:lineRule="atLeast"/>
        <w:mirrorIndents/>
        <w:rPr>
          <w:rFonts w:eastAsia="Times New Roman" w:cs="Times New Roman"/>
          <w:sz w:val="18"/>
          <w:szCs w:val="18"/>
          <w:lang w:eastAsia="de-DE"/>
        </w:rPr>
        <w:sectPr w:rsidR="00A45935" w:rsidRPr="00E05D08" w:rsidSect="001F6F07">
          <w:endnotePr>
            <w:numFmt w:val="decimal"/>
          </w:endnotePr>
          <w:pgSz w:w="16840" w:h="11907" w:orient="landscape" w:code="9"/>
          <w:pgMar w:top="1440" w:right="1440" w:bottom="1440" w:left="1134" w:header="567" w:footer="1020" w:gutter="0"/>
          <w:cols w:space="708"/>
          <w:noEndnote/>
          <w:docGrid w:linePitch="435"/>
        </w:sectPr>
      </w:pPr>
    </w:p>
    <w:p w:rsidR="00A45935" w:rsidRPr="00E05D08" w:rsidRDefault="00A45935" w:rsidP="001120E4">
      <w:pPr>
        <w:numPr>
          <w:ilvl w:val="0"/>
          <w:numId w:val="60"/>
        </w:numPr>
        <w:spacing w:before="120" w:after="120" w:line="280" w:lineRule="atLeast"/>
        <w:ind w:left="567" w:hanging="567"/>
        <w:mirrorIndents/>
        <w:rPr>
          <w:rFonts w:eastAsia="Times New Roman" w:cs="Times New Roman"/>
          <w:b/>
          <w:szCs w:val="20"/>
        </w:rPr>
      </w:pPr>
      <w:r>
        <w:rPr>
          <w:b/>
          <w:szCs w:val="20"/>
        </w:rPr>
        <w:lastRenderedPageBreak/>
        <w:t xml:space="preserve">Voorgestelde evaluatiemethodologie </w:t>
      </w:r>
    </w:p>
    <w:p w:rsidR="00A45935" w:rsidRPr="00E05D08" w:rsidRDefault="00A45935" w:rsidP="00E05D08">
      <w:pPr>
        <w:spacing w:after="120" w:line="280" w:lineRule="atLeast"/>
        <w:mirrorIndents/>
        <w:rPr>
          <w:rFonts w:eastAsia="Times New Roman" w:cs="Arial"/>
          <w:szCs w:val="20"/>
        </w:rPr>
      </w:pPr>
      <w:r>
        <w:t>Om CEQ nr. 21 te beantwoorden, worden de volgende stappen aanbevolen:</w:t>
      </w:r>
    </w:p>
    <w:p w:rsidR="00A45935" w:rsidRPr="007707EC" w:rsidRDefault="00A45935" w:rsidP="00676B41">
      <w:pPr>
        <w:pStyle w:val="Hlistbullet"/>
      </w:pPr>
      <w:r>
        <w:rPr>
          <w:b/>
        </w:rPr>
        <w:t>STAP 1: Informatie verzamelen om vast te stellen welke bijdrage het NPN heeft geleverd aan het bevorderen van innovatie</w:t>
      </w:r>
      <w:r>
        <w:t xml:space="preserve"> bij belanghebbenden die bij de acties met innovatiepotentieel van het NPN betrokken zijn. Hiertoe kunnen de beoordelingscriteria en indicatoren worden gebruikt en de methoden uit tabel 6 hieronder worden uitgevoerd.</w:t>
      </w:r>
    </w:p>
    <w:p w:rsidR="00A45935" w:rsidRPr="007707EC" w:rsidRDefault="00A45935" w:rsidP="00676B41">
      <w:pPr>
        <w:pStyle w:val="Hlistbullet"/>
      </w:pPr>
      <w:r>
        <w:rPr>
          <w:b/>
        </w:rPr>
        <w:t>STAP 2: Outputindicatoren en NPN-specifieke innovatiegerelateerde indicatoren kwantificeren</w:t>
      </w:r>
      <w:r>
        <w:t xml:space="preserve"> door monitoringgegevens over de activiteiten van het NPN uit de database met concrete acties van het POP en het monitoringsysteem van het NPN te gebruiken. </w:t>
      </w:r>
    </w:p>
    <w:p w:rsidR="00A45935" w:rsidRPr="007707EC" w:rsidRDefault="00A45935" w:rsidP="00676B41">
      <w:pPr>
        <w:pStyle w:val="Hlistbullet"/>
      </w:pPr>
      <w:r>
        <w:rPr>
          <w:b/>
        </w:rPr>
        <w:t>STAP 3: De veranderingstheorie toepassen om de bevindingen ten aanzien van het innovatiepotentieel</w:t>
      </w:r>
      <w:r>
        <w:t xml:space="preserve"> van de NPN-activiteiten die aan het begin van het evaluatieproces zijn vastgesteld te vergelijken met de geïmplementeerde NPN-activiteiten. Hiertoe behoort de ontwikkeling van een causale tijdlijn en een verhalende beschrijving van de resultaten van de NPN-activiteiten in verhouding tot de innovatietrajecten en de manier waarop ze tot stand zijn gekomen (waarbij ook de informatie uit het monitoringsysteem wordt gebruikt).</w:t>
      </w:r>
      <w:r>
        <w:rPr>
          <w:b/>
        </w:rPr>
        <w:t xml:space="preserve"> </w:t>
      </w:r>
      <w:r>
        <w:t xml:space="preserve">Het bovenstaande </w:t>
      </w:r>
      <w:r>
        <w:rPr>
          <w:b/>
        </w:rPr>
        <w:t>valideren</w:t>
      </w:r>
      <w:r>
        <w:t xml:space="preserve"> met behulp van triangulatietechnieken.</w:t>
      </w:r>
    </w:p>
    <w:p w:rsidR="00A45935" w:rsidRPr="007707EC" w:rsidRDefault="00A45935" w:rsidP="00676B41">
      <w:pPr>
        <w:pStyle w:val="Hlistbullet"/>
      </w:pPr>
      <w:r>
        <w:rPr>
          <w:b/>
        </w:rPr>
        <w:t>STAP 4: De CEQ beantwoorden door te beoordelen in welke mate het NPN aan het bevorderen van innovatie heeft bijgedragen</w:t>
      </w:r>
      <w:r>
        <w:t xml:space="preserve"> met verschillende groepen van activiteiten, met behulp van een Likert-schaal</w:t>
      </w:r>
      <w:r>
        <w:rPr>
          <w:rFonts w:cs="Arial"/>
          <w:vertAlign w:val="superscript"/>
        </w:rPr>
        <w:footnoteReference w:id="65"/>
      </w:r>
      <w:r>
        <w:t>. De beoordelaar dient ook met een score van een tot en met vijf aan te geven hoeveel vertrouwen de geënquêteerde/geïnterviewde belanghebbende heeft in de bevindingen. De scores moeten worden verantwoord.</w:t>
      </w:r>
    </w:p>
    <w:p w:rsidR="00A45935" w:rsidRPr="00E05D08" w:rsidRDefault="00A45935"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mc:AlternateContent>
          <mc:Choice Requires="wps">
            <w:drawing>
              <wp:inline distT="0" distB="0" distL="0" distR="0" wp14:anchorId="7219A35E" wp14:editId="5C9D2F27">
                <wp:extent cx="5907819" cy="3400425"/>
                <wp:effectExtent l="0" t="0" r="17145" b="28575"/>
                <wp:docPr id="550" name="Rectangle: Diagonal Corners Rounded 550"/>
                <wp:cNvGraphicFramePr/>
                <a:graphic xmlns:a="http://schemas.openxmlformats.org/drawingml/2006/main">
                  <a:graphicData uri="http://schemas.microsoft.com/office/word/2010/wordprocessingShape">
                    <wps:wsp>
                      <wps:cNvSpPr/>
                      <wps:spPr>
                        <a:xfrm>
                          <a:off x="0" y="0"/>
                          <a:ext cx="5907819" cy="3400425"/>
                        </a:xfrm>
                        <a:prstGeom prst="round2DiagRect">
                          <a:avLst>
                            <a:gd name="adj1" fmla="val 6942"/>
                            <a:gd name="adj2" fmla="val 0"/>
                          </a:avLst>
                        </a:prstGeom>
                        <a:noFill/>
                        <a:ln w="25400" cap="flat" cmpd="sng" algn="ctr">
                          <a:solidFill>
                            <a:srgbClr val="F07E31"/>
                          </a:solidFill>
                          <a:prstDash val="solid"/>
                        </a:ln>
                        <a:effectLst/>
                      </wps:spPr>
                      <wps:txbx>
                        <w:txbxContent>
                          <w:p w:rsidR="00891EED" w:rsidRPr="00E05D08" w:rsidRDefault="00891EED" w:rsidP="00E05D08">
                            <w:pPr>
                              <w:pStyle w:val="HStandard"/>
                              <w:ind w:left="567" w:hanging="567"/>
                              <w:rPr>
                                <w:b/>
                                <w:color w:val="F07E31"/>
                                <w:sz w:val="18"/>
                                <w:szCs w:val="18"/>
                              </w:rPr>
                            </w:pPr>
                            <w:r>
                              <w:rPr>
                                <w:noProof/>
                                <w:sz w:val="18"/>
                                <w:szCs w:val="18"/>
                                <w:lang w:val="en-GB" w:eastAsia="en-GB"/>
                              </w:rPr>
                              <w:drawing>
                                <wp:inline distT="0" distB="0" distL="0" distR="0" wp14:anchorId="58556BD6" wp14:editId="6016CB07">
                                  <wp:extent cx="353060" cy="359410"/>
                                  <wp:effectExtent l="0" t="0" r="8890" b="2540"/>
                                  <wp:docPr id="71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Voorbeelden uit de JUV's die in 2017 zijn ingediend</w:t>
                            </w:r>
                          </w:p>
                          <w:p w:rsidR="00891EED" w:rsidRPr="00EF653F" w:rsidRDefault="00891EED" w:rsidP="00E05D08">
                            <w:pPr>
                              <w:pStyle w:val="HStandard"/>
                              <w:rPr>
                                <w:sz w:val="18"/>
                                <w:szCs w:val="18"/>
                              </w:rPr>
                            </w:pPr>
                            <w:r>
                              <w:rPr>
                                <w:b/>
                                <w:sz w:val="18"/>
                                <w:szCs w:val="18"/>
                              </w:rPr>
                              <w:t xml:space="preserve">Tsjechische Republiek - </w:t>
                            </w:r>
                            <w:r>
                              <w:rPr>
                                <w:sz w:val="18"/>
                                <w:szCs w:val="18"/>
                              </w:rPr>
                              <w:t>noemt casestudy's op basis van bij begunstigden van innovatieve projecten verzamelde informatie. Stelt voor de gegevens over innovatieve trajecten voor de outputindicatoren O24 en O25 bij te houden via de database met concrete acties en ze te gebruiken voor de evaluatie in 2019:</w:t>
                            </w:r>
                          </w:p>
                          <w:p w:rsidR="00891EED" w:rsidRPr="00EF653F" w:rsidRDefault="00891EED" w:rsidP="008C0B17">
                            <w:pPr>
                              <w:pStyle w:val="HStandard"/>
                              <w:numPr>
                                <w:ilvl w:val="0"/>
                                <w:numId w:val="49"/>
                              </w:numPr>
                              <w:tabs>
                                <w:tab w:val="left" w:pos="5702"/>
                              </w:tabs>
                              <w:ind w:left="567" w:hanging="567"/>
                              <w:rPr>
                                <w:sz w:val="18"/>
                                <w:szCs w:val="18"/>
                              </w:rPr>
                            </w:pPr>
                            <w:r>
                              <w:rPr>
                                <w:sz w:val="18"/>
                                <w:szCs w:val="18"/>
                              </w:rPr>
                              <w:t xml:space="preserve">O24 – Aantal met steun van het NPN opgezette thematische en analytische uitwisselingen tussen belanghebbenden van plattelandsontwikkeling – uitwisselingen die bedoeld zijn voor adviseurs en innovatiesteundiensten. </w:t>
                            </w:r>
                          </w:p>
                          <w:p w:rsidR="00891EED" w:rsidRPr="00EF653F" w:rsidRDefault="00891EED" w:rsidP="008C0B17">
                            <w:pPr>
                              <w:pStyle w:val="HStandard"/>
                              <w:numPr>
                                <w:ilvl w:val="0"/>
                                <w:numId w:val="49"/>
                              </w:numPr>
                              <w:tabs>
                                <w:tab w:val="left" w:pos="5702"/>
                              </w:tabs>
                              <w:ind w:left="567" w:hanging="567"/>
                              <w:rPr>
                                <w:sz w:val="18"/>
                                <w:szCs w:val="18"/>
                              </w:rPr>
                            </w:pPr>
                            <w:r>
                              <w:rPr>
                                <w:sz w:val="18"/>
                                <w:szCs w:val="18"/>
                              </w:rPr>
                              <w:t>O25 – Aantal NPN-communicatiemiddelen bedoeld voor adviseurs en innovatiesteundiensten.</w:t>
                            </w:r>
                          </w:p>
                          <w:p w:rsidR="00891EED" w:rsidRDefault="00891EED" w:rsidP="00E05D08">
                            <w:pPr>
                              <w:pStyle w:val="HStandard"/>
                              <w:rPr>
                                <w:sz w:val="18"/>
                                <w:szCs w:val="18"/>
                              </w:rPr>
                            </w:pPr>
                            <w:r>
                              <w:rPr>
                                <w:b/>
                                <w:sz w:val="18"/>
                                <w:szCs w:val="18"/>
                              </w:rPr>
                              <w:t>Slowakije -</w:t>
                            </w:r>
                            <w:r>
                              <w:rPr>
                                <w:sz w:val="18"/>
                                <w:szCs w:val="18"/>
                              </w:rPr>
                              <w:t xml:space="preserve"> beschrijft interviews met betrokken actoren (NPN en deelnemers aan activiteiten van het NPN) om gegevens te verzamelen voor aanvullende indicatoren: Aandeel (percentage) door het NPN ondersteunde innovatieve projecten op het totale aantal door het POP ondersteunde innovatieve projecten. </w:t>
                            </w:r>
                          </w:p>
                          <w:p w:rsidR="00891EED" w:rsidRPr="00ED3BAD" w:rsidRDefault="00891EED" w:rsidP="00E05D08">
                            <w:pPr>
                              <w:pStyle w:val="HStandard"/>
                              <w:rPr>
                                <w:sz w:val="18"/>
                                <w:szCs w:val="18"/>
                              </w:rPr>
                            </w:pPr>
                            <w:r>
                              <w:rPr>
                                <w:b/>
                                <w:sz w:val="18"/>
                                <w:szCs w:val="18"/>
                              </w:rPr>
                              <w:t>Castilla y León</w:t>
                            </w:r>
                            <w:r>
                              <w:rPr>
                                <w:sz w:val="18"/>
                                <w:szCs w:val="18"/>
                              </w:rPr>
                              <w:t xml:space="preserve"> </w:t>
                            </w:r>
                            <w:r>
                              <w:rPr>
                                <w:b/>
                                <w:sz w:val="18"/>
                                <w:szCs w:val="18"/>
                              </w:rPr>
                              <w:t>(ES) -</w:t>
                            </w:r>
                            <w:r>
                              <w:rPr>
                                <w:sz w:val="18"/>
                                <w:szCs w:val="18"/>
                              </w:rPr>
                              <w:t xml:space="preserve"> adviseert in het monitoringsysteem een indicator op te nemen die het aantal deelnemers in projecten van M16 meet.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219A35E" id="Rectangle: Diagonal Corners Rounded 550" o:spid="_x0000_s1051" style="width:465.2pt;height:267.75pt;visibility:visible;mso-wrap-style:square;mso-left-percent:-10001;mso-top-percent:-10001;mso-position-horizontal:absolute;mso-position-horizontal-relative:char;mso-position-vertical:absolute;mso-position-vertical-relative:line;mso-left-percent:-10001;mso-top-percent:-10001;v-text-anchor:middle" coordsize="5907819,3400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" adj="-11796480,,5400" path="m236058,l5907819,r,l5907819,3164367v,130371,-105687,236058,-236058,236058l,3400425r,l,236058c,105687,105687,,236058,xe" filled="f" strokecolor="#f07e31" strokeweight="2pt">
                <v:stroke joinstyle="miter"/>
                <v:formulas/>
                <v:path arrowok="t" o:connecttype="custom" o:connectlocs="236058,0;5907819,0;5907819,0;5907819,3164367;5671761,3400425;0,3400425;0,3400425;0,236058;236058,0" o:connectangles="0,0,0,0,0,0,0,0,0" textboxrect="0,0,5907819,3400425"/>
                <v:textbox>
                  <w:txbxContent>
                    <w:p w:rsidR="00891EED" w:rsidRPr="00E05D08" w:rsidRDefault="00891EED" w:rsidP="00E05D08">
                      <w:pPr>
                        <w:pStyle w:val="HStandard"/>
                        <w:ind w:left="567" w:hanging="567"/>
                        <w:rPr>
                          <w:b/>
                          <w:color w:val="F07E31"/>
                          <w:sz w:val="18"/>
                          <w:szCs w:val="18"/>
                        </w:rPr>
                      </w:pPr>
                      <w:r>
                        <w:rPr>
                          <w:noProof/>
                          <w:sz w:val="18"/>
                          <w:szCs w:val="18"/>
                          <w:lang w:val="en-GB" w:eastAsia="en-GB"/>
                        </w:rPr>
                        <w:drawing>
                          <wp:inline distT="0" distB="0" distL="0" distR="0" wp14:anchorId="58556BD6" wp14:editId="6016CB07">
                            <wp:extent cx="353060" cy="359410"/>
                            <wp:effectExtent l="0" t="0" r="8890" b="2540"/>
                            <wp:docPr id="71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Voorbeelden uit de JUV's die in 2017 zijn ingediend</w:t>
                      </w:r>
                    </w:p>
                    <w:p w:rsidR="00891EED" w:rsidRPr="00EF653F" w:rsidRDefault="00891EED" w:rsidP="00E05D08">
                      <w:pPr>
                        <w:pStyle w:val="HStandard"/>
                        <w:rPr>
                          <w:sz w:val="18"/>
                          <w:szCs w:val="18"/>
                        </w:rPr>
                      </w:pPr>
                      <w:r>
                        <w:rPr>
                          <w:b/>
                          <w:sz w:val="18"/>
                          <w:szCs w:val="18"/>
                        </w:rPr>
                        <w:t xml:space="preserve">Tsjechische Republiek - </w:t>
                      </w:r>
                      <w:r>
                        <w:rPr>
                          <w:sz w:val="18"/>
                          <w:szCs w:val="18"/>
                        </w:rPr>
                        <w:t>noemt casestudy's op basis van bij begunstigden van innovatieve projecten verzamelde informatie. Stelt voor de gegevens over innovatieve trajecten voor de outputindicatoren O24 en O25 bij te houden via de database met concrete acties en ze te gebruiken voor de evaluatie in 2019:</w:t>
                      </w:r>
                    </w:p>
                    <w:p w:rsidR="00891EED" w:rsidRPr="00EF653F" w:rsidRDefault="00891EED" w:rsidP="008C0B17">
                      <w:pPr>
                        <w:pStyle w:val="HStandard"/>
                        <w:numPr>
                          <w:ilvl w:val="0"/>
                          <w:numId w:val="49"/>
                        </w:numPr>
                        <w:tabs>
                          <w:tab w:val="left" w:pos="5702"/>
                        </w:tabs>
                        <w:ind w:left="567" w:hanging="567"/>
                        <w:rPr>
                          <w:sz w:val="18"/>
                          <w:szCs w:val="18"/>
                        </w:rPr>
                      </w:pPr>
                      <w:r>
                        <w:rPr>
                          <w:sz w:val="18"/>
                          <w:szCs w:val="18"/>
                        </w:rPr>
                        <w:t xml:space="preserve">O24 – Aantal met steun van het NPN opgezette thematische en analytische uitwisselingen tussen belanghebbenden van plattelandsontwikkeling – uitwisselingen die bedoeld zijn voor adviseurs en innovatiesteundiensten. </w:t>
                      </w:r>
                    </w:p>
                    <w:p w:rsidR="00891EED" w:rsidRPr="00EF653F" w:rsidRDefault="00891EED" w:rsidP="008C0B17">
                      <w:pPr>
                        <w:pStyle w:val="HStandard"/>
                        <w:numPr>
                          <w:ilvl w:val="0"/>
                          <w:numId w:val="49"/>
                        </w:numPr>
                        <w:tabs>
                          <w:tab w:val="left" w:pos="5702"/>
                        </w:tabs>
                        <w:ind w:left="567" w:hanging="567"/>
                        <w:rPr>
                          <w:sz w:val="18"/>
                          <w:szCs w:val="18"/>
                        </w:rPr>
                      </w:pPr>
                      <w:r>
                        <w:rPr>
                          <w:sz w:val="18"/>
                          <w:szCs w:val="18"/>
                        </w:rPr>
                        <w:t>O25 – Aantal NPN-communicatiemiddelen bedoeld voor adviseurs en innovatiesteundiensten.</w:t>
                      </w:r>
                    </w:p>
                    <w:p w:rsidR="00891EED" w:rsidRDefault="00891EED" w:rsidP="00E05D08">
                      <w:pPr>
                        <w:pStyle w:val="HStandard"/>
                        <w:rPr>
                          <w:sz w:val="18"/>
                          <w:szCs w:val="18"/>
                        </w:rPr>
                      </w:pPr>
                      <w:r>
                        <w:rPr>
                          <w:b/>
                          <w:sz w:val="18"/>
                          <w:szCs w:val="18"/>
                        </w:rPr>
                        <w:t>Slowakije -</w:t>
                      </w:r>
                      <w:r>
                        <w:rPr>
                          <w:sz w:val="18"/>
                          <w:szCs w:val="18"/>
                        </w:rPr>
                        <w:t xml:space="preserve"> beschrijft interviews met betrokken actoren (NPN en deelnemers aan activiteiten van het NPN) om gegevens te verzamelen voor aanvullende indicatoren: Aandeel (percentage) door het NPN ondersteunde innovatieve projecten op het totale aantal door het POP ondersteunde innovatieve projecten. </w:t>
                      </w:r>
                    </w:p>
                    <w:p w:rsidR="00891EED" w:rsidRPr="00ED3BAD" w:rsidRDefault="00891EED" w:rsidP="00E05D08">
                      <w:pPr>
                        <w:pStyle w:val="HStandard"/>
                        <w:rPr>
                          <w:sz w:val="18"/>
                          <w:szCs w:val="18"/>
                        </w:rPr>
                      </w:pPr>
                      <w:r>
                        <w:rPr>
                          <w:b/>
                          <w:sz w:val="18"/>
                          <w:szCs w:val="18"/>
                        </w:rPr>
                        <w:t>Castilla y León</w:t>
                      </w:r>
                      <w:r>
                        <w:rPr>
                          <w:sz w:val="18"/>
                          <w:szCs w:val="18"/>
                        </w:rPr>
                        <w:t xml:space="preserve"> </w:t>
                      </w:r>
                      <w:r>
                        <w:rPr>
                          <w:b/>
                          <w:sz w:val="18"/>
                          <w:szCs w:val="18"/>
                        </w:rPr>
                        <w:t>(ES) -</w:t>
                      </w:r>
                      <w:r>
                        <w:rPr>
                          <w:sz w:val="18"/>
                          <w:szCs w:val="18"/>
                        </w:rPr>
                        <w:t xml:space="preserve"> adviseert in het monitoringsysteem een indicator op te nemen die het aantal deelnemers in projecten van M16 meet.</w:t>
                      </w:r>
                    </w:p>
                  </w:txbxContent>
                </v:textbox>
                <w10:anchorlock/>
              </v:shape>
            </w:pict>
          </mc:Fallback>
        </mc:AlternateContent>
      </w:r>
    </w:p>
    <w:p w:rsidR="00A45935" w:rsidRPr="00E05D08" w:rsidRDefault="00A45935" w:rsidP="00E05D08">
      <w:pPr>
        <w:spacing w:after="120" w:line="280" w:lineRule="atLeast"/>
        <w:mirrorIndents/>
        <w:rPr>
          <w:rFonts w:eastAsia="Times New Roman" w:cs="Times New Roman"/>
          <w:szCs w:val="20"/>
        </w:rPr>
      </w:pPr>
      <w:r>
        <w:t xml:space="preserve">De richtsnoeren </w:t>
      </w:r>
      <w:hyperlink r:id="rId60" w:history="1">
        <w:r>
          <w:rPr>
            <w:rStyle w:val="Hyperlink"/>
            <w:sz w:val="20"/>
            <w:szCs w:val="20"/>
          </w:rPr>
          <w:t>Evaluation of NRNs 2014-2020</w:t>
        </w:r>
      </w:hyperlink>
      <w:r>
        <w:rPr>
          <w:rFonts w:eastAsia="Times New Roman" w:cs="Times New Roman"/>
          <w:szCs w:val="20"/>
          <w:vertAlign w:val="superscript"/>
          <w:lang w:eastAsia="de-DE"/>
        </w:rPr>
        <w:footnoteReference w:id="66"/>
      </w:r>
      <w:r>
        <w:t xml:space="preserve"> bevatten een gedetailleerde beschrijving van methoden en middelen om NPN's te evalueren. Ze stellen een gemengde benadering voor waarin </w:t>
      </w:r>
      <w:r>
        <w:lastRenderedPageBreak/>
        <w:t xml:space="preserve">kwalitatieve en kwantitatieve methoden gecombineerd zijn. Deze omvatten enquêtes, op dialoog gebaseerde methoden, analytische methoden en diagnostische methoden. </w:t>
      </w:r>
    </w:p>
    <w:p w:rsidR="00A45935" w:rsidRPr="00E05D08" w:rsidRDefault="00A45935" w:rsidP="00E05D08">
      <w:pPr>
        <w:spacing w:after="120" w:line="280" w:lineRule="atLeast"/>
        <w:mirrorIndents/>
        <w:rPr>
          <w:rFonts w:eastAsia="Times New Roman" w:cs="Times New Roman"/>
          <w:szCs w:val="20"/>
        </w:rPr>
      </w:pPr>
      <w:r>
        <w:t xml:space="preserve">De volgende tabel geeft een beknopt overzicht van methoden ter beantwoording van CEQ nr. 21 met het oog op de innovatiedoelstelling (d) van NPN's. Een volledige beschrijving van deze methoden is te vinden in de richtsnoeren </w:t>
      </w:r>
      <w:hyperlink r:id="rId61" w:history="1">
        <w:r>
          <w:rPr>
            <w:rStyle w:val="Hyperlink"/>
            <w:sz w:val="20"/>
            <w:szCs w:val="20"/>
          </w:rPr>
          <w:t>Evaluation of NRNs 2014-2020</w:t>
        </w:r>
      </w:hyperlink>
      <w:r>
        <w:t>.</w:t>
      </w:r>
    </w:p>
    <w:p w:rsidR="00A45935" w:rsidRPr="00E05D08" w:rsidRDefault="00A45935" w:rsidP="00B421B9">
      <w:pPr>
        <w:pStyle w:val="HHeading1"/>
        <w:rPr>
          <w:b w:val="0"/>
          <w:color w:val="373737"/>
          <w:sz w:val="16"/>
        </w:rPr>
        <w:sectPr w:rsidR="00A45935" w:rsidRPr="00E05D08" w:rsidSect="001F6F07">
          <w:headerReference w:type="first" r:id="rId62"/>
          <w:endnotePr>
            <w:numFmt w:val="decimal"/>
          </w:endnotePr>
          <w:pgSz w:w="11907" w:h="16840" w:code="9"/>
          <w:pgMar w:top="1440" w:right="1440" w:bottom="1134" w:left="1440" w:header="567" w:footer="1020" w:gutter="0"/>
          <w:cols w:space="708"/>
          <w:noEndnote/>
          <w:docGrid w:linePitch="435"/>
        </w:sectPr>
      </w:pPr>
    </w:p>
    <w:p w:rsidR="00A45935" w:rsidRPr="00E05D08" w:rsidRDefault="00A45935" w:rsidP="00E05D08">
      <w:pPr>
        <w:spacing w:after="0" w:line="240" w:lineRule="auto"/>
        <w:rPr>
          <w:rFonts w:eastAsia="Times New Roman" w:cs="Times New Roman"/>
          <w:b/>
          <w:sz w:val="16"/>
          <w:szCs w:val="20"/>
        </w:rPr>
      </w:pPr>
      <w:r>
        <w:br w:type="page"/>
      </w:r>
    </w:p>
    <w:p w:rsidR="00A45935" w:rsidRPr="00D57D0A" w:rsidRDefault="00A45935" w:rsidP="00D57D0A">
      <w:pPr>
        <w:pStyle w:val="HHeadingtables"/>
        <w:rPr>
          <w:color w:val="6F6F6F"/>
          <w:sz w:val="18"/>
          <w:szCs w:val="18"/>
        </w:rPr>
      </w:pPr>
      <w:bookmarkStart w:id="123" w:name="_Toc511656287"/>
      <w:r>
        <w:rPr>
          <w:color w:val="6F6F6F"/>
          <w:sz w:val="18"/>
          <w:szCs w:val="18"/>
        </w:rPr>
        <w:lastRenderedPageBreak/>
        <w:t>Aanbevolen methoden voor CEQ nr. 21</w:t>
      </w:r>
      <w:bookmarkEnd w:id="123"/>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E05D08" w:rsidTr="00E05D08">
        <w:trPr>
          <w:tblHeader/>
        </w:trPr>
        <w:tc>
          <w:tcPr>
            <w:tcW w:w="2405" w:type="dxa"/>
            <w:shd w:val="clear" w:color="auto" w:fill="F07E31"/>
          </w:tcPr>
          <w:p w:rsidR="00A45935" w:rsidRPr="00E05D08" w:rsidRDefault="00A45935" w:rsidP="00E05D08">
            <w:pPr>
              <w:spacing w:after="120" w:line="280" w:lineRule="atLeast"/>
              <w:mirrorIndents/>
              <w:jc w:val="center"/>
              <w:rPr>
                <w:rFonts w:cs="Arial"/>
                <w:b/>
                <w:color w:val="FFFFFF"/>
                <w:sz w:val="18"/>
              </w:rPr>
            </w:pPr>
            <w:r>
              <w:rPr>
                <w:b/>
                <w:color w:val="FFFFFF"/>
                <w:sz w:val="18"/>
              </w:rPr>
              <w:t>Methode</w:t>
            </w:r>
          </w:p>
        </w:tc>
        <w:tc>
          <w:tcPr>
            <w:tcW w:w="6612" w:type="dxa"/>
            <w:shd w:val="clear" w:color="auto" w:fill="F07E31"/>
          </w:tcPr>
          <w:p w:rsidR="00A45935" w:rsidRPr="00385368" w:rsidRDefault="00A45935" w:rsidP="00E05D08">
            <w:pPr>
              <w:spacing w:after="120" w:line="280" w:lineRule="atLeast"/>
              <w:mirrorIndents/>
              <w:jc w:val="center"/>
              <w:rPr>
                <w:rFonts w:cs="Arial"/>
                <w:b/>
                <w:color w:val="FFFFFF"/>
                <w:sz w:val="18"/>
              </w:rPr>
            </w:pPr>
            <w:r>
              <w:rPr>
                <w:b/>
                <w:color w:val="FFFFFF"/>
                <w:sz w:val="18"/>
              </w:rPr>
              <w:t>Tips voor het gebruik van elke methode ter beantwoording van CEQ nr. 21</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Enquêtes</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Kunnen worden gebruikt om gegevens en informatie over innovatie te verzamelen die niet in de monitoringdatabases zijn opgenomen, vooral met betrekking tot de aanvullende indicatoren.</w:t>
            </w:r>
          </w:p>
          <w:p w:rsidR="00A45935" w:rsidRPr="00385368" w:rsidRDefault="00A45935" w:rsidP="00E05D08">
            <w:pPr>
              <w:spacing w:after="120" w:line="280" w:lineRule="atLeast"/>
              <w:rPr>
                <w:rFonts w:eastAsia="Calibri" w:cs="Arial"/>
                <w:sz w:val="18"/>
                <w:szCs w:val="18"/>
              </w:rPr>
            </w:pPr>
            <w:r>
              <w:rPr>
                <w:sz w:val="18"/>
                <w:szCs w:val="18"/>
              </w:rPr>
              <w:t>Enquêtes kunnen worden gericht aan de NPN's, OG's van het EIP, begunstigden van projecten en andere belanghebbenden van innovatie.</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Focusgroepen (op dialoog gebaseerde methode)</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Worden gebruikt als middel voor op dialoog gebaseerde evaluatiemethoden en kunnen als volgt georganiseerd worden voor CEQ 21:</w:t>
            </w:r>
          </w:p>
          <w:p w:rsidR="00A45935" w:rsidRPr="00385368" w:rsidRDefault="00A45935" w:rsidP="008C0B17">
            <w:pPr>
              <w:numPr>
                <w:ilvl w:val="0"/>
                <w:numId w:val="40"/>
              </w:numPr>
              <w:spacing w:before="60" w:after="120" w:line="280" w:lineRule="atLeast"/>
              <w:ind w:left="317"/>
              <w:rPr>
                <w:rFonts w:cs="Arial"/>
                <w:sz w:val="18"/>
              </w:rPr>
            </w:pPr>
            <w:r>
              <w:rPr>
                <w:sz w:val="18"/>
              </w:rPr>
              <w:t xml:space="preserve">In een tweelagenarchitectuur, waarbij focusgroepen op verschillende niveaus worden samengesteld (d.w.z. adviseurs/innovatiesteundiensten en LAG's). Beide niveaus kunnen deelnemen aan opleidings- en netwerkactiviteiten van het NPN. </w:t>
            </w:r>
          </w:p>
          <w:p w:rsidR="00A45935" w:rsidRPr="00385368" w:rsidRDefault="00A45935" w:rsidP="008C0B17">
            <w:pPr>
              <w:numPr>
                <w:ilvl w:val="0"/>
                <w:numId w:val="40"/>
              </w:numPr>
              <w:spacing w:before="60" w:after="120" w:line="280" w:lineRule="atLeast"/>
              <w:ind w:left="317"/>
              <w:rPr>
                <w:rFonts w:cs="Arial"/>
                <w:sz w:val="18"/>
              </w:rPr>
            </w:pPr>
            <w:r>
              <w:rPr>
                <w:sz w:val="18"/>
              </w:rPr>
              <w:t>Gericht op het thematische gebied van innovatie (bv. groepen samenstellen uit leden met uiteenlopende zienswijzen, om NPN-activiteiten die gericht zijn op het bevorderen van innovatie te valideren).</w:t>
            </w:r>
          </w:p>
        </w:tc>
      </w:tr>
      <w:tr w:rsidR="00A45935" w:rsidRPr="00E05D08" w:rsidTr="00E05D08">
        <w:tc>
          <w:tcPr>
            <w:tcW w:w="2405" w:type="dxa"/>
            <w:vAlign w:val="center"/>
          </w:tcPr>
          <w:p w:rsidR="00A45935" w:rsidRPr="00385368" w:rsidRDefault="00A45935" w:rsidP="00BC211C">
            <w:pPr>
              <w:spacing w:after="120" w:line="280" w:lineRule="atLeast"/>
              <w:jc w:val="left"/>
              <w:rPr>
                <w:rFonts w:eastAsia="Calibri" w:cs="Arial"/>
                <w:b/>
                <w:sz w:val="18"/>
                <w:szCs w:val="18"/>
              </w:rPr>
            </w:pPr>
            <w:r>
              <w:rPr>
                <w:b/>
                <w:sz w:val="18"/>
                <w:szCs w:val="18"/>
              </w:rPr>
              <w:t>Functionele analyse van netwerken (diagnostische methode)</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Een online enquête onder OG's (daarbij onderscheid makend tussen OG's die een vorm van ondersteuning hebben gekregen van het NPN, zoals bemiddeling of opleiding, en OG's die dat niet hebben gekregen) combineren met een aantal diepgaande interviews met geselecteerde OG's. Als alternatief kan een focusgroep georganiseerd worden om de voorlopige resultaten van de online enquête te beschouwen.</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Analyse van belanghebbenden (diagnostische methode)</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 xml:space="preserve">Kan worden uitgevoerd voor belanghebbenden van innovatie op verschillende niveaus: het NPN of de netwerkstructuur op lidstaatniveau voor innovatiesteundiensten (indien gescheiden van het NPN); de coördinators van de thematische netwerken; de coördinators van OG's en zelfs het servicepunt van het EIP. </w:t>
            </w:r>
          </w:p>
          <w:p w:rsidR="00A45935" w:rsidRPr="00385368" w:rsidRDefault="00A45935" w:rsidP="00E05D08">
            <w:pPr>
              <w:spacing w:after="120" w:line="280" w:lineRule="atLeast"/>
              <w:rPr>
                <w:rFonts w:eastAsia="Calibri" w:cs="Arial"/>
                <w:sz w:val="18"/>
                <w:szCs w:val="18"/>
              </w:rPr>
            </w:pPr>
            <w:r>
              <w:rPr>
                <w:sz w:val="18"/>
                <w:szCs w:val="18"/>
              </w:rPr>
              <w:t>Een analyse van belanghebbenden helpt informatie te verzamelen over de indicatoren waarvoor geen gegevens worden verzameld door middel van de monitoringdatabase. In het geval van CEQ nr. 21 kunnen slechts drie outputindicatoren worden gekwantificeerd met behulp van monitoringgegevens en zelfs dan kunnen de gegevens te algemeen zijn en niet op innovatie zijn toegespitst. Zo kan het aantal thematische en analytische uitwisselingen dat met steun van het NPN is opgezet (O24) in de monitoringdatabase geregistreerd zijn, maar zonder de vermelding welke van deze uitwisselingen op innovatieonderwerpen betrekking had.</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sz w:val="18"/>
                <w:szCs w:val="18"/>
              </w:rPr>
            </w:pPr>
            <w:r>
              <w:rPr>
                <w:b/>
                <w:sz w:val="18"/>
                <w:szCs w:val="18"/>
              </w:rPr>
              <w:t>Sociale-netwerkanalyse (SNA)</w:t>
            </w:r>
            <w:r>
              <w:rPr>
                <w:sz w:val="18"/>
                <w:szCs w:val="18"/>
              </w:rPr>
              <w:t xml:space="preserve"> (diagnostische methode)</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SNA kan worden uitgevoerd voor een thematisch aspect, met name bevordering van de innovatiedoelstellingen van het NPN, door plots van het innovatienetwerk te bekijken (bv. om belangrijke innovatiespelers in een netwerk te bepalen), de structurele kenmerken (bv. de centrale dan wel perifere rol van innovatiebelanghebbenden) en overlappingen ervan vast te stellen (bv. voor het bepalen van de belangrijkste verbindingen) en ze in een focusgroep te bespreken.</w:t>
            </w:r>
          </w:p>
          <w:p w:rsidR="00A45935" w:rsidRPr="00385368" w:rsidRDefault="00A45935" w:rsidP="00E05D08">
            <w:pPr>
              <w:spacing w:after="120" w:line="280" w:lineRule="atLeast"/>
              <w:rPr>
                <w:rFonts w:eastAsia="Calibri" w:cs="Arial"/>
                <w:sz w:val="18"/>
                <w:szCs w:val="18"/>
              </w:rPr>
            </w:pPr>
            <w:r>
              <w:rPr>
                <w:sz w:val="18"/>
                <w:szCs w:val="18"/>
              </w:rPr>
              <w:t xml:space="preserve">SNA kan helpen om de betrokkenheid van innovatiebelanghebbenden in het </w:t>
            </w:r>
            <w:r>
              <w:rPr>
                <w:sz w:val="18"/>
                <w:szCs w:val="18"/>
              </w:rPr>
              <w:lastRenderedPageBreak/>
              <w:t>NPN-netwerk te meten en de effectiviteit van innovatiegerelateerde outputs te beoordelen (bv. thematische en analytische uitwisselingen in het kader van innovatie, opleidings- en netwerkactiviteiten in het kader van innovatie en vergaring van projectvoorbeelden met betrekking tot innovatie).</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lastRenderedPageBreak/>
              <w:t>Casestudy's</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Casestudy's kunnen voor elke evaluatie aangepast en gebruikt worden. Ze bieden de mogelijkheid verschillende methoden te combineren en hebben een zeer flexibele opzet. In het geval van CEQ nr. 21 wordt voorgesteld casestudy's op te bouwen rond een van de volgende innovatiegerelateerde kwesties/criteria:</w:t>
            </w:r>
          </w:p>
          <w:p w:rsidR="00A45935" w:rsidRPr="00385368" w:rsidRDefault="00A45935" w:rsidP="008C0B17">
            <w:pPr>
              <w:numPr>
                <w:ilvl w:val="0"/>
                <w:numId w:val="41"/>
              </w:numPr>
              <w:spacing w:before="60" w:after="120" w:line="280" w:lineRule="atLeast"/>
              <w:ind w:left="360"/>
              <w:rPr>
                <w:sz w:val="18"/>
              </w:rPr>
            </w:pPr>
            <w:r>
              <w:rPr>
                <w:sz w:val="18"/>
              </w:rPr>
              <w:t>Analyse van de rol van het NPN bij het opzetten van operationele groepen en bijgevolg bij het bevorderen van innovatie in de landbouw, de bosbouw en in plattelandsgebieden.</w:t>
            </w:r>
          </w:p>
          <w:p w:rsidR="00A45935" w:rsidRPr="00385368" w:rsidRDefault="00A45935" w:rsidP="008C0B17">
            <w:pPr>
              <w:numPr>
                <w:ilvl w:val="0"/>
                <w:numId w:val="41"/>
              </w:numPr>
              <w:spacing w:before="60" w:after="120" w:line="280" w:lineRule="atLeast"/>
              <w:ind w:left="360"/>
              <w:rPr>
                <w:sz w:val="18"/>
              </w:rPr>
            </w:pPr>
            <w:r>
              <w:rPr>
                <w:sz w:val="18"/>
              </w:rPr>
              <w:t>Analyse van de bijdragen van het NPN tot stimulering van adviseurs en innovatiesteundiensten in hun rol als coach van interactieve innovatieprocessen (bv. registratie van praktijkideeën, optreden als bemiddelaar, facilitator en verspreider van nieuwe kennis).</w:t>
            </w:r>
          </w:p>
          <w:p w:rsidR="00A45935" w:rsidRPr="00385368" w:rsidRDefault="00A45935" w:rsidP="008C0B17">
            <w:pPr>
              <w:numPr>
                <w:ilvl w:val="0"/>
                <w:numId w:val="41"/>
              </w:numPr>
              <w:spacing w:before="60" w:after="120" w:line="280" w:lineRule="atLeast"/>
              <w:ind w:left="360"/>
              <w:rPr>
                <w:sz w:val="18"/>
              </w:rPr>
            </w:pPr>
            <w:r>
              <w:rPr>
                <w:sz w:val="18"/>
              </w:rPr>
              <w:t>Analyse van de rol van NPN's in thematische netwerken, die operationele groepen met elkaar verbinden en bijgevolg de verbindingen met Horizon 2020 vaststellen.</w:t>
            </w:r>
          </w:p>
        </w:tc>
      </w:tr>
    </w:tbl>
    <w:p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b/>
          <w:szCs w:val="20"/>
        </w:rPr>
        <w:t>Risico's en oplossingen</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9"/>
      </w:tblGrid>
      <w:tr w:rsidR="00A45935" w:rsidRPr="00E05D08" w:rsidTr="00E05D08">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Risico's</w:t>
            </w:r>
          </w:p>
        </w:tc>
        <w:tc>
          <w:tcPr>
            <w:tcW w:w="4509"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Oplossingen</w:t>
            </w:r>
          </w:p>
        </w:tc>
      </w:tr>
      <w:tr w:rsidR="00A45935" w:rsidRPr="00E05D08" w:rsidTr="00E05D08">
        <w:trPr>
          <w:trHeight w:val="699"/>
        </w:trPr>
        <w:tc>
          <w:tcPr>
            <w:tcW w:w="4508" w:type="dxa"/>
          </w:tcPr>
          <w:p w:rsidR="00A45935" w:rsidRPr="00385368" w:rsidRDefault="00A45935" w:rsidP="00E05D08">
            <w:pPr>
              <w:spacing w:after="120" w:line="280" w:lineRule="atLeast"/>
              <w:rPr>
                <w:rFonts w:eastAsia="Calibri" w:cs="Arial"/>
                <w:sz w:val="18"/>
                <w:szCs w:val="18"/>
              </w:rPr>
            </w:pPr>
            <w:r>
              <w:rPr>
                <w:sz w:val="18"/>
                <w:szCs w:val="18"/>
              </w:rPr>
              <w:t>Er zouden gegevens over de drie gemeenschappelijke outputindicatoren beschikbaar moeten zijn, maar deze zijn hoogstwaarschijnlijk niet toegespitst op innovatie. Zo is het mogelijk dat gegevens over thematische en analytische uitwisselingen niet verzameld kunnen worden per onderwerp, meer in het bijzonder het onderwerp innovatie. Ook gegevens over communicatiemiddelen zijn mogelijk niet uitgesplitst per onderwerp (bv. communicatie van innovatieresultaten).</w:t>
            </w:r>
          </w:p>
        </w:tc>
        <w:tc>
          <w:tcPr>
            <w:tcW w:w="4509" w:type="dxa"/>
          </w:tcPr>
          <w:p w:rsidR="00A45935" w:rsidRPr="00385368" w:rsidRDefault="00A45935" w:rsidP="007E63EF">
            <w:pPr>
              <w:spacing w:after="120" w:line="280" w:lineRule="atLeast"/>
              <w:rPr>
                <w:sz w:val="18"/>
                <w:szCs w:val="18"/>
              </w:rPr>
            </w:pPr>
            <w:r>
              <w:rPr>
                <w:sz w:val="18"/>
                <w:szCs w:val="18"/>
              </w:rPr>
              <w:t>Beheersautoriteiten zouden de innovatiecomponent voor de drie gemeenschappelijke outputindicatoren in de monitoringdatabases kunnen opnemen</w:t>
            </w:r>
            <w:r>
              <w:rPr>
                <w:rFonts w:eastAsia="Calibri" w:cs="Arial"/>
                <w:sz w:val="18"/>
                <w:szCs w:val="18"/>
                <w:vertAlign w:val="superscript"/>
              </w:rPr>
              <w:footnoteReference w:id="67"/>
            </w:r>
            <w:r>
              <w:rPr>
                <w:sz w:val="18"/>
                <w:szCs w:val="18"/>
              </w:rPr>
              <w:t>.</w:t>
            </w:r>
          </w:p>
        </w:tc>
      </w:tr>
      <w:tr w:rsidR="00A45935" w:rsidRPr="00E05D08" w:rsidTr="00E05D08">
        <w:tc>
          <w:tcPr>
            <w:tcW w:w="4508" w:type="dxa"/>
          </w:tcPr>
          <w:p w:rsidR="00A45935" w:rsidRPr="00385368" w:rsidRDefault="00A45935" w:rsidP="00E05D08">
            <w:pPr>
              <w:spacing w:after="120" w:line="280" w:lineRule="atLeast"/>
              <w:rPr>
                <w:rFonts w:eastAsia="Calibri" w:cs="Arial"/>
                <w:sz w:val="18"/>
                <w:szCs w:val="18"/>
              </w:rPr>
            </w:pPr>
            <w:r>
              <w:rPr>
                <w:sz w:val="18"/>
                <w:szCs w:val="18"/>
              </w:rPr>
              <w:t>Voor alle andere voorgestelde indicatoren worden gewoonlijk geen gegevens verzameld ten behoeve van monitoring, tenzij een beheersautoriteit/NPN daartoe besloten heeft, in aanvulling op de gemeenschappelijke gegevens.</w:t>
            </w:r>
          </w:p>
        </w:tc>
        <w:tc>
          <w:tcPr>
            <w:tcW w:w="4509" w:type="dxa"/>
          </w:tcPr>
          <w:p w:rsidR="00A45935" w:rsidRPr="00385368" w:rsidRDefault="00A45935" w:rsidP="00E05D08">
            <w:pPr>
              <w:spacing w:after="120" w:line="280" w:lineRule="atLeast"/>
              <w:rPr>
                <w:rFonts w:eastAsia="Calibri" w:cs="Arial"/>
                <w:sz w:val="18"/>
                <w:szCs w:val="18"/>
              </w:rPr>
            </w:pPr>
            <w:r>
              <w:rPr>
                <w:sz w:val="18"/>
                <w:szCs w:val="18"/>
              </w:rPr>
              <w:t>In een vroeg stadium van de invoering zouden NPN's moeten aangeven welke van hun activiteiten gericht zijn op het bevorderen van innovatie (bv. opleiding van innovatiebelanghebbenden, thematische uitwisselingen inzake innovatie, verzamelen van goede praktijken op het gebied van innovatie, ondersteuning bij het oprichten van OG's enz.).</w:t>
            </w:r>
          </w:p>
        </w:tc>
      </w:tr>
      <w:tr w:rsidR="00A45935" w:rsidRPr="00E05D08" w:rsidTr="00E05D08">
        <w:tc>
          <w:tcPr>
            <w:tcW w:w="4508" w:type="dxa"/>
          </w:tcPr>
          <w:p w:rsidR="00A45935" w:rsidRPr="00385368" w:rsidRDefault="00A45935" w:rsidP="00E05D08">
            <w:pPr>
              <w:spacing w:after="120" w:line="280" w:lineRule="atLeast"/>
              <w:rPr>
                <w:rFonts w:eastAsia="Calibri" w:cs="Arial"/>
                <w:sz w:val="18"/>
                <w:szCs w:val="18"/>
              </w:rPr>
            </w:pPr>
            <w:r>
              <w:rPr>
                <w:sz w:val="18"/>
                <w:szCs w:val="18"/>
              </w:rPr>
              <w:t>Wanneer voor analyse van de gegevens slechts op één methode wordt vertrouwd (kwalitatief of kwantitatief), levert dat mogelijk geen betrouwbare resultaten op.</w:t>
            </w:r>
          </w:p>
        </w:tc>
        <w:tc>
          <w:tcPr>
            <w:tcW w:w="4509" w:type="dxa"/>
          </w:tcPr>
          <w:p w:rsidR="00A45935" w:rsidRPr="00385368" w:rsidRDefault="00A45935" w:rsidP="00E05D08">
            <w:pPr>
              <w:spacing w:after="120" w:line="280" w:lineRule="atLeast"/>
              <w:rPr>
                <w:rFonts w:eastAsia="Calibri" w:cs="Arial"/>
                <w:sz w:val="18"/>
                <w:szCs w:val="18"/>
              </w:rPr>
            </w:pPr>
            <w:r>
              <w:rPr>
                <w:sz w:val="18"/>
                <w:szCs w:val="18"/>
              </w:rPr>
              <w:t xml:space="preserve">Gebruikmaken van een combinatie van methoden, waarbij continu of achteraf informatie wordt verzameld, zoals de methoden die hierboven zijn aangedragen (enquêtes, focusgroepen, </w:t>
            </w:r>
            <w:r>
              <w:rPr>
                <w:sz w:val="18"/>
                <w:szCs w:val="18"/>
              </w:rPr>
              <w:lastRenderedPageBreak/>
              <w:t>diagnostische methoden, casestudy's), zodat door middel van triangulatie betrouwbaardere resultaten verkregen kunnen worden.</w:t>
            </w:r>
          </w:p>
        </w:tc>
      </w:tr>
    </w:tbl>
    <w:p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b/>
          <w:szCs w:val="20"/>
        </w:rPr>
        <w:lastRenderedPageBreak/>
        <w:t>Conclusies en aanbevelingen</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Conclusies en aanbevelingen dienen betrekking te hebben op:</w:t>
      </w:r>
    </w:p>
    <w:p w:rsidR="00A45935" w:rsidRPr="00E72529" w:rsidRDefault="00A45935" w:rsidP="00676B41">
      <w:pPr>
        <w:pStyle w:val="Hlistbullet"/>
        <w:rPr>
          <w:rFonts w:eastAsia="Calibri"/>
          <w:shd w:val="clear" w:color="auto" w:fill="FFFFFF"/>
        </w:rPr>
      </w:pPr>
      <w:r>
        <w:rPr>
          <w:b/>
          <w:shd w:val="clear" w:color="auto" w:fill="FFFFFF"/>
        </w:rPr>
        <w:t>de bijdrage van NPN's aan innovatiebevordering</w:t>
      </w:r>
      <w:r>
        <w:rPr>
          <w:shd w:val="clear" w:color="auto" w:fill="FFFFFF"/>
        </w:rPr>
        <w:t xml:space="preserve"> in de landbouw, de voedselproductie, de bosbouw en in plattelandsgebieden;</w:t>
      </w:r>
    </w:p>
    <w:p w:rsidR="00A45935" w:rsidRPr="00E72529" w:rsidRDefault="00A45935" w:rsidP="00676B41">
      <w:pPr>
        <w:pStyle w:val="Hlistbullet"/>
        <w:rPr>
          <w:rFonts w:eastAsia="Calibri"/>
          <w:shd w:val="clear" w:color="auto" w:fill="FFFFFF"/>
        </w:rPr>
      </w:pPr>
      <w:r>
        <w:rPr>
          <w:b/>
          <w:shd w:val="clear" w:color="auto" w:fill="FFFFFF"/>
        </w:rPr>
        <w:t>de belangrijkste factoren en omstandigheden</w:t>
      </w:r>
      <w:r>
        <w:rPr>
          <w:shd w:val="clear" w:color="auto" w:fill="FFFFFF"/>
        </w:rPr>
        <w:t xml:space="preserve"> die NPN's tot cruciale spelers in interactieve innovatieprocessen maken;</w:t>
      </w:r>
    </w:p>
    <w:p w:rsidR="00A45935" w:rsidRPr="00E72529" w:rsidRDefault="00A45935" w:rsidP="00676B41">
      <w:pPr>
        <w:pStyle w:val="Hlistbullet"/>
        <w:rPr>
          <w:rFonts w:eastAsia="Calibri"/>
          <w:shd w:val="clear" w:color="auto" w:fill="FFFFFF"/>
        </w:rPr>
      </w:pPr>
      <w:r>
        <w:rPr>
          <w:b/>
          <w:shd w:val="clear" w:color="auto" w:fill="FFFFFF"/>
        </w:rPr>
        <w:t>de rol van NPN's in het innovatiesysteem</w:t>
      </w:r>
      <w:r>
        <w:rPr>
          <w:shd w:val="clear" w:color="auto" w:fill="FFFFFF"/>
        </w:rPr>
        <w:t>: 1) innovatie vaststellen door goede praktijken te verzamelen en te verspreiden 2) innovatiecapaciteit opbouwen door middel van opleiding, netwerken en thematische en analytische uitwisselingen 3) een faciliterende omgeving voor innovatie scheppen door de OG's van het EIP te ondersteunen en stimuleren.</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Meer informatie</w:t>
      </w:r>
    </w:p>
    <w:p w:rsidR="00A45935" w:rsidRPr="00E05D08" w:rsidRDefault="00A45935" w:rsidP="00E05D08">
      <w:pPr>
        <w:spacing w:after="120" w:line="280" w:lineRule="atLeast"/>
        <w:mirrorIndents/>
        <w:rPr>
          <w:rFonts w:eastAsia="Calibri" w:cs="Times New Roman"/>
          <w:szCs w:val="20"/>
        </w:rPr>
      </w:pPr>
      <w:r>
        <w:rPr>
          <w:rFonts w:eastAsia="Times New Roman" w:cs="Times New Roman"/>
          <w:noProof/>
          <w:sz w:val="18"/>
          <w:szCs w:val="24"/>
          <w:lang w:val="en-GB" w:eastAsia="en-GB"/>
        </w:rPr>
        <mc:AlternateContent>
          <mc:Choice Requires="wps">
            <w:drawing>
              <wp:inline distT="0" distB="0" distL="0" distR="0" wp14:anchorId="1526DB7D" wp14:editId="0EBF089B">
                <wp:extent cx="5625465" cy="2800350"/>
                <wp:effectExtent l="0" t="0" r="13335" b="19050"/>
                <wp:docPr id="552" name="Rectangle: Diagonal Corners Rounded 552"/>
                <wp:cNvGraphicFramePr/>
                <a:graphic xmlns:a="http://schemas.openxmlformats.org/drawingml/2006/main">
                  <a:graphicData uri="http://schemas.microsoft.com/office/word/2010/wordprocessingShape">
                    <wps:wsp>
                      <wps:cNvSpPr/>
                      <wps:spPr>
                        <a:xfrm>
                          <a:off x="0" y="0"/>
                          <a:ext cx="5625465" cy="2800350"/>
                        </a:xfrm>
                        <a:prstGeom prst="round2DiagRect">
                          <a:avLst>
                            <a:gd name="adj1" fmla="val 9900"/>
                            <a:gd name="adj2" fmla="val 0"/>
                          </a:avLst>
                        </a:prstGeom>
                        <a:noFill/>
                        <a:ln w="25400" cap="flat" cmpd="sng" algn="ctr">
                          <a:solidFill>
                            <a:srgbClr val="59638E"/>
                          </a:solidFill>
                          <a:prstDash val="solid"/>
                        </a:ln>
                        <a:effectLst/>
                      </wps:spPr>
                      <wps:txbx>
                        <w:txbxContent>
                          <w:p w:rsidR="00891EED" w:rsidRDefault="00891EED" w:rsidP="00E05D08">
                            <w:pPr>
                              <w:pStyle w:val="HStandard"/>
                              <w:rPr>
                                <w:color w:val="000000"/>
                                <w:sz w:val="18"/>
                              </w:rPr>
                            </w:pPr>
                            <w:r>
                              <w:rPr>
                                <w:noProof/>
                                <w:lang w:val="en-GB" w:eastAsia="en-GB"/>
                              </w:rPr>
                              <w:drawing>
                                <wp:inline distT="0" distB="0" distL="0" distR="0" wp14:anchorId="224846EC" wp14:editId="49D58248">
                                  <wp:extent cx="360465" cy="360000"/>
                                  <wp:effectExtent l="0" t="0" r="1905" b="2540"/>
                                  <wp:docPr id="713"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891EED" w:rsidRPr="000D7890" w:rsidRDefault="00891EED" w:rsidP="00E05D08">
                            <w:pPr>
                              <w:pStyle w:val="HStandard"/>
                              <w:rPr>
                                <w:sz w:val="18"/>
                                <w:szCs w:val="18"/>
                                <w:lang w:val="en-US"/>
                              </w:rPr>
                            </w:pPr>
                            <w:r w:rsidRPr="000D7890">
                              <w:rPr>
                                <w:sz w:val="18"/>
                                <w:szCs w:val="18"/>
                                <w:lang w:val="en-US"/>
                              </w:rPr>
                              <w:t>Europese evaluatiehelpdesk (2016). Richtsnoeren "</w:t>
                            </w:r>
                            <w:hyperlink r:id="rId63" w:history="1">
                              <w:r w:rsidRPr="000D7890">
                                <w:rPr>
                                  <w:color w:val="F07E31"/>
                                  <w:sz w:val="18"/>
                                  <w:szCs w:val="18"/>
                                  <w:u w:val="single"/>
                                  <w:lang w:val="en-US"/>
                                </w:rPr>
                                <w:t>Assessment of RDP results:</w:t>
                              </w:r>
                            </w:hyperlink>
                            <w:hyperlink r:id="rId64" w:history="1">
                              <w:r w:rsidRPr="000D7890">
                                <w:rPr>
                                  <w:color w:val="F07E31"/>
                                  <w:sz w:val="18"/>
                                  <w:szCs w:val="18"/>
                                  <w:u w:val="single"/>
                                  <w:lang w:val="en-US"/>
                                </w:rPr>
                                <w:t xml:space="preserve"> How to Prepare for Reporting on Evaluation in 2017</w:t>
                              </w:r>
                            </w:hyperlink>
                            <w:r w:rsidRPr="000D7890">
                              <w:rPr>
                                <w:sz w:val="18"/>
                                <w:szCs w:val="18"/>
                                <w:lang w:val="en-US"/>
                              </w:rPr>
                              <w:t xml:space="preserve">", bijlage 11 </w:t>
                            </w:r>
                          </w:p>
                          <w:p w:rsidR="00891EED" w:rsidRPr="006F1763" w:rsidRDefault="00891EED" w:rsidP="00E05D08">
                            <w:pPr>
                              <w:pStyle w:val="HStandard"/>
                              <w:rPr>
                                <w:sz w:val="18"/>
                                <w:szCs w:val="18"/>
                              </w:rPr>
                            </w:pPr>
                            <w:r>
                              <w:rPr>
                                <w:sz w:val="18"/>
                                <w:szCs w:val="18"/>
                              </w:rPr>
                              <w:t>ENPO (2014).</w:t>
                            </w:r>
                            <w:hyperlink r:id="rId65" w:history="1">
                              <w:r>
                                <w:rPr>
                                  <w:rStyle w:val="Hyperlink"/>
                                  <w:sz w:val="18"/>
                                  <w:szCs w:val="18"/>
                                </w:rPr>
                                <w:t xml:space="preserve"> NRN Guidebook</w:t>
                              </w:r>
                            </w:hyperlink>
                            <w:r>
                              <w:rPr>
                                <w:sz w:val="18"/>
                                <w:szCs w:val="18"/>
                              </w:rPr>
                              <w:t>. Bureau voor publicaties Luxemburg</w:t>
                            </w:r>
                          </w:p>
                          <w:p w:rsidR="00891EED" w:rsidRPr="006F10F3" w:rsidRDefault="00891EED" w:rsidP="00E05D08">
                            <w:pPr>
                              <w:pStyle w:val="HStandard"/>
                              <w:rPr>
                                <w:sz w:val="18"/>
                                <w:szCs w:val="18"/>
                              </w:rPr>
                            </w:pPr>
                            <w:r w:rsidRPr="006F10F3">
                              <w:rPr>
                                <w:sz w:val="18"/>
                                <w:szCs w:val="18"/>
                              </w:rPr>
                              <w:t xml:space="preserve">Europese evaluatiehelpdesk (2016), Richtsnoeren </w:t>
                            </w:r>
                            <w:hyperlink r:id="rId66" w:history="1">
                              <w:r w:rsidRPr="006F10F3">
                                <w:rPr>
                                  <w:rStyle w:val="Hyperlink"/>
                                  <w:sz w:val="18"/>
                                  <w:szCs w:val="18"/>
                                </w:rPr>
                                <w:t>Evaluation of National Rural Networks 2014-2020</w:t>
                              </w:r>
                            </w:hyperlink>
                          </w:p>
                          <w:p w:rsidR="00891EED" w:rsidRPr="000D7890" w:rsidRDefault="00891EED" w:rsidP="00E05D08">
                            <w:pPr>
                              <w:pStyle w:val="HStandard"/>
                              <w:rPr>
                                <w:sz w:val="18"/>
                                <w:szCs w:val="18"/>
                                <w:lang w:val="en-US"/>
                              </w:rPr>
                            </w:pPr>
                            <w:r w:rsidRPr="006F10F3">
                              <w:rPr>
                                <w:sz w:val="18"/>
                                <w:szCs w:val="18"/>
                              </w:rPr>
                              <w:t xml:space="preserve">Europese Commissie, DG AGRI (2014). </w:t>
                            </w:r>
                            <w:hyperlink r:id="rId67" w:history="1">
                              <w:r w:rsidRPr="000D7890">
                                <w:rPr>
                                  <w:rStyle w:val="Hyperlink"/>
                                  <w:sz w:val="18"/>
                                  <w:szCs w:val="18"/>
                                  <w:lang w:val="en-US"/>
                                </w:rPr>
                                <w:t>Guidelines on programming for innovation and the implementation of the EIP for agricultural productivity and sustainability</w:t>
                              </w:r>
                            </w:hyperlink>
                          </w:p>
                          <w:p w:rsidR="00891EED" w:rsidRPr="000D7890" w:rsidRDefault="00891EED" w:rsidP="00E05D08">
                            <w:pPr>
                              <w:pStyle w:val="HStandard"/>
                              <w:rPr>
                                <w:sz w:val="18"/>
                                <w:szCs w:val="18"/>
                                <w:lang w:val="en-US"/>
                              </w:rPr>
                            </w:pPr>
                            <w:r w:rsidRPr="000D7890">
                              <w:rPr>
                                <w:sz w:val="18"/>
                                <w:szCs w:val="18"/>
                                <w:lang w:val="en-US"/>
                              </w:rPr>
                              <w:t xml:space="preserve">Europese evaluatiehelpdesk (2014). Intervention logic and evaluation framework for 2014-2020 National Rural Networks. Achtergronddocument gepresenteerd tijdens de </w:t>
                            </w:r>
                            <w:hyperlink r:id="rId68" w:history="1">
                              <w:r w:rsidRPr="000D7890">
                                <w:rPr>
                                  <w:rStyle w:val="Hyperlink"/>
                                  <w:sz w:val="18"/>
                                  <w:szCs w:val="18"/>
                                  <w:lang w:val="en-US"/>
                                </w:rPr>
                                <w:t>Good Practice Workshop "National Rural Networks:</w:t>
                              </w:r>
                            </w:hyperlink>
                            <w:hyperlink r:id="rId69" w:history="1">
                              <w:r w:rsidRPr="000D7890">
                                <w:rPr>
                                  <w:rStyle w:val="Hyperlink"/>
                                  <w:sz w:val="18"/>
                                  <w:szCs w:val="18"/>
                                  <w:lang w:val="en-US"/>
                                </w:rPr>
                                <w:t xml:space="preserve"> How to show their benefits</w:t>
                              </w:r>
                            </w:hyperlink>
                            <w:r w:rsidRPr="000D7890">
                              <w:rPr>
                                <w:color w:val="F07E31"/>
                                <w:sz w:val="18"/>
                                <w:szCs w:val="18"/>
                                <w:lang w:val="en-US"/>
                              </w:rPr>
                              <w:t>"</w:t>
                            </w:r>
                            <w:r w:rsidRPr="000D7890">
                              <w:rPr>
                                <w:sz w:val="18"/>
                                <w:szCs w:val="18"/>
                                <w:lang w:val="en-US"/>
                              </w:rPr>
                              <w:t>, Rome (Italië), 10 en 11 april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526DB7D" id="Rectangle: Diagonal Corners Rounded 552" o:spid="_x0000_s1052" style="width:442.95pt;height:220.5pt;visibility:visible;mso-wrap-style:square;mso-left-percent:-10001;mso-top-percent:-10001;mso-position-horizontal:absolute;mso-position-horizontal-relative:char;mso-position-vertical:absolute;mso-position-vertical-relative:line;mso-left-percent:-10001;mso-top-percent:-10001;v-text-anchor:middle" coordsize="5625465,2800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" adj="-11796480,,5400" path="m277235,l5625465,r,l5625465,2523115v,153113,-124122,277235,-277235,277235l,2800350r,l,277235c,124122,124122,,277235,xe" filled="f" strokecolor="#59638e" strokeweight="2pt">
                <v:stroke joinstyle="miter"/>
                <v:formulas/>
                <v:path arrowok="t" o:connecttype="custom" o:connectlocs="277235,0;5625465,0;5625465,0;5625465,2523115;5348230,2800350;0,2800350;0,2800350;0,277235;277235,0" o:connectangles="0,0,0,0,0,0,0,0,0" textboxrect="0,0,5625465,2800350"/>
                <v:textbox>
                  <w:txbxContent>
                    <w:p w:rsidR="00891EED" w:rsidRDefault="00891EED" w:rsidP="00E05D08">
                      <w:pPr>
                        <w:pStyle w:val="HStandard"/>
                        <w:rPr>
                          <w:color w:val="000000"/>
                          <w:sz w:val="18"/>
                        </w:rPr>
                      </w:pPr>
                      <w:r>
                        <w:rPr>
                          <w:noProof/>
                          <w:lang w:val="en-GB" w:eastAsia="en-GB"/>
                        </w:rPr>
                        <w:drawing>
                          <wp:inline distT="0" distB="0" distL="0" distR="0" wp14:anchorId="224846EC" wp14:editId="49D58248">
                            <wp:extent cx="360465" cy="360000"/>
                            <wp:effectExtent l="0" t="0" r="1905" b="2540"/>
                            <wp:docPr id="713"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891EED" w:rsidRPr="000D7890" w:rsidRDefault="00891EED" w:rsidP="00E05D08">
                      <w:pPr>
                        <w:pStyle w:val="HStandard"/>
                        <w:rPr>
                          <w:sz w:val="18"/>
                          <w:szCs w:val="18"/>
                          <w:lang w:val="en-US"/>
                        </w:rPr>
                      </w:pPr>
                      <w:r w:rsidRPr="000D7890">
                        <w:rPr>
                          <w:sz w:val="18"/>
                          <w:szCs w:val="18"/>
                          <w:lang w:val="en-US"/>
                        </w:rPr>
                        <w:t>Europese evaluatiehelpdesk (2016). Richtsnoeren "</w:t>
                      </w:r>
                      <w:hyperlink r:id="rId70" w:history="1">
                        <w:r w:rsidRPr="000D7890">
                          <w:rPr>
                            <w:color w:val="F07E31"/>
                            <w:sz w:val="18"/>
                            <w:szCs w:val="18"/>
                            <w:u w:val="single"/>
                            <w:lang w:val="en-US"/>
                          </w:rPr>
                          <w:t>Assessment of RDP results:</w:t>
                        </w:r>
                      </w:hyperlink>
                      <w:hyperlink r:id="rId71" w:history="1">
                        <w:r w:rsidRPr="000D7890">
                          <w:rPr>
                            <w:color w:val="F07E31"/>
                            <w:sz w:val="18"/>
                            <w:szCs w:val="18"/>
                            <w:u w:val="single"/>
                            <w:lang w:val="en-US"/>
                          </w:rPr>
                          <w:t xml:space="preserve"> How to Prepare for Reporting on Evaluation in 2017</w:t>
                        </w:r>
                      </w:hyperlink>
                      <w:r w:rsidRPr="000D7890">
                        <w:rPr>
                          <w:sz w:val="18"/>
                          <w:szCs w:val="18"/>
                          <w:lang w:val="en-US"/>
                        </w:rPr>
                        <w:t xml:space="preserve">", bijlage 11 </w:t>
                      </w:r>
                    </w:p>
                    <w:p w:rsidR="00891EED" w:rsidRPr="006F1763" w:rsidRDefault="00891EED" w:rsidP="00E05D08">
                      <w:pPr>
                        <w:pStyle w:val="HStandard"/>
                        <w:rPr>
                          <w:sz w:val="18"/>
                          <w:szCs w:val="18"/>
                        </w:rPr>
                      </w:pPr>
                      <w:r>
                        <w:rPr>
                          <w:sz w:val="18"/>
                          <w:szCs w:val="18"/>
                        </w:rPr>
                        <w:t>ENPO (2014).</w:t>
                      </w:r>
                      <w:hyperlink r:id="rId72" w:history="1">
                        <w:r>
                          <w:rPr>
                            <w:rStyle w:val="Hyperlink"/>
                            <w:sz w:val="18"/>
                            <w:szCs w:val="18"/>
                          </w:rPr>
                          <w:t xml:space="preserve"> NRN Guidebook</w:t>
                        </w:r>
                      </w:hyperlink>
                      <w:r>
                        <w:rPr>
                          <w:sz w:val="18"/>
                          <w:szCs w:val="18"/>
                        </w:rPr>
                        <w:t>. Bureau voor publicaties Luxemburg</w:t>
                      </w:r>
                    </w:p>
                    <w:p w:rsidR="00891EED" w:rsidRPr="006F10F3" w:rsidRDefault="00891EED" w:rsidP="00E05D08">
                      <w:pPr>
                        <w:pStyle w:val="HStandard"/>
                        <w:rPr>
                          <w:sz w:val="18"/>
                          <w:szCs w:val="18"/>
                        </w:rPr>
                      </w:pPr>
                      <w:r w:rsidRPr="006F10F3">
                        <w:rPr>
                          <w:sz w:val="18"/>
                          <w:szCs w:val="18"/>
                        </w:rPr>
                        <w:t xml:space="preserve">Europese evaluatiehelpdesk (2016), Richtsnoeren </w:t>
                      </w:r>
                      <w:hyperlink r:id="rId73" w:history="1">
                        <w:r w:rsidRPr="006F10F3">
                          <w:rPr>
                            <w:rStyle w:val="Hyperlink"/>
                            <w:sz w:val="18"/>
                            <w:szCs w:val="18"/>
                          </w:rPr>
                          <w:t>Evaluation of National Rural Networks 2014-2020</w:t>
                        </w:r>
                      </w:hyperlink>
                    </w:p>
                    <w:p w:rsidR="00891EED" w:rsidRPr="000D7890" w:rsidRDefault="00891EED" w:rsidP="00E05D08">
                      <w:pPr>
                        <w:pStyle w:val="HStandard"/>
                        <w:rPr>
                          <w:sz w:val="18"/>
                          <w:szCs w:val="18"/>
                          <w:lang w:val="en-US"/>
                        </w:rPr>
                      </w:pPr>
                      <w:r w:rsidRPr="006F10F3">
                        <w:rPr>
                          <w:sz w:val="18"/>
                          <w:szCs w:val="18"/>
                        </w:rPr>
                        <w:t xml:space="preserve">Europese Commissie, DG AGRI (2014). </w:t>
                      </w:r>
                      <w:hyperlink r:id="rId74" w:history="1">
                        <w:r w:rsidRPr="000D7890">
                          <w:rPr>
                            <w:rStyle w:val="Hyperlink"/>
                            <w:sz w:val="18"/>
                            <w:szCs w:val="18"/>
                            <w:lang w:val="en-US"/>
                          </w:rPr>
                          <w:t>Guidelines on programming for innovation and the implementation of the EIP for agricultural productivity and sustainability</w:t>
                        </w:r>
                      </w:hyperlink>
                    </w:p>
                    <w:p w:rsidR="00891EED" w:rsidRPr="000D7890" w:rsidRDefault="00891EED" w:rsidP="00E05D08">
                      <w:pPr>
                        <w:pStyle w:val="HStandard"/>
                        <w:rPr>
                          <w:sz w:val="18"/>
                          <w:szCs w:val="18"/>
                          <w:lang w:val="en-US"/>
                        </w:rPr>
                      </w:pPr>
                      <w:r w:rsidRPr="000D7890">
                        <w:rPr>
                          <w:sz w:val="18"/>
                          <w:szCs w:val="18"/>
                          <w:lang w:val="en-US"/>
                        </w:rPr>
                        <w:t xml:space="preserve">Europese evaluatiehelpdesk (2014). Intervention logic and evaluation framework for 2014-2020 National Rural Networks. Achtergronddocument gepresenteerd tijdens de </w:t>
                      </w:r>
                      <w:hyperlink r:id="rId75" w:history="1">
                        <w:r w:rsidRPr="000D7890">
                          <w:rPr>
                            <w:rStyle w:val="Hyperlink"/>
                            <w:sz w:val="18"/>
                            <w:szCs w:val="18"/>
                            <w:lang w:val="en-US"/>
                          </w:rPr>
                          <w:t>Good Practice Workshop "National Rural Networks:</w:t>
                        </w:r>
                      </w:hyperlink>
                      <w:hyperlink r:id="rId76" w:history="1">
                        <w:r w:rsidRPr="000D7890">
                          <w:rPr>
                            <w:rStyle w:val="Hyperlink"/>
                            <w:sz w:val="18"/>
                            <w:szCs w:val="18"/>
                            <w:lang w:val="en-US"/>
                          </w:rPr>
                          <w:t xml:space="preserve"> How to show their benefits</w:t>
                        </w:r>
                      </w:hyperlink>
                      <w:r w:rsidRPr="000D7890">
                        <w:rPr>
                          <w:color w:val="F07E31"/>
                          <w:sz w:val="18"/>
                          <w:szCs w:val="18"/>
                          <w:lang w:val="en-US"/>
                        </w:rPr>
                        <w:t>"</w:t>
                      </w:r>
                      <w:r w:rsidRPr="000D7890">
                        <w:rPr>
                          <w:sz w:val="18"/>
                          <w:szCs w:val="18"/>
                          <w:lang w:val="en-US"/>
                        </w:rPr>
                        <w:t>, Rome (Italië), 10 en 11 april 2014</w:t>
                      </w:r>
                    </w:p>
                  </w:txbxContent>
                </v:textbox>
                <w10:anchorlock/>
              </v:shape>
            </w:pict>
          </mc:Fallback>
        </mc:AlternateContent>
      </w:r>
    </w:p>
    <w:p w:rsidR="00A45935" w:rsidRPr="006871D2" w:rsidRDefault="00A45935" w:rsidP="00F66623">
      <w:pPr>
        <w:pStyle w:val="HHeading3"/>
        <w:numPr>
          <w:ilvl w:val="2"/>
          <w:numId w:val="124"/>
        </w:numPr>
        <w:tabs>
          <w:tab w:val="clear" w:pos="567"/>
        </w:tabs>
        <w:spacing w:before="480" w:line="280" w:lineRule="exact"/>
        <w:ind w:left="567" w:hanging="567"/>
      </w:pPr>
      <w:bookmarkStart w:id="124" w:name="_Toc501382134"/>
      <w:bookmarkStart w:id="125" w:name="_Toc511656277"/>
      <w:r>
        <w:t>CEQ nr. 23: "In hoeverre heeft het POP bijgedragen aan het verwezenlijken van de Europa 2020-kerndoelstelling om 3 % van het bbp van de EU te investeren in onderzoek en ontwikkeling en innovatie?"</w:t>
      </w:r>
      <w:bookmarkEnd w:id="124"/>
      <w:bookmarkEnd w:id="125"/>
      <w:r>
        <w:t xml:space="preserve">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De CEQ begrijpen</w:t>
      </w:r>
    </w:p>
    <w:p w:rsidR="00A45935" w:rsidRPr="00E05D08" w:rsidRDefault="00A45935" w:rsidP="00E05D08">
      <w:pPr>
        <w:spacing w:after="120" w:line="280" w:lineRule="atLeast"/>
        <w:mirrorIndents/>
        <w:rPr>
          <w:rFonts w:eastAsia="Times New Roman" w:cs="Times New Roman"/>
          <w:szCs w:val="20"/>
        </w:rPr>
      </w:pPr>
      <w:r>
        <w:t xml:space="preserve">Deze CEQ houdt verband met een van de vijf kerndoelen van de EU 2020-strategie: "3 % van het bbp van de EU investeren in O&amp;O/innovatie". Om de vraag te begrijpen, moeten de context en de meting van de kerndoelstelling in aanmerking worden genomen en meer in het bijzonder het doel om de voorwaarden voor innovatie, onderzoek en ontwikkeling te verbeteren met behulp van publieke en particuliere financiering. </w:t>
      </w:r>
    </w:p>
    <w:p w:rsidR="00A45935" w:rsidRPr="00E05D08" w:rsidRDefault="00A45935" w:rsidP="00E05D08">
      <w:pPr>
        <w:spacing w:after="120" w:line="280" w:lineRule="atLeast"/>
        <w:mirrorIndents/>
        <w:rPr>
          <w:rFonts w:eastAsia="Times New Roman" w:cs="Times New Roman"/>
          <w:szCs w:val="20"/>
        </w:rPr>
      </w:pPr>
      <w:r>
        <w:t xml:space="preserve">De kerndoelstelling houdt verband met de prioriteiten van de EU 2020-strategie voor een slimme, duurzame en inclusieve groei op basis van kennis en innovatie. De aandacht wordt gevestigd op de </w:t>
      </w:r>
      <w:r>
        <w:lastRenderedPageBreak/>
        <w:t xml:space="preserve">noodzaak voor zowel de publieke als de private sector om in O&amp;O te investeren, maar daarbij gaat het vooral om </w:t>
      </w:r>
      <w:r>
        <w:rPr>
          <w:b/>
        </w:rPr>
        <w:t>input, en in mindere mate om effect</w:t>
      </w:r>
      <w:r>
        <w:rPr>
          <w:rFonts w:eastAsia="Times New Roman" w:cs="Times New Roman"/>
          <w:szCs w:val="20"/>
          <w:vertAlign w:val="superscript"/>
          <w:lang w:eastAsia="de-DE"/>
        </w:rPr>
        <w:footnoteReference w:id="68"/>
      </w:r>
      <w:r>
        <w:t xml:space="preserve">. Er is veel vraag naar betere voorwaarden voor particuliere O&amp;O in de EU en veel van de maatregelen die in deze strategie worden voorgesteld, zijn daarop gericht. Door O&amp;O en innovatie samen te bekijken, kunnen we met een breder uitgavenpakket meer doen om zakelijke transacties en productiviteitsfactoren te stimuleren. De Commissie stelt voor de doelstelling van 3 % te handhaven en ondertussen een indicator te ontwikkelen die de O&amp;O- en innovatie-intensiteit weergeeft. </w:t>
      </w:r>
    </w:p>
    <w:p w:rsidR="00A45935" w:rsidRPr="00E05D08" w:rsidRDefault="00A45935" w:rsidP="00E05D08">
      <w:pPr>
        <w:spacing w:after="120" w:line="280" w:lineRule="atLeast"/>
        <w:mirrorIndents/>
        <w:rPr>
          <w:rFonts w:eastAsia="Times New Roman" w:cs="Times New Roman"/>
          <w:szCs w:val="20"/>
        </w:rPr>
      </w:pPr>
      <w:r>
        <w:t>Deze kerndoelstelling is door de EU-lidstaten omgezet in nationale doelstellingen die verschillende situaties en omstandigheden weerspiegelen, zodat elke lidstaat zijn eigen voortgang ten opzichte van de doelen van EU 2020 kan controleren</w:t>
      </w:r>
      <w:r>
        <w:rPr>
          <w:rFonts w:eastAsia="Times New Roman" w:cs="Times New Roman"/>
          <w:szCs w:val="20"/>
          <w:vertAlign w:val="superscript"/>
          <w:lang w:eastAsia="de-DE"/>
        </w:rPr>
        <w:footnoteReference w:id="69"/>
      </w:r>
      <w:r>
        <w:t xml:space="preserve">.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 xml:space="preserve">Specifieke uitdagingen </w:t>
      </w:r>
    </w:p>
    <w:p w:rsidR="00A45935" w:rsidRPr="006C63CD" w:rsidRDefault="00A45935" w:rsidP="00676B41">
      <w:pPr>
        <w:pStyle w:val="Hlistbullet"/>
      </w:pPr>
      <w:r>
        <w:rPr>
          <w:b/>
        </w:rPr>
        <w:t xml:space="preserve">Gegevensbeheer om een hogere kwaliteit van gegevens over O&amp;O en innovatie te verkrijgen: </w:t>
      </w:r>
      <w:r>
        <w:t>Eurostat publiceert regelmatig een uitgebreid voortgangsrapport voor de indicator van de kerndoelstelling</w:t>
      </w:r>
      <w:r>
        <w:rPr>
          <w:vertAlign w:val="superscript"/>
        </w:rPr>
        <w:footnoteReference w:id="70"/>
      </w:r>
      <w:r>
        <w:t>. Gegevensvergaring gebeurt volgens het Frascati-handboek (OESO)</w:t>
      </w:r>
      <w:r>
        <w:rPr>
          <w:vertAlign w:val="superscript"/>
        </w:rPr>
        <w:footnoteReference w:id="71"/>
      </w:r>
      <w:r>
        <w:t xml:space="preserve"> en specifieke EU-verordeningen</w:t>
      </w:r>
      <w:r>
        <w:rPr>
          <w:vertAlign w:val="superscript"/>
        </w:rPr>
        <w:footnoteReference w:id="72"/>
      </w:r>
      <w:r>
        <w:t>. Het Frascati-handboek is tevens de grondslag voor de vergaring van gegevens voor de vervangende indicator van de kerndoelstelling-indicator "Bruto binnenlandse uitgaven aan O&amp;O (GERD: Gross domestic expenditure on R&amp;D)", die door Eurostat wordt verzameld</w:t>
      </w:r>
      <w:r>
        <w:rPr>
          <w:vertAlign w:val="superscript"/>
        </w:rPr>
        <w:footnoteReference w:id="73"/>
      </w:r>
      <w:r>
        <w:t xml:space="preserve">. Deze omvat de O&amp;O-uitgaven van bedrijven, instellingen voor hoger onderwijs en overheidsinstellingen en private organisaties zonder winstoogmerk. GERD wordt door Eurostat verstrekt voor de niveaus NUTS 1 en NUTS 2. De indicator "% van totale GERD" vertegenwoordigt het </w:t>
      </w:r>
      <w:r>
        <w:rPr>
          <w:color w:val="333333"/>
          <w:shd w:val="clear" w:color="auto" w:fill="FFFFFF"/>
        </w:rPr>
        <w:t>relatieve aandeel van de verschillende bronnen van financiering in O&amp;O: industrie, regering, hoger onderwijs en private sector zonder winstoogmerk. De vijfde financieringsbron die weergegeven wordt, is GERD die vanuit het buitenland wordt gefinancierd. "</w:t>
      </w:r>
      <w:r>
        <w:t>% van totale GERD"</w:t>
      </w:r>
      <w:r>
        <w:rPr>
          <w:color w:val="333333"/>
          <w:shd w:val="clear" w:color="auto" w:fill="FFFFFF"/>
        </w:rPr>
        <w:t xml:space="preserve"> wordt verstrekt voor het niveau NUTS 1. Hoewel Eurostat de meest recente gegevens publiceert, is er een vertraging van 2 tot 3 jaar. </w:t>
      </w:r>
      <w:r>
        <w:t xml:space="preserve">Eurostat verstrekt geen gegevens voor GERD en het percentage van de totale GERD per economische sector (bv. voedingsindustrie, landbouw). Hoewel de statistieken expliciet betrekking hebben op onderzoek en ontwikkeling, omvatten ze tot op een in de Europa 2020-strategie bepaald punt ook </w:t>
      </w:r>
      <w:r>
        <w:rPr>
          <w:b/>
        </w:rPr>
        <w:t>uitgaven aan innovatie</w:t>
      </w:r>
      <w:r>
        <w:t xml:space="preserve">. Voor financieringsprogramma's die innovatie bevorderen, is het Frascati-handboek een referentie. Hierin staan meetcriteria voor wetenschappelijke, technologische en innovatie-activiteiten, maar de grens tussen O&amp;O en innovatie-activiteiten is niet altijd duidelijk te trekken. </w:t>
      </w:r>
    </w:p>
    <w:p w:rsidR="00A45935" w:rsidRPr="006C63CD" w:rsidRDefault="00A45935" w:rsidP="00676B41">
      <w:pPr>
        <w:pStyle w:val="Hlistbullet"/>
      </w:pPr>
      <w:r>
        <w:rPr>
          <w:b/>
        </w:rPr>
        <w:t xml:space="preserve">De bijdrage van het POP aan de kerndoelstelling beoordelen: </w:t>
      </w:r>
      <w:r>
        <w:t xml:space="preserve">De uitdaging bestaat erin de bijdragen van het POP aan de kerndoelstelling adequaat en realistisch weer te geven, daarbij rekening houdend met de oriëntatie van de programma's ten opzichte van de Europa 2020-strategie. Bij deze evaluatietaak moeten tevens de kenmerken van de interventies door het Elfpo en de bijzonderheden van de plattelandsgebieden waarin ze werkzaam zijn in aanmerking worden genomen. Aangezien plattelandsgebieden gewoonlijk structureel zwakker zijn dan stedelijke gebieden en de Europa 2020-strategie berust op investeringen in groeigebieden en -sectoren, kan ervan uitgegaan worden dat de bijdrage van POP's </w:t>
      </w:r>
      <w:r>
        <w:lastRenderedPageBreak/>
        <w:t>verhoudingsgewijs lager is dan van andere operationele programma's</w:t>
      </w:r>
      <w:r>
        <w:rPr>
          <w:vertAlign w:val="superscript"/>
        </w:rPr>
        <w:footnoteReference w:id="74"/>
      </w:r>
      <w:r>
        <w:t xml:space="preserve">. Wat voor nationale economieën minder belangrijk kan lijken, kan voor het bbp in plattelandsgebieden en de toekomstige ontwikkeling daarvan echter van grote waarde zijn. Daarom moet de kerndoelstelling voor de POP-bijdragen worden berekend en moet de CEQ worden beantwoord.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Voorgestelde aanpak om CEQ nr. 23 te beantwoorden</w:t>
      </w:r>
    </w:p>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 xml:space="preserve">Interventielogica </w:t>
      </w:r>
    </w:p>
    <w:p w:rsidR="00697455" w:rsidRDefault="00A45935" w:rsidP="00E05D08">
      <w:pPr>
        <w:spacing w:after="120" w:line="280" w:lineRule="atLeast"/>
        <w:mirrorIndents/>
        <w:rPr>
          <w:rFonts w:eastAsia="Times New Roman" w:cs="Times New Roman"/>
          <w:szCs w:val="20"/>
        </w:rPr>
      </w:pPr>
      <w:r>
        <w:t xml:space="preserve">Alle POP-maatregelen/-submaatregelen die in plattelandsgebieden bijdragen aan innovatiebevordering via de drie trajecten, zoals vastgesteld bij het screenen van hun innovatiepotentieel (zie </w:t>
      </w:r>
      <w:hyperlink w:anchor="Screening_Potential" w:history="1">
        <w:r>
          <w:rPr>
            <w:rStyle w:val="Hyperlink"/>
            <w:sz w:val="20"/>
            <w:szCs w:val="20"/>
          </w:rPr>
          <w:t>paragraaf 2.2</w:t>
        </w:r>
      </w:hyperlink>
      <w:r>
        <w:t xml:space="preserve">), moeten in aanmerking worden genomen als onderdeel van de aan CEQ nr. 23 gekoppelde interventielogica. Dit gaat verder dan de maatregelen die in de eerste plaats als innovatiebevorderingsmaatregelen worden beschouwd (M1, M2 en M16) en kan ook betrekking hebben op andere investerings-, marketing- en gebiedsgebonden maatregelen die, mits geïmplementeerd, innovatie kunnen ondersteunen (bv. door middel van innovatiegerelateerde projectselectiecriteria). Acties die in het kader van deze maatregelen en submaatregelen worden geïmplementeerd, worden in aanmerking genomen bij het tellen van uitgaven aan O&amp;O en innovatie en de beoordeling van de kerndoelstelling of de vervangende indicator (GERD) en aanvullende indicatoren wordt gebruikt om CEQ nr. 23 te beantwoorden (zoals bij de screening van het innovatiepotentieel, zie </w:t>
      </w:r>
      <w:hyperlink w:anchor="Screening_Potential" w:history="1">
        <w:r>
          <w:rPr>
            <w:rStyle w:val="Hyperlink"/>
            <w:sz w:val="20"/>
            <w:szCs w:val="20"/>
          </w:rPr>
          <w:t>paragraaf 2.2</w:t>
        </w:r>
      </w:hyperlink>
      <w:r>
        <w:t xml:space="preserve">). </w:t>
      </w:r>
    </w:p>
    <w:p w:rsidR="00697455" w:rsidRDefault="00697455">
      <w:pPr>
        <w:jc w:val="left"/>
        <w:rPr>
          <w:rFonts w:eastAsia="Times New Roman" w:cs="Times New Roman"/>
          <w:szCs w:val="20"/>
        </w:rPr>
      </w:pPr>
      <w:r>
        <w:br w:type="page"/>
      </w:r>
    </w:p>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lastRenderedPageBreak/>
        <w:t>Aan CEQ nr. 23 gekoppelde evaluatie-elementen</w:t>
      </w:r>
    </w:p>
    <w:p w:rsidR="00A45935" w:rsidRPr="00E05D08" w:rsidRDefault="00A45935" w:rsidP="00E05D08">
      <w:pPr>
        <w:spacing w:after="120" w:line="280" w:lineRule="atLeast"/>
        <w:mirrorIndents/>
        <w:rPr>
          <w:rFonts w:eastAsia="Times New Roman" w:cs="Times New Roman"/>
          <w:szCs w:val="20"/>
        </w:rPr>
      </w:pPr>
      <w:r>
        <w:t xml:space="preserve">Ter beantwoording van CEQ nr. 23 oppert het werkdocument </w:t>
      </w:r>
      <w:hyperlink r:id="rId77" w:history="1">
        <w:r>
          <w:rPr>
            <w:rStyle w:val="Hyperlink"/>
            <w:sz w:val="20"/>
            <w:szCs w:val="20"/>
          </w:rPr>
          <w:t>Common Evaluation Questions for RDPs 2014-2020</w:t>
        </w:r>
      </w:hyperlink>
      <w:r>
        <w:t xml:space="preserve"> twee beoordelingscriteria (investeringen in O&amp;O zijn toegenomen en innovatie is bevorderd), twee gemeenschappelijke GMES-indicatoren (D1 - uitgaven in het kader van de artikelen 14 en 35, en D2 - Totaal aantal in het kader van de samenwerkingsmaatregel gesteunde concrete acties inzake samenwerking) en één aanvullende indicator (POP-uitgave aan O&amp;O als percentage van het bbp). Deze elementen volstaan echter niet om de POP-bijdragen aan de kerndoelstelling volledig in beeld te brengen. </w:t>
      </w:r>
    </w:p>
    <w:p w:rsidR="00A45935" w:rsidRPr="00E05D08" w:rsidRDefault="00A45935" w:rsidP="00E05D08">
      <w:pPr>
        <w:spacing w:after="120" w:line="280" w:lineRule="atLeast"/>
        <w:mirrorIndents/>
        <w:rPr>
          <w:rFonts w:eastAsia="Times New Roman" w:cs="Times New Roman"/>
          <w:szCs w:val="20"/>
        </w:rPr>
      </w:pPr>
      <w:r>
        <w:t xml:space="preserve">Bijgevolg worden in deze richtsnoeren aanvullende evaluatie-elementen voorgesteld om CEQ nr. 23 te beantwoorden (zie </w:t>
      </w:r>
      <w:hyperlink w:anchor="JC_Indic_data" w:history="1">
        <w:r>
          <w:rPr>
            <w:rStyle w:val="Hyperlink"/>
            <w:sz w:val="20"/>
            <w:szCs w:val="20"/>
          </w:rPr>
          <w:t>tabel 7</w:t>
        </w:r>
      </w:hyperlink>
      <w:r>
        <w:t>).</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endnotePr>
            <w:numFmt w:val="decimal"/>
          </w:endnotePr>
          <w:type w:val="continuous"/>
          <w:pgSz w:w="11907" w:h="16840" w:code="9"/>
          <w:pgMar w:top="1440" w:right="1440" w:bottom="1134" w:left="1440" w:header="567" w:footer="1020" w:gutter="0"/>
          <w:cols w:space="708"/>
          <w:noEndnote/>
          <w:titlePg/>
          <w:docGrid w:linePitch="435"/>
        </w:sectPr>
      </w:pPr>
    </w:p>
    <w:p w:rsidR="00A45935" w:rsidRPr="00A90171" w:rsidRDefault="00A45935" w:rsidP="00A90171">
      <w:pPr>
        <w:pStyle w:val="HHeadingtables"/>
        <w:rPr>
          <w:color w:val="6F6F6F"/>
          <w:sz w:val="18"/>
          <w:szCs w:val="18"/>
        </w:rPr>
      </w:pPr>
      <w:bookmarkStart w:id="127" w:name="JC_Indic_data"/>
      <w:bookmarkStart w:id="128" w:name="_Toc511656288"/>
      <w:bookmarkEnd w:id="127"/>
      <w:r>
        <w:rPr>
          <w:color w:val="6F6F6F"/>
          <w:sz w:val="18"/>
          <w:szCs w:val="18"/>
        </w:rPr>
        <w:lastRenderedPageBreak/>
        <w:t>Beoordelingscriteria, indicatoren en gegevens die nodig zijn om CEQ nr. 23 te beantwoorden</w:t>
      </w:r>
      <w:bookmarkEnd w:id="128"/>
    </w:p>
    <w:tbl>
      <w:tblPr>
        <w:tblW w:w="147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684"/>
        <w:gridCol w:w="3684"/>
        <w:gridCol w:w="3684"/>
        <w:gridCol w:w="3685"/>
      </w:tblGrid>
      <w:tr w:rsidR="00A45935" w:rsidRPr="00E05D08" w:rsidTr="00E05D08">
        <w:trPr>
          <w:trHeight w:val="294"/>
        </w:trPr>
        <w:tc>
          <w:tcPr>
            <w:tcW w:w="3684" w:type="dxa"/>
            <w:shd w:val="clear" w:color="auto" w:fill="F07E31"/>
            <w:vAlign w:val="center"/>
            <w:hideMark/>
          </w:tcPr>
          <w:p w:rsidR="00A45935" w:rsidRPr="00E05D08" w:rsidRDefault="00734B11" w:rsidP="00E05D08">
            <w:pPr>
              <w:spacing w:before="60" w:after="0" w:line="240" w:lineRule="auto"/>
              <w:jc w:val="center"/>
              <w:rPr>
                <w:rFonts w:eastAsia="Times New Roman" w:cs="Arial"/>
                <w:b/>
                <w:bCs/>
                <w:color w:val="FFFFFF"/>
                <w:sz w:val="18"/>
                <w:szCs w:val="18"/>
              </w:rPr>
            </w:pPr>
            <w:r>
              <w:rPr>
                <w:b/>
                <w:bCs/>
                <w:color w:val="FFFFFF"/>
                <w:sz w:val="18"/>
                <w:szCs w:val="18"/>
              </w:rPr>
              <w:t xml:space="preserve">Beoordelingscriteria </w:t>
            </w:r>
          </w:p>
        </w:tc>
        <w:tc>
          <w:tcPr>
            <w:tcW w:w="3684" w:type="dxa"/>
            <w:shd w:val="clear" w:color="auto" w:fill="F07E31"/>
            <w:vAlign w:val="center"/>
            <w:hideMark/>
          </w:tcPr>
          <w:p w:rsidR="00A45935" w:rsidRPr="00E05D08" w:rsidRDefault="00A45935" w:rsidP="00E05D08">
            <w:pPr>
              <w:spacing w:before="60" w:after="0" w:line="240" w:lineRule="auto"/>
              <w:jc w:val="center"/>
              <w:rPr>
                <w:rFonts w:eastAsia="Times New Roman" w:cs="Arial"/>
                <w:color w:val="FFFFFF"/>
                <w:sz w:val="18"/>
                <w:szCs w:val="18"/>
              </w:rPr>
            </w:pPr>
            <w:r>
              <w:rPr>
                <w:b/>
                <w:bCs/>
                <w:color w:val="FFFFFF"/>
                <w:sz w:val="18"/>
                <w:szCs w:val="18"/>
              </w:rPr>
              <w:t>Indicatoren</w:t>
            </w:r>
          </w:p>
        </w:tc>
        <w:tc>
          <w:tcPr>
            <w:tcW w:w="3684" w:type="dxa"/>
            <w:shd w:val="clear" w:color="auto" w:fill="F07E31"/>
            <w:vAlign w:val="center"/>
          </w:tcPr>
          <w:p w:rsidR="00A45935" w:rsidRPr="00E05D08" w:rsidRDefault="00A45935" w:rsidP="00E05D08">
            <w:pPr>
              <w:spacing w:before="60" w:after="0" w:line="240" w:lineRule="auto"/>
              <w:jc w:val="center"/>
              <w:rPr>
                <w:rFonts w:eastAsia="Times New Roman" w:cs="Arial"/>
                <w:b/>
                <w:bCs/>
                <w:color w:val="FFFFFF"/>
                <w:sz w:val="18"/>
                <w:szCs w:val="18"/>
              </w:rPr>
            </w:pPr>
            <w:r>
              <w:rPr>
                <w:b/>
                <w:bCs/>
                <w:color w:val="FFFFFF"/>
                <w:sz w:val="18"/>
                <w:szCs w:val="18"/>
              </w:rPr>
              <w:t>Benodigde gegevens</w:t>
            </w:r>
          </w:p>
        </w:tc>
        <w:tc>
          <w:tcPr>
            <w:tcW w:w="3685" w:type="dxa"/>
            <w:shd w:val="clear" w:color="auto" w:fill="F07E31"/>
            <w:vAlign w:val="center"/>
          </w:tcPr>
          <w:p w:rsidR="00A45935" w:rsidRPr="00E05D08" w:rsidRDefault="00A45935" w:rsidP="00E05D08">
            <w:pPr>
              <w:spacing w:before="60" w:after="0" w:line="240" w:lineRule="auto"/>
              <w:jc w:val="center"/>
              <w:rPr>
                <w:rFonts w:eastAsia="Times New Roman" w:cs="Arial"/>
                <w:b/>
                <w:bCs/>
                <w:color w:val="FFFFFF"/>
                <w:sz w:val="18"/>
                <w:szCs w:val="18"/>
              </w:rPr>
            </w:pPr>
            <w:r>
              <w:rPr>
                <w:b/>
                <w:bCs/>
                <w:color w:val="FFFFFF"/>
                <w:sz w:val="18"/>
                <w:szCs w:val="18"/>
              </w:rPr>
              <w:t>Gegevensbronnen</w:t>
            </w:r>
          </w:p>
        </w:tc>
      </w:tr>
      <w:tr w:rsidR="00A45935" w:rsidRPr="00E05D08" w:rsidTr="00E05D08">
        <w:trPr>
          <w:trHeight w:val="418"/>
        </w:trPr>
        <w:tc>
          <w:tcPr>
            <w:tcW w:w="14737" w:type="dxa"/>
            <w:gridSpan w:val="4"/>
            <w:shd w:val="clear" w:color="auto" w:fill="8BAB80"/>
            <w:vAlign w:val="center"/>
          </w:tcPr>
          <w:p w:rsidR="00A45935" w:rsidRPr="00E05D08" w:rsidRDefault="00A45935" w:rsidP="00E05D08">
            <w:pPr>
              <w:spacing w:after="120" w:line="280" w:lineRule="atLeast"/>
              <w:mirrorIndents/>
              <w:rPr>
                <w:rFonts w:eastAsia="Times New Roman" w:cs="Arial"/>
                <w:b/>
                <w:color w:val="FFFFFF"/>
                <w:sz w:val="18"/>
                <w:szCs w:val="18"/>
              </w:rPr>
            </w:pPr>
            <w:r>
              <w:rPr>
                <w:b/>
                <w:color w:val="FFFFFF"/>
                <w:sz w:val="18"/>
                <w:szCs w:val="18"/>
              </w:rPr>
              <w:t>Gemeenschappelijke evaluatie-elementen (GMES en overeenkomstig het werkdocument "Common evaluation questions 2014-2020")</w:t>
            </w:r>
          </w:p>
        </w:tc>
      </w:tr>
      <w:tr w:rsidR="00A45935" w:rsidRPr="00E05D08" w:rsidTr="00E05D08">
        <w:trPr>
          <w:trHeight w:val="1928"/>
        </w:trPr>
        <w:tc>
          <w:tcPr>
            <w:tcW w:w="3684" w:type="dxa"/>
            <w:shd w:val="clear" w:color="auto" w:fill="auto"/>
            <w:vAlign w:val="center"/>
          </w:tcPr>
          <w:p w:rsidR="00A45935" w:rsidRPr="00E05D08" w:rsidRDefault="00A45935" w:rsidP="00BA4FCD">
            <w:pPr>
              <w:spacing w:after="120" w:line="280" w:lineRule="atLeast"/>
              <w:jc w:val="left"/>
              <w:rPr>
                <w:rFonts w:eastAsia="Times New Roman" w:cs="Arial"/>
                <w:sz w:val="18"/>
                <w:szCs w:val="18"/>
              </w:rPr>
            </w:pPr>
            <w:r>
              <w:rPr>
                <w:sz w:val="18"/>
                <w:szCs w:val="18"/>
              </w:rPr>
              <w:t>De investeringen in O&amp;O en innovatie zijn toegenomen</w:t>
            </w:r>
            <w:r>
              <w:rPr>
                <w:rFonts w:eastAsia="Times New Roman" w:cs="Arial"/>
                <w:sz w:val="18"/>
                <w:szCs w:val="18"/>
                <w:vertAlign w:val="superscript"/>
                <w:lang w:eastAsia="de-AT"/>
              </w:rPr>
              <w:footnoteReference w:id="75"/>
            </w:r>
            <w:r>
              <w:rPr>
                <w:sz w:val="18"/>
                <w:szCs w:val="18"/>
              </w:rPr>
              <w:t>.</w:t>
            </w:r>
          </w:p>
          <w:p w:rsidR="00A45935" w:rsidRPr="00E05D08" w:rsidRDefault="00A45935" w:rsidP="00697455">
            <w:pPr>
              <w:spacing w:after="120" w:line="280" w:lineRule="atLeast"/>
              <w:jc w:val="left"/>
              <w:rPr>
                <w:rFonts w:eastAsia="Times New Roman" w:cs="Arial"/>
                <w:sz w:val="18"/>
                <w:szCs w:val="18"/>
              </w:rPr>
            </w:pPr>
            <w:r>
              <w:rPr>
                <w:sz w:val="18"/>
                <w:szCs w:val="18"/>
              </w:rPr>
              <w:t xml:space="preserve">Innovatie is bevorderd. </w:t>
            </w:r>
          </w:p>
        </w:tc>
        <w:tc>
          <w:tcPr>
            <w:tcW w:w="3684" w:type="dxa"/>
            <w:shd w:val="clear" w:color="auto" w:fill="auto"/>
            <w:vAlign w:val="center"/>
            <w:hideMark/>
          </w:tcPr>
          <w:p w:rsidR="00A45935" w:rsidRPr="00E05D08" w:rsidRDefault="00A45935" w:rsidP="00BA4FCD">
            <w:pPr>
              <w:spacing w:after="120" w:line="280" w:lineRule="atLeast"/>
              <w:jc w:val="left"/>
              <w:rPr>
                <w:rFonts w:eastAsia="Times New Roman" w:cs="Arial"/>
                <w:sz w:val="18"/>
                <w:szCs w:val="18"/>
              </w:rPr>
            </w:pPr>
            <w:r>
              <w:rPr>
                <w:sz w:val="18"/>
                <w:szCs w:val="18"/>
              </w:rPr>
              <w:t xml:space="preserve">D1: Percentage uitgaven in het kader van de artikelen 14, 15 en 35 van Verordening (EU) nr. 1305/2013 ten opzichte van de totale uitgaven voor het POP.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D2: Totaal aantal in het kader van de samenwerkingsmaatregel gesteunde concrete acties inzake samenwerking (artikel 35 van Verordening (EU) nr. 1305/2013) (groepen, netwerken/clusters, proefprojecten). </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u w:val="single"/>
              </w:rPr>
              <w:t>Aanvullende indicator:</w:t>
            </w:r>
            <w:r>
              <w:rPr>
                <w:color w:val="57825E"/>
                <w:sz w:val="18"/>
                <w:szCs w:val="18"/>
              </w:rPr>
              <w:t xml:space="preserve"> </w:t>
            </w:r>
          </w:p>
          <w:p w:rsidR="00A45935" w:rsidRPr="00E05D08" w:rsidRDefault="001120E4" w:rsidP="00BA4FCD">
            <w:pPr>
              <w:spacing w:after="120" w:line="280" w:lineRule="atLeast"/>
              <w:jc w:val="left"/>
              <w:rPr>
                <w:rFonts w:eastAsia="Times New Roman" w:cs="Arial"/>
                <w:sz w:val="18"/>
                <w:szCs w:val="18"/>
              </w:rPr>
            </w:pPr>
            <w:r>
              <w:rPr>
                <w:color w:val="57825E"/>
                <w:sz w:val="18"/>
                <w:szCs w:val="18"/>
              </w:rPr>
              <w:t>POP-uitgaven aan O&amp;O als percentage van het bbp (GERD "plattelandsontwikkeling").</w:t>
            </w:r>
            <w:r>
              <w:rPr>
                <w:sz w:val="18"/>
                <w:szCs w:val="18"/>
              </w:rPr>
              <w:t xml:space="preserve"> </w:t>
            </w:r>
          </w:p>
        </w:tc>
        <w:tc>
          <w:tcPr>
            <w:tcW w:w="3684" w:type="dxa"/>
          </w:tcPr>
          <w:p w:rsidR="00A45935" w:rsidRPr="00E05D08" w:rsidRDefault="00A45935" w:rsidP="00BA4FCD">
            <w:pPr>
              <w:spacing w:after="120" w:line="280" w:lineRule="atLeast"/>
              <w:jc w:val="left"/>
              <w:rPr>
                <w:rFonts w:eastAsia="Times New Roman" w:cs="Arial"/>
                <w:sz w:val="18"/>
                <w:szCs w:val="18"/>
              </w:rPr>
            </w:pPr>
            <w:r>
              <w:rPr>
                <w:sz w:val="18"/>
                <w:szCs w:val="18"/>
              </w:rPr>
              <w:t>Gegevens over de uitgaven aan O&amp;O en innovatie van het POP.</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Gegevens over de totale uitgaven van het POP. </w:t>
            </w:r>
          </w:p>
          <w:p w:rsidR="00A45935" w:rsidRPr="00E05D08" w:rsidRDefault="00A45935" w:rsidP="00BA4FCD">
            <w:pPr>
              <w:spacing w:after="120" w:line="280" w:lineRule="atLeast"/>
              <w:jc w:val="left"/>
              <w:rPr>
                <w:rFonts w:eastAsia="Times New Roman" w:cs="Arial"/>
                <w:sz w:val="18"/>
                <w:szCs w:val="18"/>
              </w:rPr>
            </w:pPr>
            <w:r>
              <w:rPr>
                <w:sz w:val="18"/>
                <w:szCs w:val="18"/>
              </w:rPr>
              <w:t>Gegevens over de uitgaven aan O&amp;O en innovatie van de lidstaat/regio.</w:t>
            </w:r>
          </w:p>
          <w:p w:rsidR="00A45935" w:rsidRPr="00E05D08" w:rsidRDefault="00A45935" w:rsidP="00BA4FCD">
            <w:pPr>
              <w:spacing w:after="120" w:line="280" w:lineRule="atLeast"/>
              <w:jc w:val="left"/>
              <w:rPr>
                <w:rFonts w:eastAsia="Times New Roman" w:cs="Arial"/>
                <w:sz w:val="18"/>
                <w:szCs w:val="18"/>
              </w:rPr>
            </w:pPr>
            <w:r>
              <w:rPr>
                <w:sz w:val="18"/>
                <w:szCs w:val="18"/>
              </w:rPr>
              <w:t>Gegevens over het bbp van de lidstaat/regio.</w:t>
            </w:r>
          </w:p>
        </w:tc>
        <w:tc>
          <w:tcPr>
            <w:tcW w:w="3685" w:type="dxa"/>
          </w:tcPr>
          <w:p w:rsidR="00A45935" w:rsidRPr="00E05D08" w:rsidRDefault="00A45935" w:rsidP="00BA4FCD">
            <w:pPr>
              <w:spacing w:after="120" w:line="280" w:lineRule="atLeast"/>
              <w:jc w:val="left"/>
              <w:rPr>
                <w:rFonts w:eastAsia="Times New Roman" w:cs="Arial"/>
                <w:sz w:val="18"/>
                <w:szCs w:val="18"/>
              </w:rPr>
            </w:pPr>
            <w:r>
              <w:rPr>
                <w:sz w:val="18"/>
                <w:szCs w:val="18"/>
              </w:rPr>
              <w:t>POP-monitoringsysteem.</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Eurostat.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Nationale/regionale statistieken. </w:t>
            </w:r>
          </w:p>
        </w:tc>
      </w:tr>
      <w:tr w:rsidR="00A45935" w:rsidRPr="00E05D08" w:rsidTr="00E05D08">
        <w:trPr>
          <w:trHeight w:val="404"/>
        </w:trPr>
        <w:tc>
          <w:tcPr>
            <w:tcW w:w="14737" w:type="dxa"/>
            <w:gridSpan w:val="4"/>
            <w:shd w:val="clear" w:color="auto" w:fill="8BAB80"/>
            <w:vAlign w:val="center"/>
          </w:tcPr>
          <w:p w:rsidR="00A45935" w:rsidRPr="00E05D08" w:rsidRDefault="00A45935" w:rsidP="00E05D08">
            <w:pPr>
              <w:spacing w:after="120" w:line="280" w:lineRule="atLeast"/>
              <w:rPr>
                <w:rFonts w:eastAsia="Times New Roman" w:cs="Arial"/>
                <w:b/>
                <w:color w:val="FFFFFF"/>
                <w:sz w:val="18"/>
                <w:szCs w:val="18"/>
              </w:rPr>
            </w:pPr>
            <w:r>
              <w:rPr>
                <w:b/>
                <w:color w:val="FFFFFF"/>
                <w:sz w:val="18"/>
                <w:szCs w:val="18"/>
              </w:rPr>
              <w:t>Aanvullende evaluatie-elementen (optioneel)</w:t>
            </w:r>
          </w:p>
        </w:tc>
      </w:tr>
      <w:tr w:rsidR="00A45935" w:rsidRPr="00E05D08" w:rsidTr="00E05D08">
        <w:trPr>
          <w:trHeight w:val="1928"/>
        </w:trPr>
        <w:tc>
          <w:tcPr>
            <w:tcW w:w="3684" w:type="dxa"/>
            <w:shd w:val="clear" w:color="auto" w:fill="auto"/>
            <w:vAlign w:val="center"/>
          </w:tcPr>
          <w:p w:rsidR="00A45935" w:rsidRPr="00E05D08" w:rsidRDefault="00A45935" w:rsidP="00697455">
            <w:pPr>
              <w:spacing w:after="120" w:line="280" w:lineRule="atLeast"/>
              <w:jc w:val="left"/>
              <w:rPr>
                <w:rFonts w:eastAsia="Times New Roman" w:cs="Arial"/>
                <w:sz w:val="18"/>
                <w:szCs w:val="18"/>
              </w:rPr>
            </w:pPr>
            <w:r>
              <w:rPr>
                <w:sz w:val="18"/>
                <w:szCs w:val="18"/>
              </w:rPr>
              <w:t>De investering in O&amp;O en innovatie is toegenomen.</w:t>
            </w:r>
          </w:p>
        </w:tc>
        <w:tc>
          <w:tcPr>
            <w:tcW w:w="3684" w:type="dxa"/>
            <w:shd w:val="clear" w:color="auto" w:fill="auto"/>
            <w:vAlign w:val="center"/>
          </w:tcPr>
          <w:p w:rsidR="001120E4" w:rsidRPr="001120E4" w:rsidRDefault="001120E4" w:rsidP="00BA4FCD">
            <w:pPr>
              <w:spacing w:after="120" w:line="280" w:lineRule="atLeast"/>
              <w:jc w:val="left"/>
              <w:rPr>
                <w:rFonts w:eastAsia="Times New Roman" w:cs="Arial"/>
                <w:color w:val="57825E"/>
                <w:sz w:val="18"/>
                <w:szCs w:val="18"/>
                <w:u w:val="single"/>
              </w:rPr>
            </w:pPr>
            <w:r>
              <w:rPr>
                <w:color w:val="57825E"/>
                <w:sz w:val="18"/>
                <w:szCs w:val="18"/>
                <w:u w:val="single"/>
              </w:rPr>
              <w:t xml:space="preserve">Aanvullende indicatoren: </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rPr>
              <w:t>Bruto binnenlandse uitgaven aan O&amp;O (GERD) ten opzichte van het bruto binnenlands product (bbp).</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rPr>
              <w:t xml:space="preserve">POP-uitgaven aan O&amp;O en innovatie als percentage van de totale POP-uitgaven. </w:t>
            </w:r>
          </w:p>
          <w:p w:rsidR="00A45935" w:rsidRPr="00E05D08" w:rsidRDefault="00942585" w:rsidP="00BA4FCD">
            <w:pPr>
              <w:spacing w:after="120" w:line="280" w:lineRule="atLeast"/>
              <w:jc w:val="left"/>
              <w:rPr>
                <w:rFonts w:eastAsia="Times New Roman" w:cs="Arial"/>
                <w:sz w:val="18"/>
                <w:szCs w:val="18"/>
              </w:rPr>
            </w:pPr>
            <w:r>
              <w:rPr>
                <w:color w:val="57825E"/>
                <w:sz w:val="18"/>
                <w:szCs w:val="18"/>
              </w:rPr>
              <w:t xml:space="preserve">POP-uitgaven aan O&amp;O en innovatie als percentage van de bruto binnenlandse </w:t>
            </w:r>
            <w:r>
              <w:rPr>
                <w:color w:val="57825E"/>
                <w:sz w:val="18"/>
                <w:szCs w:val="18"/>
              </w:rPr>
              <w:lastRenderedPageBreak/>
              <w:t>uitgaven aan O&amp;O en innovatie.</w:t>
            </w:r>
          </w:p>
        </w:tc>
        <w:tc>
          <w:tcPr>
            <w:tcW w:w="3684" w:type="dxa"/>
          </w:tcPr>
          <w:p w:rsidR="001120E4" w:rsidRDefault="001120E4" w:rsidP="00BA4FCD">
            <w:pPr>
              <w:spacing w:after="120" w:line="280" w:lineRule="atLeast"/>
              <w:jc w:val="left"/>
              <w:rPr>
                <w:rFonts w:eastAsia="Times New Roman" w:cs="Arial"/>
                <w:sz w:val="18"/>
                <w:szCs w:val="18"/>
              </w:rPr>
            </w:pPr>
            <w:r>
              <w:rPr>
                <w:sz w:val="18"/>
                <w:szCs w:val="18"/>
              </w:rPr>
              <w:lastRenderedPageBreak/>
              <w:t>Gegevens over O&amp;O en innovatie in overeenstemming met het Frascati-handboek.</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Gegevens over uitgaven aan O&amp;O en innovatie van het POP, uitgesplitst per soort begunstigde.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Gegevens over de totale uitgaven van het POP. </w:t>
            </w:r>
          </w:p>
          <w:p w:rsidR="00A45935" w:rsidRPr="00E05D08" w:rsidRDefault="00A45935" w:rsidP="00BA4FCD">
            <w:pPr>
              <w:spacing w:after="120" w:line="280" w:lineRule="atLeast"/>
              <w:jc w:val="left"/>
              <w:rPr>
                <w:rFonts w:eastAsia="Times New Roman" w:cs="Arial"/>
                <w:sz w:val="18"/>
                <w:szCs w:val="18"/>
              </w:rPr>
            </w:pPr>
            <w:r>
              <w:rPr>
                <w:sz w:val="18"/>
                <w:szCs w:val="18"/>
              </w:rPr>
              <w:lastRenderedPageBreak/>
              <w:t>Gegevens over de uitgaven aan O&amp;O en innovatie van de lidstaat/regio.</w:t>
            </w:r>
          </w:p>
          <w:p w:rsidR="00A45935" w:rsidRPr="00E05D08" w:rsidRDefault="00A45935" w:rsidP="00BA4FCD">
            <w:pPr>
              <w:spacing w:after="120" w:line="280" w:lineRule="atLeast"/>
              <w:jc w:val="left"/>
              <w:rPr>
                <w:rFonts w:eastAsia="Times New Roman" w:cs="Arial"/>
                <w:sz w:val="18"/>
                <w:szCs w:val="18"/>
              </w:rPr>
            </w:pPr>
            <w:r>
              <w:rPr>
                <w:sz w:val="18"/>
                <w:szCs w:val="18"/>
              </w:rPr>
              <w:t>Gegevens over het bbp van de lidstaat/regio.</w:t>
            </w:r>
          </w:p>
        </w:tc>
        <w:tc>
          <w:tcPr>
            <w:tcW w:w="3685" w:type="dxa"/>
          </w:tcPr>
          <w:p w:rsidR="00A45935" w:rsidRPr="00E05D08" w:rsidRDefault="00A45935" w:rsidP="00BA4FCD">
            <w:pPr>
              <w:spacing w:after="120" w:line="280" w:lineRule="atLeast"/>
              <w:jc w:val="left"/>
              <w:rPr>
                <w:rFonts w:eastAsia="Times New Roman" w:cs="Arial"/>
                <w:sz w:val="18"/>
                <w:szCs w:val="18"/>
              </w:rPr>
            </w:pPr>
            <w:r>
              <w:rPr>
                <w:sz w:val="18"/>
                <w:szCs w:val="18"/>
              </w:rPr>
              <w:lastRenderedPageBreak/>
              <w:t>POP-monitoringsysteem.</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Eurostat.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Nationale/regionale statistieken. </w:t>
            </w:r>
          </w:p>
        </w:tc>
      </w:tr>
    </w:tbl>
    <w:p w:rsidR="00A45935" w:rsidRPr="00E05D08" w:rsidRDefault="00A45935" w:rsidP="008C0B17">
      <w:pPr>
        <w:numPr>
          <w:ilvl w:val="0"/>
          <w:numId w:val="45"/>
        </w:numPr>
        <w:spacing w:before="60" w:after="120" w:line="280" w:lineRule="atLeast"/>
        <w:rPr>
          <w:rFonts w:eastAsia="Times New Roman" w:cs="Times New Roman"/>
          <w:b/>
          <w:szCs w:val="20"/>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360"/>
        </w:sectPr>
      </w:pPr>
    </w:p>
    <w:p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b/>
          <w:szCs w:val="20"/>
        </w:rPr>
        <w:lastRenderedPageBreak/>
        <w:t>Voorgestelde evaluatiemethodologie</w:t>
      </w:r>
    </w:p>
    <w:p w:rsidR="00A45935" w:rsidRPr="00E05D08" w:rsidRDefault="00A45935" w:rsidP="00E05D08">
      <w:pPr>
        <w:spacing w:after="120" w:line="280" w:lineRule="atLeast"/>
        <w:mirrorIndents/>
        <w:rPr>
          <w:rFonts w:eastAsia="Times New Roman" w:cs="Times New Roman"/>
          <w:szCs w:val="20"/>
        </w:rPr>
      </w:pPr>
      <w:r>
        <w:t>De indicator voor de kerndoelstelling wordt door Eurostat en nationale statistiekorganisaties verzameld en heeft betrekking op de bruto binnenlandse uitgaven aan O&amp;O (GERD), als vervanging voor het bbp, ook wel bekend als de O&amp;O-intensiteit. In de statistieken worden de O&amp;O-uitgaven van vier sectoren samengebracht: 1.) de bedrijvensector, 2.) de overheidssector, 3) de sector van het hoger onderwijs, en 4) de private sector zonder winstoogmerk. Tabel 8 geeft nadere informatie over de berekening van elk van deze indicatoren.</w:t>
      </w:r>
    </w:p>
    <w:p w:rsidR="00F73706" w:rsidRPr="0059311F" w:rsidRDefault="00F73706" w:rsidP="00F73706">
      <w:pPr>
        <w:pStyle w:val="Hlistbullet"/>
      </w:pPr>
      <w:r>
        <w:t xml:space="preserve">Gegevens voor de gemeenschappelijke indicatoren D1 en D2 worden rechtstreeks uit het POP-monitoringsysteem (database met concrete acties) verzameld. </w:t>
      </w:r>
    </w:p>
    <w:p w:rsidR="00F73706" w:rsidRPr="00F73706" w:rsidRDefault="00F73706" w:rsidP="00F73706">
      <w:pPr>
        <w:pStyle w:val="Hlistbullet"/>
      </w:pPr>
      <w:r>
        <w:t>Gegevens met betrekking tot de kerndoelstelling "</w:t>
      </w:r>
      <w:r>
        <w:rPr>
          <w:i/>
        </w:rPr>
        <w:t>Bruto binnenlandse uitgaven aan O&amp;O (GERD) ten opzichte van het bruto binnenlands product (bbp)</w:t>
      </w:r>
      <w:r>
        <w:t>" kunnen op het niveau NUTS 1 en NUTS 2 worden verkregen bij Eurostat.</w:t>
      </w:r>
    </w:p>
    <w:p w:rsidR="00F73706" w:rsidRPr="00F73706" w:rsidRDefault="00F73706" w:rsidP="00F73706">
      <w:pPr>
        <w:pStyle w:val="Hlistbullet"/>
      </w:pPr>
      <w:r>
        <w:t>De aanvullende indicator "</w:t>
      </w:r>
      <w:r>
        <w:rPr>
          <w:i/>
        </w:rPr>
        <w:t>POP-uitgave aan O&amp;O als percentage van het bbp</w:t>
      </w:r>
      <w:r>
        <w:t>" (hierna GERD "plattelandsontwikkeling" of GERD</w:t>
      </w:r>
      <w:r>
        <w:rPr>
          <w:vertAlign w:val="superscript"/>
        </w:rPr>
        <w:t>PO</w:t>
      </w:r>
      <w:r>
        <w:t xml:space="preserve"> genoemd) vertegenwoordigt de O&amp;O-uitgaven van het POP ten opzichte van het bbp via de desbetreffende maatregelen/submaatregelen:</w:t>
      </w:r>
    </w:p>
    <w:p w:rsidR="00F73706" w:rsidRPr="00F73706" w:rsidRDefault="00F73706" w:rsidP="00F73706">
      <w:pPr>
        <w:pStyle w:val="Hlistbullet2"/>
      </w:pPr>
      <w:r>
        <w:t xml:space="preserve">Gegevens over het bbp worden verzameld via nationale statistieken en zijn ook beschikbaar op EU-bronnen (Eurostat). </w:t>
      </w:r>
    </w:p>
    <w:p w:rsidR="00F73706" w:rsidRPr="00F73706" w:rsidRDefault="00F73706" w:rsidP="00F73706">
      <w:pPr>
        <w:pStyle w:val="Hlistbullet2"/>
      </w:pPr>
      <w:r>
        <w:t xml:space="preserve">Gegevens over de POP-uitgaven aan onderzoek, ontwikkeling en innovatie kunnen worden verkregen uit het POP-monitoringsysteem door de uitgaven op te tellen die verband houden met concrete acties met innovatiepotentieel (zoals vastgesteld tijdens de screening van het innovatiepotentieel, zie </w:t>
      </w:r>
      <w:hyperlink w:anchor="Screening_Potential" w:history="1">
        <w:r>
          <w:rPr>
            <w:rStyle w:val="Hyperlink"/>
            <w:sz w:val="20"/>
          </w:rPr>
          <w:t>paragraaf 2.2</w:t>
        </w:r>
      </w:hyperlink>
      <w:r>
        <w:t xml:space="preserve">) en opgesplitst zijn in aan sectoren toegewezen begunstigden, zoals voorzien in het Frascati-handboek. </w:t>
      </w:r>
    </w:p>
    <w:p w:rsidR="00F73706" w:rsidRPr="00F73706" w:rsidRDefault="00F73706" w:rsidP="00F73706">
      <w:pPr>
        <w:pStyle w:val="Hlistbullet"/>
      </w:pPr>
      <w:r>
        <w:t>De aanvullende indicator "</w:t>
      </w:r>
      <w:r>
        <w:rPr>
          <w:i/>
        </w:rPr>
        <w:t>POP-uitgaven aan O&amp;O en innovatie als percentage van de totale POP-uitgaven</w:t>
      </w:r>
      <w:r>
        <w:t>" vertegenwoordigt de omvang van het POP-budget dat bedoeld is ter ondersteuning van onderzoek, ontwikkeling en innovatie. Gegevens voor deze indicator kunnen eveneens uit het POP-monitoringsysteem worden verkregen als de database met concrete acties zodanig wordt aangepast dat tevens informatie wordt bijgehouden over de projecten waarvoor in de screening voorafgaand aan de evaluatie een groot innovatiepotentieel is vastgesteld.</w:t>
      </w:r>
    </w:p>
    <w:p w:rsidR="00A45935" w:rsidRPr="00E05D08" w:rsidRDefault="00F73706" w:rsidP="00F73706">
      <w:pPr>
        <w:pStyle w:val="Hlistbullet"/>
      </w:pPr>
      <w:r>
        <w:t>De aanvullende indicator "</w:t>
      </w:r>
      <w:r>
        <w:rPr>
          <w:i/>
        </w:rPr>
        <w:t>POP-uitgaven aan O&amp;O en innovatie als percentage van de bruto binnenlandse uitgaven aan O&amp;O en innovatie</w:t>
      </w:r>
      <w:r>
        <w:t>" vertegenwoordigt de relatie tussen de investeringen van het POP in onderzoek, ontwikkeling en innovatie en de bruto binnenlandse uitgaven aan O&amp;O. Gegevens kunnen worden verkregen uit het POP-monitoringsysteem, uit de nationale en regionale statistieken en van Eurostat.</w:t>
      </w:r>
    </w:p>
    <w:p w:rsidR="00A45935" w:rsidRPr="00E05D08" w:rsidRDefault="00A45935" w:rsidP="00E05D08">
      <w:pPr>
        <w:spacing w:after="120" w:line="280" w:lineRule="atLeast"/>
        <w:mirrorIndents/>
        <w:rPr>
          <w:rFonts w:eastAsia="Times New Roman" w:cs="Times New Roman"/>
          <w:szCs w:val="20"/>
        </w:rPr>
      </w:pPr>
      <w:r>
        <w:t>Cijfers voor indicatoren kunnen vooraf (geplande bijdragen) en tijdens de evaluatie voor het in 2019 in te dienen JUV en tijdens de evaluatie achteraf (werkelijke bijdragen op het moment van de evaluatie) worden berekend. Op die manier kunnen de geplande bijdragen met de werkelijke bijdragen worden vergeleken. Het voorbeeld in tabel 8 toont de geplande en werkelijke waarden van gemeenschappelijke en aanvullende indicatoren:</w:t>
      </w:r>
    </w:p>
    <w:p w:rsidR="00A45935" w:rsidRPr="00E05D08" w:rsidRDefault="00A45935" w:rsidP="00E05D08">
      <w:pPr>
        <w:spacing w:after="0" w:line="240" w:lineRule="auto"/>
        <w:rPr>
          <w:rFonts w:eastAsia="Times New Roman" w:cs="Times New Roman"/>
          <w:b/>
          <w:sz w:val="16"/>
          <w:szCs w:val="20"/>
          <w:highlight w:val="yellow"/>
        </w:rPr>
      </w:pPr>
      <w:bookmarkStart w:id="129" w:name="_Hlk501698024"/>
      <w:r>
        <w:br w:type="page"/>
      </w:r>
    </w:p>
    <w:p w:rsidR="00A45935" w:rsidRPr="00D62992" w:rsidRDefault="00A45935" w:rsidP="00D62992">
      <w:pPr>
        <w:pStyle w:val="HHeadingtables"/>
        <w:rPr>
          <w:color w:val="6F6F6F"/>
          <w:sz w:val="18"/>
          <w:szCs w:val="18"/>
        </w:rPr>
      </w:pPr>
      <w:bookmarkStart w:id="130" w:name="_Toc511656289"/>
      <w:r>
        <w:rPr>
          <w:color w:val="6F6F6F"/>
          <w:sz w:val="18"/>
          <w:szCs w:val="18"/>
        </w:rPr>
        <w:lastRenderedPageBreak/>
        <w:t>Voorbeeld van geplande en werkelijke waarden van gemeenschappelijke en aanvullende indicatoren</w:t>
      </w:r>
      <w:bookmarkEnd w:id="130"/>
      <w:r>
        <w:rPr>
          <w:color w:val="6F6F6F"/>
          <w:sz w:val="18"/>
          <w:szCs w:val="18"/>
        </w:rPr>
        <w:t xml:space="preserve"> </w:t>
      </w:r>
    </w:p>
    <w:tbl>
      <w:tblPr>
        <w:tblW w:w="91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1782"/>
        <w:gridCol w:w="3597"/>
        <w:gridCol w:w="1494"/>
        <w:gridCol w:w="1493"/>
        <w:gridCol w:w="762"/>
      </w:tblGrid>
      <w:tr w:rsidR="00F73706" w:rsidRPr="00F73706" w:rsidTr="00BC211C">
        <w:trPr>
          <w:trHeight w:val="192"/>
        </w:trPr>
        <w:tc>
          <w:tcPr>
            <w:tcW w:w="1202" w:type="dxa"/>
            <w:shd w:val="clear" w:color="auto" w:fill="F07E31"/>
            <w:vAlign w:val="center"/>
            <w:hideMark/>
          </w:tcPr>
          <w:p w:rsidR="00F73706" w:rsidRPr="00253803" w:rsidRDefault="00F73706" w:rsidP="00F73706">
            <w:pPr>
              <w:spacing w:before="60" w:after="120" w:line="220" w:lineRule="atLeast"/>
              <w:ind w:right="154"/>
              <w:jc w:val="center"/>
              <w:rPr>
                <w:rFonts w:eastAsia="Times New Roman" w:cs="Arial"/>
                <w:b/>
                <w:bCs/>
                <w:color w:val="FFFFFF"/>
                <w:sz w:val="18"/>
                <w:szCs w:val="20"/>
                <w:lang w:eastAsia="de-DE"/>
              </w:rPr>
            </w:pPr>
          </w:p>
        </w:tc>
        <w:tc>
          <w:tcPr>
            <w:tcW w:w="4175"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Indicatoren</w:t>
            </w:r>
          </w:p>
        </w:tc>
        <w:tc>
          <w:tcPr>
            <w:tcW w:w="1495"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Gepland</w:t>
            </w:r>
          </w:p>
        </w:tc>
        <w:tc>
          <w:tcPr>
            <w:tcW w:w="1494"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Werkelijk</w:t>
            </w:r>
          </w:p>
        </w:tc>
        <w:tc>
          <w:tcPr>
            <w:tcW w:w="762" w:type="dxa"/>
            <w:shd w:val="clear" w:color="auto" w:fill="F07E31"/>
            <w:vAlign w:val="center"/>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Berek.</w:t>
            </w:r>
          </w:p>
        </w:tc>
      </w:tr>
      <w:tr w:rsidR="00F73706" w:rsidRPr="00F73706" w:rsidTr="00BC211C">
        <w:trPr>
          <w:trHeight w:val="310"/>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Ingevoerde gegevens POP (database met concrete acties)</w:t>
            </w: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Totale POP-uitgaven (geaggregeerd).</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800 000 000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790 000 000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a</w:t>
            </w:r>
          </w:p>
        </w:tc>
      </w:tr>
      <w:tr w:rsidR="00F73706" w:rsidRPr="00F73706" w:rsidTr="00BC211C">
        <w:trPr>
          <w:trHeight w:val="363"/>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POP-uitgaven in het kader van artikel 14, 15 en 35 van Verordening (EU) nr. 1305/2013 (geaggregeerd).</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40 000 000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30 000 000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b</w:t>
            </w:r>
          </w:p>
        </w:tc>
      </w:tr>
      <w:tr w:rsidR="00F73706" w:rsidRPr="00F73706" w:rsidTr="00BC211C">
        <w:trPr>
          <w:trHeight w:val="631"/>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POP-uitgaven voor alle POP-maatregelen/-submaatregelen die in O&amp;O investeren en innovatie kunnen bevorderen (geaggregeerd).</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120 000 000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140 000 000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c</w:t>
            </w:r>
          </w:p>
        </w:tc>
      </w:tr>
      <w:tr w:rsidR="00F73706" w:rsidRPr="00F73706" w:rsidTr="00BC211C">
        <w:trPr>
          <w:trHeight w:val="631"/>
        </w:trPr>
        <w:tc>
          <w:tcPr>
            <w:tcW w:w="1202" w:type="dxa"/>
            <w:vMerge w:val="restart"/>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Contextgegevens</w:t>
            </w:r>
          </w:p>
        </w:tc>
        <w:tc>
          <w:tcPr>
            <w:tcW w:w="4175" w:type="dxa"/>
            <w:shd w:val="clear" w:color="auto" w:fill="auto"/>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Nationaal/regionaal bbp (voor alle sectoren) (jaarlijks).</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200 000 000 000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200 000 000 000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d</w:t>
            </w:r>
          </w:p>
        </w:tc>
      </w:tr>
      <w:tr w:rsidR="00F73706" w:rsidRPr="00F73706" w:rsidTr="00BC211C">
        <w:trPr>
          <w:trHeight w:val="631"/>
        </w:trPr>
        <w:tc>
          <w:tcPr>
            <w:tcW w:w="1202" w:type="dxa"/>
            <w:vMerge/>
            <w:vAlign w:val="center"/>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tcPr>
          <w:p w:rsidR="00F73706" w:rsidRPr="00F73706" w:rsidRDefault="00F31494" w:rsidP="00F73706">
            <w:pPr>
              <w:spacing w:before="60" w:after="120" w:line="220" w:lineRule="atLeast"/>
              <w:jc w:val="left"/>
              <w:rPr>
                <w:rFonts w:eastAsia="Times New Roman" w:cs="Arial"/>
                <w:sz w:val="18"/>
                <w:szCs w:val="20"/>
              </w:rPr>
            </w:pPr>
            <w:r>
              <w:rPr>
                <w:sz w:val="18"/>
                <w:szCs w:val="20"/>
              </w:rPr>
              <w:t>Bruto binnenlandse uitgaven aan O&amp;O (GERD) voor alle sectoren (jaarlijks).</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3 000 000 000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3 000 000 000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e</w:t>
            </w:r>
          </w:p>
        </w:tc>
      </w:tr>
      <w:tr w:rsidR="00F73706" w:rsidRPr="00F73706" w:rsidTr="00BC211C">
        <w:trPr>
          <w:trHeight w:val="542"/>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Waarden van gemeenschappelijke doelindicatoren </w:t>
            </w: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D1: Percentage uitgaven in het kader van de artikelen 14, 15 en 35 van Verordening (EU) nr. 1305/2013 ten opzichte van de totale uitgaven voor het POP.</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5 %</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4 %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f=</w:t>
            </w:r>
            <w:r>
              <w:rPr>
                <w:color w:val="F07E31"/>
                <w:sz w:val="18"/>
                <w:szCs w:val="20"/>
              </w:rPr>
              <w:br/>
              <w:t>b*100/a</w:t>
            </w:r>
          </w:p>
        </w:tc>
      </w:tr>
      <w:tr w:rsidR="00F73706" w:rsidRPr="00F73706" w:rsidTr="00BC211C">
        <w:trPr>
          <w:trHeight w:val="542"/>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D2: Totaal aantal in het kader van de samenwerkingsmaatregel gesteunde concrete acties inzake samenwerking (artikel 35 van Verordening (EU) nr. 1305/2013) (groepen, netwerken/clusters, proefprojecten).</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30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50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g</w:t>
            </w:r>
          </w:p>
        </w:tc>
      </w:tr>
      <w:tr w:rsidR="00F73706" w:rsidRPr="00F73706" w:rsidTr="00BC211C">
        <w:trPr>
          <w:trHeight w:val="561"/>
        </w:trPr>
        <w:tc>
          <w:tcPr>
            <w:tcW w:w="1202" w:type="dxa"/>
            <w:vMerge w:val="restart"/>
            <w:shd w:val="clear" w:color="auto" w:fill="auto"/>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Waarden van aanvullende resultaatindicatoren </w:t>
            </w: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Bruto binnenlandse uitgaven aan O&amp;O (GERD) ten opzichte van het bruto binnenlands product (bbp).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h= e*100/d</w:t>
            </w:r>
          </w:p>
        </w:tc>
      </w:tr>
      <w:tr w:rsidR="00F73706" w:rsidRPr="00F73706" w:rsidTr="00BC211C">
        <w:trPr>
          <w:trHeight w:val="561"/>
        </w:trPr>
        <w:tc>
          <w:tcPr>
            <w:tcW w:w="1202" w:type="dxa"/>
            <w:vMerge/>
            <w:shd w:val="clear" w:color="auto" w:fill="auto"/>
            <w:vAlign w:val="center"/>
            <w:hideMark/>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after="120" w:line="220" w:lineRule="atLeast"/>
              <w:jc w:val="left"/>
              <w:rPr>
                <w:rFonts w:eastAsia="Times New Roman" w:cs="Arial"/>
                <w:color w:val="57825E"/>
                <w:sz w:val="18"/>
                <w:szCs w:val="20"/>
              </w:rPr>
            </w:pPr>
            <w:r>
              <w:rPr>
                <w:color w:val="57825E"/>
                <w:sz w:val="18"/>
                <w:szCs w:val="18"/>
              </w:rPr>
              <w:t xml:space="preserve">POP-uitgaven aan O&amp;O als percentage van het bbp (GERD "plattelandsontwikkeling").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0,06 %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0,07 %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 xml:space="preserve">i= </w:t>
            </w:r>
            <w:r>
              <w:rPr>
                <w:color w:val="F07E31"/>
                <w:sz w:val="18"/>
                <w:szCs w:val="18"/>
              </w:rPr>
              <w:br/>
              <w:t>c*100/d</w:t>
            </w:r>
          </w:p>
        </w:tc>
      </w:tr>
      <w:tr w:rsidR="00F73706" w:rsidRPr="00F73706" w:rsidTr="00BC211C">
        <w:trPr>
          <w:trHeight w:val="650"/>
        </w:trPr>
        <w:tc>
          <w:tcPr>
            <w:tcW w:w="1202" w:type="dxa"/>
            <w:vMerge/>
            <w:shd w:val="clear" w:color="auto" w:fill="auto"/>
            <w:vAlign w:val="center"/>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POP-uitgaven aan O&amp;O en innovatie als percentage van de totale POP-uitgaven.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17,72 %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j=</w:t>
            </w:r>
            <w:r>
              <w:rPr>
                <w:color w:val="F07E31"/>
                <w:sz w:val="18"/>
                <w:szCs w:val="18"/>
              </w:rPr>
              <w:br/>
              <w:t>c*100/a</w:t>
            </w:r>
          </w:p>
        </w:tc>
      </w:tr>
      <w:tr w:rsidR="00F73706" w:rsidRPr="00B1500A" w:rsidTr="00BC211C">
        <w:trPr>
          <w:trHeight w:val="610"/>
        </w:trPr>
        <w:tc>
          <w:tcPr>
            <w:tcW w:w="1202" w:type="dxa"/>
            <w:vMerge/>
            <w:shd w:val="clear" w:color="auto" w:fill="auto"/>
            <w:vAlign w:val="center"/>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POP-uitgaven aan O&amp;O en innovatie als percentage van de bruto binnenlandse uitgaven aan O&amp;O en innovatie.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4,00 %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4,67 %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k=</w:t>
            </w:r>
            <w:r>
              <w:rPr>
                <w:color w:val="F07E31"/>
                <w:sz w:val="18"/>
                <w:szCs w:val="18"/>
              </w:rPr>
              <w:br/>
              <w:t>c*100/e</w:t>
            </w:r>
          </w:p>
        </w:tc>
      </w:tr>
    </w:tbl>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 xml:space="preserve">Risico's en oplossingen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8"/>
      </w:tblGrid>
      <w:tr w:rsidR="00A45935" w:rsidRPr="00E05D08" w:rsidTr="00F73706">
        <w:trPr>
          <w:tblHeader/>
        </w:trPr>
        <w:tc>
          <w:tcPr>
            <w:tcW w:w="4508" w:type="dxa"/>
            <w:shd w:val="clear" w:color="auto" w:fill="F07E31"/>
          </w:tcPr>
          <w:bookmarkEnd w:id="129"/>
          <w:p w:rsidR="00A45935" w:rsidRPr="00E05D08" w:rsidRDefault="00A45935" w:rsidP="00E05D08">
            <w:pPr>
              <w:spacing w:after="120" w:line="280" w:lineRule="atLeast"/>
              <w:mirrorIndents/>
              <w:jc w:val="center"/>
              <w:rPr>
                <w:b/>
                <w:color w:val="FFFFFF"/>
                <w:sz w:val="18"/>
                <w:szCs w:val="18"/>
              </w:rPr>
            </w:pPr>
            <w:r>
              <w:rPr>
                <w:b/>
                <w:color w:val="FFFFFF"/>
                <w:sz w:val="18"/>
                <w:szCs w:val="18"/>
              </w:rPr>
              <w:t>Risico</w:t>
            </w:r>
          </w:p>
        </w:tc>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Oplossing</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sz w:val="18"/>
                <w:szCs w:val="18"/>
              </w:rPr>
            </w:pPr>
            <w:r>
              <w:rPr>
                <w:sz w:val="18"/>
                <w:szCs w:val="18"/>
              </w:rPr>
              <w:t>Verkeerde inschatting van het innovatiebevorderend potentieel van verschillende POP-maatregelen, vooral van maatregelen anders dan de typische "innovatiemaatregelen" M1, M2, M16, M19 of M20, waardoor fouten kunnen ontstaan in de berekening van POP-uitgaven in verband met O&amp;O en innovatie.</w:t>
            </w:r>
          </w:p>
          <w:p w:rsidR="00A45935" w:rsidRPr="00EE73A7" w:rsidRDefault="00A45935" w:rsidP="00BA4FCD">
            <w:pPr>
              <w:spacing w:after="120" w:line="280" w:lineRule="atLeast"/>
              <w:jc w:val="left"/>
              <w:rPr>
                <w:rFonts w:eastAsia="Calibri" w:cs="Arial"/>
                <w:b/>
                <w:sz w:val="18"/>
                <w:szCs w:val="18"/>
                <w:lang w:val="nl-BE"/>
              </w:rPr>
            </w:pPr>
          </w:p>
        </w:tc>
        <w:tc>
          <w:tcPr>
            <w:tcW w:w="4508" w:type="dxa"/>
          </w:tcPr>
          <w:p w:rsidR="00A45935" w:rsidRPr="00D13817" w:rsidRDefault="00A45935" w:rsidP="00BA4FCD">
            <w:pPr>
              <w:spacing w:after="120" w:line="280" w:lineRule="atLeast"/>
              <w:jc w:val="left"/>
              <w:rPr>
                <w:rFonts w:eastAsia="Calibri" w:cs="Arial"/>
                <w:sz w:val="18"/>
                <w:szCs w:val="18"/>
              </w:rPr>
            </w:pPr>
            <w:r>
              <w:rPr>
                <w:sz w:val="18"/>
                <w:szCs w:val="18"/>
              </w:rPr>
              <w:t xml:space="preserve">Dit risico kan deels worden opgeheven als het innovatiepotentieel van het POP voorafgaand aan de evaluatie grondig wordt beoordeeld. Wanneer POP-maatregelen met een groot innovatiepotentieel als zodanig worden aangeduid, kan gemakkelijker worden beoordeeld of ze dat potentieel ook hebben verwezenlijkt. Als beoordelaars bijvoorbeeld weten welke maatregelen een sterke uitwerking op het ontstaan van nieuwe ideeën hebben, zullen ze de "innovatieve prestaties" van deze maatregelen controleren ten tijde van de evaluatie en de kosten </w:t>
            </w:r>
            <w:r>
              <w:rPr>
                <w:sz w:val="18"/>
                <w:szCs w:val="18"/>
              </w:rPr>
              <w:lastRenderedPageBreak/>
              <w:t xml:space="preserve">ervan in aanmerking nemen bij het berekenen van de respectieve indicatoren. </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lastRenderedPageBreak/>
              <w:t>Onvoldoende beschikbaarheid en kwaliteit van gegevens (in de vereiste indeling) over O&amp;O en innovatie in de nationale en regionale statistieken. Bij gebrek aan gegevens van hoge kwaliteit bestaat het risico dat de beoordelaars geen geschikte technieken kunnen gebruiken om de investeringsuitgaven voor O&amp;O en innovatie te schatten. Dit kan de verkrijging van realistische waarden voor voorgestelde aanvullende indicatoren in de weg staan.</w:t>
            </w:r>
          </w:p>
        </w:tc>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t>Om dat risico te vermijden is het belangrijk dat de beoordelaars over de benodigde capaciteit en middelen (bv. coëfficiënten) beschikken om statistische waarden op nationaal/regionaal niveau te kunnen schatten.</w:t>
            </w:r>
          </w:p>
        </w:tc>
      </w:tr>
    </w:tbl>
    <w:p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b/>
          <w:szCs w:val="20"/>
        </w:rPr>
        <w:t xml:space="preserve">Conclusies en aanbevelingen </w:t>
      </w:r>
    </w:p>
    <w:p w:rsidR="00A45935" w:rsidRPr="00E05D08" w:rsidRDefault="00A45935" w:rsidP="00E05D08">
      <w:pPr>
        <w:spacing w:after="120" w:line="280" w:lineRule="atLeast"/>
        <w:mirrorIndents/>
        <w:rPr>
          <w:rFonts w:eastAsia="Times New Roman" w:cs="Times New Roman"/>
          <w:szCs w:val="20"/>
        </w:rPr>
      </w:pPr>
      <w:r>
        <w:t>Conclusies en aanbevelingen in verband met CEQ nr. 23 dienen het volgende in aanmerking te nemen:</w:t>
      </w:r>
    </w:p>
    <w:p w:rsidR="00A45935" w:rsidRPr="00545C6C" w:rsidRDefault="00A45935" w:rsidP="000026C6">
      <w:pPr>
        <w:pStyle w:val="Hlistbullet"/>
      </w:pPr>
      <w:r>
        <w:rPr>
          <w:b/>
        </w:rPr>
        <w:t>Niveau van investeringen in O&amp;O en innovatie</w:t>
      </w:r>
      <w:r>
        <w:t xml:space="preserve"> zoals geïmplementeerd in het POP ten opzichte van de algehele situatie wat betreft investering in O&amp;O en innovatie in de lidstaten/regio.</w:t>
      </w:r>
    </w:p>
    <w:p w:rsidR="00A45935" w:rsidRPr="00545C6C" w:rsidRDefault="00A45935" w:rsidP="000026C6">
      <w:pPr>
        <w:pStyle w:val="Hlistbullet"/>
      </w:pPr>
      <w:r>
        <w:rPr>
          <w:b/>
        </w:rPr>
        <w:t>Potentieel van afzonderlijke maatregelen om te investeren in O&amp;O en innovatie</w:t>
      </w:r>
      <w:r>
        <w:t xml:space="preserve"> in de landbouw, de voedselproductie, de bosbouw en in plattelandsgebieden; </w:t>
      </w:r>
    </w:p>
    <w:p w:rsidR="00A45935" w:rsidRPr="00E05D08" w:rsidRDefault="00A45935" w:rsidP="00F31494">
      <w:pPr>
        <w:pStyle w:val="HHeading4"/>
        <w:rPr>
          <w:rFonts w:eastAsia="Calibri"/>
        </w:rPr>
      </w:pPr>
      <w:r>
        <w:t>Meer informatie</w:t>
      </w:r>
    </w:p>
    <w:p w:rsidR="00A45935" w:rsidRPr="00E05D08" w:rsidRDefault="00A45935" w:rsidP="00F31494">
      <w:pPr>
        <w:pStyle w:val="HStandard"/>
      </w:pPr>
      <w:r>
        <w:rPr>
          <w:noProof/>
          <w:lang w:val="en-GB" w:eastAsia="en-GB"/>
        </w:rPr>
        <mc:AlternateContent>
          <mc:Choice Requires="wps">
            <w:drawing>
              <wp:inline distT="0" distB="0" distL="0" distR="0" wp14:anchorId="51B9CCA4" wp14:editId="5FECA178">
                <wp:extent cx="5765165" cy="2600325"/>
                <wp:effectExtent l="0" t="0" r="26035" b="28575"/>
                <wp:docPr id="559" name="Rectangle: Diagonal Corners Rounded 559"/>
                <wp:cNvGraphicFramePr/>
                <a:graphic xmlns:a="http://schemas.openxmlformats.org/drawingml/2006/main">
                  <a:graphicData uri="http://schemas.microsoft.com/office/word/2010/wordprocessingShape">
                    <wps:wsp>
                      <wps:cNvSpPr/>
                      <wps:spPr>
                        <a:xfrm>
                          <a:off x="0" y="0"/>
                          <a:ext cx="5765165" cy="2600325"/>
                        </a:xfrm>
                        <a:prstGeom prst="round2DiagRect">
                          <a:avLst>
                            <a:gd name="adj1" fmla="val 9341"/>
                            <a:gd name="adj2" fmla="val 0"/>
                          </a:avLst>
                        </a:prstGeom>
                        <a:noFill/>
                        <a:ln w="25400" cap="flat" cmpd="sng" algn="ctr">
                          <a:solidFill>
                            <a:srgbClr val="59638E"/>
                          </a:solidFill>
                          <a:prstDash val="solid"/>
                        </a:ln>
                        <a:effectLst/>
                      </wps:spPr>
                      <wps:txbx>
                        <w:txbxContent>
                          <w:p w:rsidR="00891EED" w:rsidRDefault="00891EED" w:rsidP="00E05D08">
                            <w:pPr>
                              <w:pStyle w:val="HStandard"/>
                              <w:rPr>
                                <w:color w:val="000000"/>
                                <w:sz w:val="18"/>
                              </w:rPr>
                            </w:pPr>
                            <w:r>
                              <w:rPr>
                                <w:noProof/>
                                <w:lang w:val="en-GB" w:eastAsia="en-GB"/>
                              </w:rPr>
                              <w:drawing>
                                <wp:inline distT="0" distB="0" distL="0" distR="0" wp14:anchorId="19928CFD" wp14:editId="263791BD">
                                  <wp:extent cx="360465" cy="360000"/>
                                  <wp:effectExtent l="0" t="0" r="1905" b="2540"/>
                                  <wp:docPr id="714"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891EED" w:rsidRPr="008D17C8" w:rsidRDefault="00891EED" w:rsidP="00E05D08">
                            <w:pPr>
                              <w:pStyle w:val="HStandard"/>
                              <w:rPr>
                                <w:sz w:val="18"/>
                                <w:szCs w:val="18"/>
                              </w:rPr>
                            </w:pPr>
                            <w:r>
                              <w:rPr>
                                <w:sz w:val="18"/>
                                <w:szCs w:val="18"/>
                              </w:rPr>
                              <w:t xml:space="preserve">EC (2010) EUROPA 2020 - </w:t>
                            </w:r>
                            <w:hyperlink r:id="rId78" w:history="1">
                              <w:r>
                                <w:rPr>
                                  <w:rStyle w:val="Hyperlink"/>
                                  <w:sz w:val="18"/>
                                  <w:szCs w:val="18"/>
                                </w:rPr>
                                <w:t>Een strategie voor slimme, duurzame en inclusieve groei</w:t>
                              </w:r>
                            </w:hyperlink>
                          </w:p>
                          <w:p w:rsidR="00891EED" w:rsidRPr="006F10F3" w:rsidRDefault="00891EED" w:rsidP="00E05D08">
                            <w:pPr>
                              <w:pStyle w:val="HStandard"/>
                              <w:rPr>
                                <w:sz w:val="18"/>
                                <w:szCs w:val="18"/>
                                <w:lang w:val="en-US"/>
                              </w:rPr>
                            </w:pPr>
                            <w:r w:rsidRPr="000D7890">
                              <w:rPr>
                                <w:sz w:val="18"/>
                                <w:szCs w:val="18"/>
                                <w:lang w:val="en-US"/>
                              </w:rPr>
                              <w:t xml:space="preserve">EUROSTAT (2017) </w:t>
                            </w:r>
                            <w:hyperlink r:id="rId79" w:history="1">
                              <w:r w:rsidRPr="000D7890">
                                <w:rPr>
                                  <w:rStyle w:val="Hyperlink"/>
                                  <w:sz w:val="18"/>
                                  <w:szCs w:val="18"/>
                                  <w:lang w:val="en-US"/>
                                </w:rPr>
                                <w:t>Smarter, greener, more inclusive?</w:t>
                              </w:r>
                            </w:hyperlink>
                            <w:hyperlink r:id="rId80" w:history="1">
                              <w:r w:rsidRPr="000D7890">
                                <w:rPr>
                                  <w:rStyle w:val="Hyperlink"/>
                                  <w:sz w:val="18"/>
                                  <w:szCs w:val="18"/>
                                  <w:lang w:val="en-US"/>
                                </w:rPr>
                                <w:t xml:space="preserve"> </w:t>
                              </w:r>
                              <w:r w:rsidRPr="006F10F3">
                                <w:rPr>
                                  <w:rStyle w:val="Hyperlink"/>
                                  <w:sz w:val="18"/>
                                  <w:szCs w:val="18"/>
                                  <w:lang w:val="en-US"/>
                                </w:rPr>
                                <w:t>Indicators to support the Europe 2020 Strategy</w:t>
                              </w:r>
                            </w:hyperlink>
                          </w:p>
                          <w:p w:rsidR="00891EED" w:rsidRPr="006F10F3" w:rsidRDefault="00891EED" w:rsidP="00E05D08">
                            <w:pPr>
                              <w:pStyle w:val="HStandard"/>
                              <w:rPr>
                                <w:sz w:val="18"/>
                                <w:szCs w:val="18"/>
                                <w:lang w:val="en-US"/>
                              </w:rPr>
                            </w:pPr>
                            <w:r w:rsidRPr="006F10F3">
                              <w:rPr>
                                <w:sz w:val="18"/>
                                <w:szCs w:val="18"/>
                                <w:lang w:val="en-US"/>
                              </w:rPr>
                              <w:t>Dietz S. (2017) "</w:t>
                            </w:r>
                            <w:hyperlink r:id="rId81" w:history="1">
                              <w:r w:rsidRPr="006F10F3">
                                <w:rPr>
                                  <w:rStyle w:val="Hyperlink"/>
                                  <w:sz w:val="18"/>
                                  <w:szCs w:val="18"/>
                                  <w:lang w:val="en-US"/>
                                </w:rPr>
                                <w:t>ELER im Kontext der Strategie "Europa 2020"</w:t>
                              </w:r>
                            </w:hyperlink>
                            <w:r w:rsidRPr="006F10F3">
                              <w:rPr>
                                <w:sz w:val="18"/>
                                <w:szCs w:val="18"/>
                                <w:lang w:val="en-US"/>
                              </w:rPr>
                              <w:t>"; presentatie op de jaarbijeenkomst van MEN-D Annual Event in 2017</w:t>
                            </w:r>
                          </w:p>
                          <w:p w:rsidR="00891EED" w:rsidRPr="000D7890" w:rsidRDefault="00891EED" w:rsidP="00E05D08">
                            <w:pPr>
                              <w:pStyle w:val="HStandard"/>
                              <w:rPr>
                                <w:sz w:val="18"/>
                                <w:szCs w:val="18"/>
                                <w:lang w:val="de-DE"/>
                              </w:rPr>
                            </w:pPr>
                            <w:r w:rsidRPr="000D7890">
                              <w:rPr>
                                <w:sz w:val="18"/>
                                <w:szCs w:val="18"/>
                                <w:lang w:val="de-DE"/>
                              </w:rPr>
                              <w:t xml:space="preserve">MEN-D (2015) </w:t>
                            </w:r>
                            <w:hyperlink r:id="rId82" w:history="1">
                              <w:r w:rsidRPr="000D7890">
                                <w:rPr>
                                  <w:rStyle w:val="Hyperlink"/>
                                  <w:sz w:val="18"/>
                                  <w:szCs w:val="18"/>
                                  <w:lang w:val="de-DE"/>
                                </w:rPr>
                                <w:t>Monitoring und Evaluierung der ELER-Förderperiode 2014 – 2020: Auswertung der Methoden und Erfahrungen der Ex-Ante Bewertung.</w:t>
                              </w:r>
                            </w:hyperlink>
                          </w:p>
                          <w:p w:rsidR="00891EED" w:rsidRPr="000D7890" w:rsidRDefault="00891EED" w:rsidP="00E05D08">
                            <w:pPr>
                              <w:pStyle w:val="HStandard"/>
                              <w:rPr>
                                <w:sz w:val="18"/>
                                <w:szCs w:val="18"/>
                                <w:lang w:val="en-US"/>
                              </w:rPr>
                            </w:pPr>
                            <w:r w:rsidRPr="000D7890">
                              <w:rPr>
                                <w:sz w:val="18"/>
                                <w:szCs w:val="18"/>
                                <w:lang w:val="en-US"/>
                              </w:rPr>
                              <w:t xml:space="preserve">MEN-D (2017) </w:t>
                            </w:r>
                            <w:hyperlink r:id="rId83" w:history="1">
                              <w:r w:rsidRPr="000D7890">
                                <w:rPr>
                                  <w:rStyle w:val="Hyperlink"/>
                                  <w:sz w:val="18"/>
                                  <w:szCs w:val="18"/>
                                  <w:lang w:val="en-US"/>
                                </w:rPr>
                                <w:t>EAFRD in the context of the Europe 2020 Strategy - evaluation of contributions and future challenges</w:t>
                              </w:r>
                            </w:hyperlink>
                            <w:r w:rsidRPr="000D7890">
                              <w:rPr>
                                <w:sz w:val="18"/>
                                <w:szCs w:val="18"/>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1B9CCA4" id="Rectangle: Diagonal Corners Rounded 559" o:spid="_x0000_s1053" style="width:453.95pt;height:204.75pt;visibility:visible;mso-wrap-style:square;mso-left-percent:-10001;mso-top-percent:-10001;mso-position-horizontal:absolute;mso-position-horizontal-relative:char;mso-position-vertical:absolute;mso-position-vertical-relative:line;mso-left-percent:-10001;mso-top-percent:-10001;v-text-anchor:middle" coordsize="5765165,2600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" adj="-11796480,,5400" path="m242896,l5765165,r,l5765165,2357429v,134148,-108748,242896,-242896,242896l,2600325r,l,242896c,108748,108748,,242896,xe" filled="f" strokecolor="#59638e" strokeweight="2pt">
                <v:stroke joinstyle="miter"/>
                <v:formulas/>
                <v:path arrowok="t" o:connecttype="custom" o:connectlocs="242896,0;5765165,0;5765165,0;5765165,2357429;5522269,2600325;0,2600325;0,2600325;0,242896;242896,0" o:connectangles="0,0,0,0,0,0,0,0,0" textboxrect="0,0,5765165,2600325"/>
                <v:textbox>
                  <w:txbxContent>
                    <w:p w:rsidR="00891EED" w:rsidRDefault="00891EED" w:rsidP="00E05D08">
                      <w:pPr>
                        <w:pStyle w:val="HStandard"/>
                        <w:rPr>
                          <w:color w:val="000000"/>
                          <w:sz w:val="18"/>
                        </w:rPr>
                      </w:pPr>
                      <w:r>
                        <w:rPr>
                          <w:noProof/>
                          <w:lang w:val="en-GB" w:eastAsia="en-GB"/>
                        </w:rPr>
                        <w:drawing>
                          <wp:inline distT="0" distB="0" distL="0" distR="0" wp14:anchorId="19928CFD" wp14:editId="263791BD">
                            <wp:extent cx="360465" cy="360000"/>
                            <wp:effectExtent l="0" t="0" r="1905" b="2540"/>
                            <wp:docPr id="714"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891EED" w:rsidRPr="008D17C8" w:rsidRDefault="00891EED" w:rsidP="00E05D08">
                      <w:pPr>
                        <w:pStyle w:val="HStandard"/>
                        <w:rPr>
                          <w:sz w:val="18"/>
                          <w:szCs w:val="18"/>
                        </w:rPr>
                      </w:pPr>
                      <w:r>
                        <w:rPr>
                          <w:sz w:val="18"/>
                          <w:szCs w:val="18"/>
                        </w:rPr>
                        <w:t xml:space="preserve">EC (2010) EUROPA 2020 - </w:t>
                      </w:r>
                      <w:hyperlink r:id="rId84" w:history="1">
                        <w:r>
                          <w:rPr>
                            <w:rStyle w:val="Hyperlink"/>
                            <w:sz w:val="18"/>
                            <w:szCs w:val="18"/>
                          </w:rPr>
                          <w:t>Een strategie voor slimme, duurzame en inclusieve groei</w:t>
                        </w:r>
                      </w:hyperlink>
                    </w:p>
                    <w:p w:rsidR="00891EED" w:rsidRPr="006F10F3" w:rsidRDefault="00891EED" w:rsidP="00E05D08">
                      <w:pPr>
                        <w:pStyle w:val="HStandard"/>
                        <w:rPr>
                          <w:sz w:val="18"/>
                          <w:szCs w:val="18"/>
                          <w:lang w:val="en-US"/>
                        </w:rPr>
                      </w:pPr>
                      <w:r w:rsidRPr="000D7890">
                        <w:rPr>
                          <w:sz w:val="18"/>
                          <w:szCs w:val="18"/>
                          <w:lang w:val="en-US"/>
                        </w:rPr>
                        <w:t xml:space="preserve">EUROSTAT (2017) </w:t>
                      </w:r>
                      <w:hyperlink r:id="rId85" w:history="1">
                        <w:r w:rsidRPr="000D7890">
                          <w:rPr>
                            <w:rStyle w:val="Hyperlink"/>
                            <w:sz w:val="18"/>
                            <w:szCs w:val="18"/>
                            <w:lang w:val="en-US"/>
                          </w:rPr>
                          <w:t>Smarter, greener, more inclusive?</w:t>
                        </w:r>
                      </w:hyperlink>
                      <w:hyperlink r:id="rId86" w:history="1">
                        <w:r w:rsidRPr="000D7890">
                          <w:rPr>
                            <w:rStyle w:val="Hyperlink"/>
                            <w:sz w:val="18"/>
                            <w:szCs w:val="18"/>
                            <w:lang w:val="en-US"/>
                          </w:rPr>
                          <w:t xml:space="preserve"> </w:t>
                        </w:r>
                        <w:r w:rsidRPr="006F10F3">
                          <w:rPr>
                            <w:rStyle w:val="Hyperlink"/>
                            <w:sz w:val="18"/>
                            <w:szCs w:val="18"/>
                            <w:lang w:val="en-US"/>
                          </w:rPr>
                          <w:t>Indicators to support the Europe 2020 Strategy</w:t>
                        </w:r>
                      </w:hyperlink>
                    </w:p>
                    <w:p w:rsidR="00891EED" w:rsidRPr="006F10F3" w:rsidRDefault="00891EED" w:rsidP="00E05D08">
                      <w:pPr>
                        <w:pStyle w:val="HStandard"/>
                        <w:rPr>
                          <w:sz w:val="18"/>
                          <w:szCs w:val="18"/>
                          <w:lang w:val="en-US"/>
                        </w:rPr>
                      </w:pPr>
                      <w:r w:rsidRPr="006F10F3">
                        <w:rPr>
                          <w:sz w:val="18"/>
                          <w:szCs w:val="18"/>
                          <w:lang w:val="en-US"/>
                        </w:rPr>
                        <w:t>Dietz S. (2017) "</w:t>
                      </w:r>
                      <w:hyperlink r:id="rId87" w:history="1">
                        <w:r w:rsidRPr="006F10F3">
                          <w:rPr>
                            <w:rStyle w:val="Hyperlink"/>
                            <w:sz w:val="18"/>
                            <w:szCs w:val="18"/>
                            <w:lang w:val="en-US"/>
                          </w:rPr>
                          <w:t>ELER im Kontext der Strategie "Europa 2020"</w:t>
                        </w:r>
                      </w:hyperlink>
                      <w:r w:rsidRPr="006F10F3">
                        <w:rPr>
                          <w:sz w:val="18"/>
                          <w:szCs w:val="18"/>
                          <w:lang w:val="en-US"/>
                        </w:rPr>
                        <w:t>"; presentatie op de jaarbijeenkomst van MEN-D Annual Event in 2017</w:t>
                      </w:r>
                    </w:p>
                    <w:p w:rsidR="00891EED" w:rsidRPr="000D7890" w:rsidRDefault="00891EED" w:rsidP="00E05D08">
                      <w:pPr>
                        <w:pStyle w:val="HStandard"/>
                        <w:rPr>
                          <w:sz w:val="18"/>
                          <w:szCs w:val="18"/>
                          <w:lang w:val="de-DE"/>
                        </w:rPr>
                      </w:pPr>
                      <w:r w:rsidRPr="000D7890">
                        <w:rPr>
                          <w:sz w:val="18"/>
                          <w:szCs w:val="18"/>
                          <w:lang w:val="de-DE"/>
                        </w:rPr>
                        <w:t xml:space="preserve">MEN-D (2015) </w:t>
                      </w:r>
                      <w:hyperlink r:id="rId88" w:history="1">
                        <w:r w:rsidRPr="000D7890">
                          <w:rPr>
                            <w:rStyle w:val="Hyperlink"/>
                            <w:sz w:val="18"/>
                            <w:szCs w:val="18"/>
                            <w:lang w:val="de-DE"/>
                          </w:rPr>
                          <w:t>Monitoring und Evaluierung der ELER-Förderperiode 2014 – 2020: Auswertung der Methoden und Erfahrungen der Ex-Ante Bewertung.</w:t>
                        </w:r>
                      </w:hyperlink>
                    </w:p>
                    <w:p w:rsidR="00891EED" w:rsidRPr="000D7890" w:rsidRDefault="00891EED" w:rsidP="00E05D08">
                      <w:pPr>
                        <w:pStyle w:val="HStandard"/>
                        <w:rPr>
                          <w:sz w:val="18"/>
                          <w:szCs w:val="18"/>
                          <w:lang w:val="en-US"/>
                        </w:rPr>
                      </w:pPr>
                      <w:r w:rsidRPr="000D7890">
                        <w:rPr>
                          <w:sz w:val="18"/>
                          <w:szCs w:val="18"/>
                          <w:lang w:val="en-US"/>
                        </w:rPr>
                        <w:t xml:space="preserve">MEN-D (2017) </w:t>
                      </w:r>
                      <w:hyperlink r:id="rId89" w:history="1">
                        <w:r w:rsidRPr="000D7890">
                          <w:rPr>
                            <w:rStyle w:val="Hyperlink"/>
                            <w:sz w:val="18"/>
                            <w:szCs w:val="18"/>
                            <w:lang w:val="en-US"/>
                          </w:rPr>
                          <w:t>EAFRD in the context of the Europe 2020 Strategy - evaluation of contributions and future challenges</w:t>
                        </w:r>
                      </w:hyperlink>
                      <w:r w:rsidRPr="000D7890">
                        <w:rPr>
                          <w:sz w:val="18"/>
                          <w:szCs w:val="18"/>
                          <w:lang w:val="en-US"/>
                        </w:rPr>
                        <w:t xml:space="preserve">. </w:t>
                      </w:r>
                    </w:p>
                  </w:txbxContent>
                </v:textbox>
                <w10:anchorlock/>
              </v:shape>
            </w:pict>
          </mc:Fallback>
        </mc:AlternateContent>
      </w:r>
    </w:p>
    <w:p w:rsidR="00A45935" w:rsidRPr="00324C42" w:rsidRDefault="00A45935" w:rsidP="00D13817">
      <w:pPr>
        <w:pStyle w:val="HHeading3"/>
        <w:numPr>
          <w:ilvl w:val="2"/>
          <w:numId w:val="125"/>
        </w:numPr>
        <w:tabs>
          <w:tab w:val="clear" w:pos="567"/>
        </w:tabs>
        <w:spacing w:before="480" w:line="280" w:lineRule="exact"/>
        <w:ind w:left="567" w:hanging="567"/>
      </w:pPr>
      <w:bookmarkStart w:id="131" w:name="_Toc501382135"/>
      <w:bookmarkStart w:id="132" w:name="_Toc511656278"/>
      <w:r>
        <w:t>CEQ nr. 30: "In hoeverre hebben de steunmaatregelen in het kader van het POP bijgedragen aan het bevorderen van innovatie?"</w:t>
      </w:r>
      <w:bookmarkEnd w:id="131"/>
      <w:bookmarkEnd w:id="132"/>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De CEQ begrijpen</w:t>
      </w:r>
    </w:p>
    <w:p w:rsidR="00A45935" w:rsidRPr="00E05D08" w:rsidRDefault="00A45935" w:rsidP="00E05D08">
      <w:pPr>
        <w:spacing w:after="120" w:line="280" w:lineRule="atLeast"/>
        <w:mirrorIndents/>
        <w:rPr>
          <w:rFonts w:eastAsia="Times New Roman" w:cs="Arial"/>
          <w:szCs w:val="20"/>
        </w:rPr>
      </w:pPr>
      <w:r>
        <w:t xml:space="preserve">CEQ nr. 30 houdt verband met het proces van innovatiebevordering. Dit maakt de vraag in theorie zeer breed, daar </w:t>
      </w:r>
      <w:r>
        <w:rPr>
          <w:b/>
          <w:szCs w:val="20"/>
        </w:rPr>
        <w:t>innovatie voortkomt uit de interacties van actoren in het innovatiesysteem</w:t>
      </w:r>
      <w:r>
        <w:t>.</w:t>
      </w:r>
      <w:r>
        <w:rPr>
          <w:b/>
          <w:szCs w:val="20"/>
        </w:rPr>
        <w:t xml:space="preserve"> </w:t>
      </w:r>
      <w:r>
        <w:t xml:space="preserve">De beoordeling van de processen vergt tijd en de vraag kan dan ook pas worden beantwoord nadat de </w:t>
      </w:r>
      <w:r>
        <w:lastRenderedPageBreak/>
        <w:t xml:space="preserve">POP-interventie wezenlijke vooruitgang heeft geboekt (in het in 2019 in te dienen JUV) of is afgelopen (evaluatie achteraf). </w:t>
      </w:r>
    </w:p>
    <w:p w:rsidR="00A45935" w:rsidRPr="00E05D08" w:rsidRDefault="00A45935" w:rsidP="00E05D08">
      <w:pPr>
        <w:spacing w:after="120" w:line="280" w:lineRule="atLeast"/>
        <w:mirrorIndents/>
        <w:rPr>
          <w:rFonts w:eastAsia="Times New Roman" w:cs="Arial"/>
          <w:szCs w:val="20"/>
        </w:rPr>
      </w:pPr>
      <w:r>
        <w:t xml:space="preserve">De EU heeft belang bij een grootschalige bijdrage van het POP aan innovatie, met andere woorden, geslaagde innovatieprocessen die geleid hebben tot relatief grote veranderingen (bv. een nieuwe technologie die door een relatief groot aantal landbouwers is overgenomen). De eerste stap bij de beantwoording van CEQ nr. 30 is dan ook om grote veranderingen vast te stellen waaraan het POP beweert te hebben bijgedragen en waarbij ten minste een deel van de bijdrage bestond in het bevorderen van innovatie. Deze grote veranderingen kunnen worden gevonden door de effectindicatoren te beoordelen en aanvullende informatie te verzamelen (bv. door controles aan de hand van stukken en interviews met belanghebbenden nadat de resultaten van de beoordeling van het innovatiepotentieel zoals aangegeven in </w:t>
      </w:r>
      <w:r>
        <w:rPr>
          <w:color w:val="F07E31"/>
          <w:szCs w:val="20"/>
        </w:rPr>
        <w:t>paragraaf 2.2</w:t>
      </w:r>
      <w:r>
        <w:t xml:space="preserve"> bekend zijn geworden). De resultaten worden ook gebruikt voor het beantwoorden van andere CEQ's dan nr. 30 (CEQ's nr. 24 tot en met 29). </w:t>
      </w:r>
    </w:p>
    <w:p w:rsidR="00A45935" w:rsidRPr="00E05D08" w:rsidRDefault="00A45935" w:rsidP="00E05D08">
      <w:pPr>
        <w:spacing w:after="120" w:line="280" w:lineRule="atLeast"/>
        <w:mirrorIndents/>
        <w:rPr>
          <w:rFonts w:eastAsia="Times New Roman" w:cs="Arial"/>
          <w:szCs w:val="20"/>
        </w:rPr>
      </w:pPr>
      <w:r>
        <w:t xml:space="preserve">Op basis van paragraaf 1.1 wordt uitgegaan van de vooronderstelling dat de POP-maatregelen/-submaatregelen bijdragen tot </w:t>
      </w:r>
      <w:r>
        <w:rPr>
          <w:b/>
          <w:szCs w:val="20"/>
        </w:rPr>
        <w:t>innovatiebevordering</w:t>
      </w:r>
      <w:r>
        <w:t xml:space="preserve"> via de drie onderling verbonden trajecten (zie </w:t>
      </w:r>
      <w:hyperlink w:anchor="Pathways" w:history="1">
        <w:r>
          <w:rPr>
            <w:rStyle w:val="Hyperlink"/>
            <w:sz w:val="20"/>
            <w:szCs w:val="20"/>
          </w:rPr>
          <w:t>figuur 1</w:t>
        </w:r>
      </w:hyperlink>
      <w:r>
        <w:t xml:space="preserve">). De waarde van de drie trajecten is dat ze de beoordelaar helpen het innovatieproces te ontleden en beter te begrijpen. Voor CEQ nr. 30 stellen de richtsnoeren dan ook drie subvragen voor die overeenkomen met de drie trajecten: </w:t>
      </w:r>
    </w:p>
    <w:p w:rsidR="00A45935" w:rsidRPr="00BE70EE" w:rsidRDefault="00A45935" w:rsidP="000026C6">
      <w:pPr>
        <w:pStyle w:val="Hlistbullet"/>
      </w:pPr>
      <w:r>
        <w:t>In hoeverre heeft het POP innovatie bevorderd door het innovatiepotentieel te stimuleren? (Traject 1)</w:t>
      </w:r>
    </w:p>
    <w:p w:rsidR="00A45935" w:rsidRPr="00BE70EE" w:rsidRDefault="00A45935" w:rsidP="000026C6">
      <w:pPr>
        <w:pStyle w:val="Hlistbullet"/>
      </w:pPr>
      <w:r>
        <w:t>In hoeverre heeft het POP innovatie bevorderd door innovatiecapaciteit op te bouwen? (Traject 2)</w:t>
      </w:r>
    </w:p>
    <w:p w:rsidR="00A45935" w:rsidRPr="00BE70EE" w:rsidRDefault="00A45935" w:rsidP="000026C6">
      <w:pPr>
        <w:pStyle w:val="Hlistbullet"/>
      </w:pPr>
      <w:r>
        <w:t>In hoeverre heeft het POP innovatie bevorderd door een faciliterende omgeving voor innovatie te scheppen? (Traject 3)</w:t>
      </w:r>
    </w:p>
    <w:p w:rsidR="00A45935" w:rsidRPr="00E05D08" w:rsidRDefault="00A45935" w:rsidP="00690E70">
      <w:pPr>
        <w:spacing w:after="120" w:line="280" w:lineRule="atLeast"/>
        <w:mirrorIndents/>
        <w:rPr>
          <w:rFonts w:eastAsia="Times New Roman" w:cs="Arial"/>
          <w:szCs w:val="20"/>
        </w:rPr>
      </w:pPr>
      <w:r>
        <w:t xml:space="preserve">Ook interacties tussen trajecten zijn belangrijk. Met het proces van gezamenlijke stimulering van innovatiepotentieel (bv. ontwikkeling en invoering van een nieuwe technologie) wordt innovatiecapaciteit opgebouwd voor de betrokken personen en organisaties, en wordt tevens innovatie van het systeem zelf bereikt. Interactie tussen trajecten moet worden behandeld bij het beantwoorden van de drie subvragen en CEQ nr. 30.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Specifieke uitdagingen </w:t>
      </w:r>
    </w:p>
    <w:p w:rsidR="00A45935" w:rsidRPr="00241663" w:rsidRDefault="00A45935" w:rsidP="000026C6">
      <w:pPr>
        <w:pStyle w:val="Hlistbullet"/>
      </w:pPr>
      <w:r>
        <w:rPr>
          <w:b/>
        </w:rPr>
        <w:t>Aanvullende evaluatie-elementen ontwikkelen</w:t>
      </w:r>
      <w:r>
        <w:t xml:space="preserve"> ter beantwoording van CEQ nr. 30 (beoordelingscriteria en indicatoren, zowel kwalitatief als kwantitatief). </w:t>
      </w:r>
    </w:p>
    <w:p w:rsidR="00A45935" w:rsidRPr="00241663" w:rsidRDefault="00A45935" w:rsidP="000026C6">
      <w:pPr>
        <w:pStyle w:val="Hlistbullet"/>
      </w:pPr>
      <w:r>
        <w:rPr>
          <w:b/>
        </w:rPr>
        <w:t>Evaluatiemethoden toepassen</w:t>
      </w:r>
      <w:r>
        <w:t xml:space="preserve"> waarmee de waargenomen veranderingen in </w:t>
      </w:r>
      <w:r>
        <w:rPr>
          <w:u w:val="single"/>
        </w:rPr>
        <w:t>alle drie</w:t>
      </w:r>
      <w:r>
        <w:t xml:space="preserve"> de trajecten van het innovatiesysteem in plattelandsgebieden aan de POP-interventies kunnen worden toegewezen. </w:t>
      </w:r>
    </w:p>
    <w:p w:rsidR="00A45935" w:rsidRPr="00241663" w:rsidRDefault="00A45935" w:rsidP="000026C6">
      <w:pPr>
        <w:pStyle w:val="Hlistbullet"/>
      </w:pPr>
      <w:r>
        <w:rPr>
          <w:b/>
        </w:rPr>
        <w:t>De veranderingen beoordelen</w:t>
      </w:r>
      <w:r>
        <w:t xml:space="preserve"> die voortvloeien uit de door het POP ondersteunde innovaties.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Voorgestelde aanpak om CEQ nr. 30 te beantwoorden</w:t>
      </w:r>
    </w:p>
    <w:p w:rsidR="00A45935" w:rsidRPr="00237EDF" w:rsidRDefault="00A45935" w:rsidP="00647766">
      <w:pPr>
        <w:numPr>
          <w:ilvl w:val="0"/>
          <w:numId w:val="62"/>
        </w:numPr>
        <w:spacing w:before="120" w:after="120" w:line="280" w:lineRule="atLeast"/>
        <w:ind w:left="567" w:hanging="567"/>
        <w:mirrorIndents/>
        <w:rPr>
          <w:rFonts w:eastAsia="Calibri" w:cs="Times New Roman"/>
          <w:b/>
          <w:szCs w:val="20"/>
        </w:rPr>
      </w:pPr>
      <w:r>
        <w:rPr>
          <w:b/>
          <w:szCs w:val="20"/>
        </w:rPr>
        <w:t xml:space="preserve">Interventielogica </w:t>
      </w:r>
    </w:p>
    <w:p w:rsidR="00A45935" w:rsidRDefault="00A45935" w:rsidP="00E05D08">
      <w:pPr>
        <w:spacing w:after="120" w:line="280" w:lineRule="atLeast"/>
        <w:mirrorIndents/>
        <w:rPr>
          <w:rFonts w:eastAsia="Times New Roman" w:cs="Arial"/>
          <w:szCs w:val="20"/>
        </w:rPr>
      </w:pPr>
      <w:r>
        <w:t>De aanpak van het POP inzake innovatie wordt vastgesteld tijdens het programma-ontwerp</w:t>
      </w:r>
      <w:r>
        <w:rPr>
          <w:rFonts w:eastAsia="Times New Roman" w:cs="Times New Roman"/>
          <w:szCs w:val="20"/>
          <w:vertAlign w:val="superscript"/>
          <w:lang w:eastAsia="de-DE"/>
        </w:rPr>
        <w:footnoteReference w:id="76"/>
      </w:r>
      <w:r>
        <w:t xml:space="preserve">. Bij het screenen van het innovatiepotentieel van de POP-maatregelen/-submaatregelen tijdens de voorbereidende fase van de evaluatie, worden alle maatregelen/submaatregelen (niet alleen M1, M2, </w:t>
      </w:r>
      <w:r>
        <w:lastRenderedPageBreak/>
        <w:t xml:space="preserve">M16, M19 en TB) gescreend en getest op het potentieel om ideeën te stimuleren, innovatiecapaciteit op te bouwen en een faciliterende omgeving te scheppen. Bijgevolg dienen </w:t>
      </w:r>
      <w:r>
        <w:rPr>
          <w:b/>
          <w:szCs w:val="20"/>
        </w:rPr>
        <w:t>alle POP-maatregelen en -submaatregelen die blijk hebben gegeven van aanzienlijk innovatiepotentieel</w:t>
      </w:r>
      <w:r>
        <w:t xml:space="preserve"> deel uit te maken van de innovatiegerelateerde interventielogica van het POP die ten grondslag ligt aan de implementatie van het POP in de richting van innovatie. De beoordelaar gebruikt deze logica om te bepalen hoe het POP aan innovatie heeft bijgedragen (zie </w:t>
      </w:r>
      <w:hyperlink w:anchor="Example_IL" w:history="1">
        <w:r>
          <w:rPr>
            <w:rStyle w:val="Hyperlink"/>
            <w:sz w:val="20"/>
            <w:szCs w:val="20"/>
          </w:rPr>
          <w:t>figuur 11</w:t>
        </w:r>
      </w:hyperlink>
      <w:r>
        <w:t>).</w:t>
      </w:r>
    </w:p>
    <w:p w:rsidR="00A45935" w:rsidRPr="00916AB5" w:rsidRDefault="00BE1F31" w:rsidP="000026C6">
      <w:pPr>
        <w:pStyle w:val="HHeadingfigures"/>
      </w:pPr>
      <w:bookmarkStart w:id="133" w:name="Example_IL"/>
      <w:bookmarkStart w:id="134" w:name="_Toc511656303"/>
      <w:bookmarkEnd w:id="133"/>
      <w:r>
        <w:t>Voorbeeld van interventielogica voor CEQ nr. 30</w:t>
      </w:r>
      <w:bookmarkEnd w:id="134"/>
    </w:p>
    <w:p w:rsidR="00A45935" w:rsidRPr="00E05D08" w:rsidRDefault="001E4A08" w:rsidP="002C2C15">
      <w:pPr>
        <w:suppressAutoHyphens/>
        <w:spacing w:before="60" w:after="140" w:line="240" w:lineRule="auto"/>
        <w:mirrorIndents/>
        <w:jc w:val="center"/>
        <w:rPr>
          <w:rFonts w:eastAsia="Times New Roman" w:cs="Times New Roman"/>
          <w:i/>
          <w:noProof/>
          <w:sz w:val="16"/>
          <w:szCs w:val="20"/>
          <w:lang w:eastAsia="en-GB"/>
        </w:rPr>
      </w:pPr>
      <w:r w:rsidRPr="001E4A08">
        <w:rPr>
          <w:noProof/>
          <w:lang w:val="en-GB" w:eastAsia="en-GB"/>
        </w:rPr>
        <w:drawing>
          <wp:inline distT="0" distB="0" distL="0" distR="0" wp14:anchorId="13FB5608" wp14:editId="2C2037CA">
            <wp:extent cx="5732145" cy="3079115"/>
            <wp:effectExtent l="0" t="0" r="1905" b="698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2145" cy="3079115"/>
                    </a:xfrm>
                    <a:prstGeom prst="rect">
                      <a:avLst/>
                    </a:prstGeom>
                    <a:noFill/>
                    <a:ln>
                      <a:noFill/>
                    </a:ln>
                  </pic:spPr>
                </pic:pic>
              </a:graphicData>
            </a:graphic>
          </wp:inline>
        </w:drawing>
      </w:r>
    </w:p>
    <w:p w:rsidR="00A45935" w:rsidRPr="00E05D08" w:rsidRDefault="00A45935" w:rsidP="00916AB5">
      <w:pPr>
        <w:suppressAutoHyphens/>
        <w:spacing w:before="60" w:after="140" w:line="240" w:lineRule="auto"/>
        <w:mirrorIndents/>
        <w:jc w:val="center"/>
        <w:rPr>
          <w:rFonts w:eastAsia="Times New Roman" w:cs="Times New Roman"/>
          <w:i/>
          <w:sz w:val="16"/>
          <w:szCs w:val="20"/>
        </w:rPr>
      </w:pPr>
      <w:r>
        <w:rPr>
          <w:i/>
          <w:sz w:val="16"/>
          <w:szCs w:val="20"/>
        </w:rPr>
        <w:t>Bron: Europese evaluatiehelpdesk voor plattelandsontwikkeling, 2017</w:t>
      </w:r>
    </w:p>
    <w:p w:rsidR="00A45935" w:rsidRPr="00E05D08" w:rsidRDefault="00A45935" w:rsidP="00E05D08">
      <w:pPr>
        <w:spacing w:after="120" w:line="280" w:lineRule="atLeast"/>
        <w:mirrorIndents/>
        <w:rPr>
          <w:rFonts w:eastAsia="Times New Roman" w:cs="Arial"/>
          <w:szCs w:val="20"/>
        </w:rPr>
      </w:pPr>
      <w:r>
        <w:rPr>
          <w:rFonts w:eastAsia="Times New Roman" w:cs="Times New Roman"/>
          <w:noProof/>
          <w:sz w:val="18"/>
          <w:szCs w:val="24"/>
          <w:lang w:val="en-GB" w:eastAsia="en-GB"/>
        </w:rPr>
        <mc:AlternateContent>
          <mc:Choice Requires="wps">
            <w:drawing>
              <wp:inline distT="0" distB="0" distL="0" distR="0" wp14:anchorId="6B0913C7" wp14:editId="56489980">
                <wp:extent cx="5732145" cy="2505075"/>
                <wp:effectExtent l="0" t="0" r="20955" b="28575"/>
                <wp:docPr id="560" name="Rectangle: Diagonal Corners Rounded 560"/>
                <wp:cNvGraphicFramePr/>
                <a:graphic xmlns:a="http://schemas.openxmlformats.org/drawingml/2006/main">
                  <a:graphicData uri="http://schemas.microsoft.com/office/word/2010/wordprocessingShape">
                    <wps:wsp>
                      <wps:cNvSpPr/>
                      <wps:spPr>
                        <a:xfrm>
                          <a:off x="0" y="0"/>
                          <a:ext cx="5732145" cy="2505075"/>
                        </a:xfrm>
                        <a:prstGeom prst="round2DiagRect">
                          <a:avLst>
                            <a:gd name="adj1" fmla="val 11556"/>
                            <a:gd name="adj2" fmla="val 0"/>
                          </a:avLst>
                        </a:prstGeom>
                        <a:noFill/>
                        <a:ln w="25400" cap="flat" cmpd="sng" algn="ctr">
                          <a:solidFill>
                            <a:srgbClr val="F07E31"/>
                          </a:solidFill>
                          <a:prstDash val="solid"/>
                        </a:ln>
                        <a:effectLst/>
                      </wps:spPr>
                      <wps:txbx>
                        <w:txbxContent>
                          <w:p w:rsidR="00891EED" w:rsidRPr="0079762F" w:rsidRDefault="00891EED" w:rsidP="00E05D08">
                            <w:pPr>
                              <w:pStyle w:val="HStandard"/>
                              <w:rPr>
                                <w:rFonts w:cs="Arial"/>
                                <w:sz w:val="18"/>
                              </w:rPr>
                            </w:pPr>
                            <w:r>
                              <w:rPr>
                                <w:noProof/>
                                <w:sz w:val="18"/>
                                <w:szCs w:val="18"/>
                                <w:lang w:val="en-GB" w:eastAsia="en-GB"/>
                              </w:rPr>
                              <w:drawing>
                                <wp:inline distT="0" distB="0" distL="0" distR="0" wp14:anchorId="3586A872" wp14:editId="09F8FA41">
                                  <wp:extent cx="353060" cy="359410"/>
                                  <wp:effectExtent l="0" t="0" r="8890" b="2540"/>
                                  <wp:docPr id="71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 In dit voorbeeld dienen de maatregelen (cirkels) onder de AG's (rechthoeken) op verschillende manieren (drie trajecten afgebeeld als pictogrammen) innovatie te bevorderen, alleen of in combinatie met andere maatregelen. Zo dienen de maatregelen M16 en M2, die geprogrammeerd zijn in het kader van AG 3A (integratie van primaire producenten in de voedselketen) en AG 5A (efficiënt watergebruik) gezamenlijk innovatie te bevorderen via alle drie de trajecten. In een ander geval (AG 5B) worden beide maatregelen geacht in combinatie met M4 innovatie te bevorderen door gezamenlijk innovatiecapaciteit op te bouwen.  </w:t>
                            </w:r>
                          </w:p>
                          <w:p w:rsidR="00891EED" w:rsidRPr="00ED3BAD" w:rsidRDefault="00891EED" w:rsidP="00E05D08">
                            <w:pPr>
                              <w:pStyle w:val="HStandard"/>
                              <w:rPr>
                                <w:sz w:val="18"/>
                                <w:szCs w:val="18"/>
                              </w:rPr>
                            </w:pPr>
                            <w:r>
                              <w:rPr>
                                <w:sz w:val="18"/>
                              </w:rPr>
                              <w:t>Maatregelen met innovatiepotentieel worden geacht outputs te genereren die tot resultaten leiden bij het bevorderen van innovatie via de drie trajecten en uiteindelijk hebben ze invloed op het bereiken van de beleidsdoelstellingen.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B0913C7" id="Rectangle: Diagonal Corners Rounded 560" o:spid="_x0000_s1054" style="width:451.35pt;height:197.25pt;visibility:visible;mso-wrap-style:square;mso-left-percent:-10001;mso-top-percent:-10001;mso-position-horizontal:absolute;mso-position-horizontal-relative:char;mso-position-vertical:absolute;mso-position-vertical-relative:line;mso-left-percent:-10001;mso-top-percent:-10001;v-text-anchor:middle" coordsize="5732145,2505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" adj="-11796480,,5400" path="m289486,l5732145,r,l5732145,2215589v,159879,-129607,289486,-289486,289486l,2505075r,l,289486c,129607,129607,,289486,xe" filled="f" strokecolor="#f07e31" strokeweight="2pt">
                <v:stroke joinstyle="miter"/>
                <v:formulas/>
                <v:path arrowok="t" o:connecttype="custom" o:connectlocs="289486,0;5732145,0;5732145,0;5732145,2215589;5442659,2505075;0,2505075;0,2505075;0,289486;289486,0" o:connectangles="0,0,0,0,0,0,0,0,0" textboxrect="0,0,5732145,2505075"/>
                <v:textbox>
                  <w:txbxContent>
                    <w:p w:rsidR="00891EED" w:rsidRPr="0079762F" w:rsidRDefault="00891EED" w:rsidP="00E05D08">
                      <w:pPr>
                        <w:pStyle w:val="HStandard"/>
                        <w:rPr>
                          <w:rFonts w:cs="Arial"/>
                          <w:sz w:val="18"/>
                        </w:rPr>
                      </w:pPr>
                      <w:r>
                        <w:rPr>
                          <w:noProof/>
                          <w:sz w:val="18"/>
                          <w:szCs w:val="18"/>
                          <w:lang w:val="en-GB" w:eastAsia="en-GB"/>
                        </w:rPr>
                        <w:drawing>
                          <wp:inline distT="0" distB="0" distL="0" distR="0" wp14:anchorId="3586A872" wp14:editId="09F8FA41">
                            <wp:extent cx="353060" cy="359410"/>
                            <wp:effectExtent l="0" t="0" r="8890" b="2540"/>
                            <wp:docPr id="71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 In dit voorbeeld dienen de maatregelen (cirkels) onder de AG's (rechthoeken) op verschillende manieren (drie trajecten afgebeeld als pictogrammen) innovatie te bevorderen, alleen of in combinatie met andere maatregelen. Zo dienen de maatregelen M16 en M2, die geprogrammeerd zijn in het kader van AG 3A (integratie van primaire producenten in de voedselketen) en AG 5A (efficiënt watergebruik) gezamenlijk innovatie te bevorderen via alle drie de trajecten. In een ander geval (AG 5B) worden beide maatregelen geacht in combinatie met M4 innovatie te bevorderen door gezamenlijk innovatiecapaciteit op te bouwen.  </w:t>
                      </w:r>
                    </w:p>
                    <w:p w:rsidR="00891EED" w:rsidRPr="00ED3BAD" w:rsidRDefault="00891EED" w:rsidP="00E05D08">
                      <w:pPr>
                        <w:pStyle w:val="HStandard"/>
                        <w:rPr>
                          <w:sz w:val="18"/>
                          <w:szCs w:val="18"/>
                        </w:rPr>
                      </w:pPr>
                      <w:r>
                        <w:rPr>
                          <w:sz w:val="18"/>
                        </w:rPr>
                        <w:t>Maatregelen met innovatiepotentieel worden geacht outputs te genereren die tot resultaten leiden bij het bevorderen van innovatie via de drie trajecten en uiteindelijk hebben ze invloed op het bereiken van de beleidsdoelstellingen.</w:t>
                      </w:r>
                    </w:p>
                  </w:txbxContent>
                </v:textbox>
                <w10:anchorlock/>
              </v:shape>
            </w:pict>
          </mc:Fallback>
        </mc:AlternateContent>
      </w:r>
    </w:p>
    <w:p w:rsidR="00A45935" w:rsidRPr="00E05D08" w:rsidRDefault="00A45935" w:rsidP="00E05D08">
      <w:pPr>
        <w:spacing w:after="120" w:line="280" w:lineRule="atLeast"/>
        <w:mirrorIndents/>
        <w:rPr>
          <w:rFonts w:eastAsia="Times New Roman" w:cs="Arial"/>
          <w:szCs w:val="20"/>
          <w:lang w:eastAsia="de-DE"/>
        </w:rPr>
        <w:sectPr w:rsidR="00A45935" w:rsidRPr="00E05D08" w:rsidSect="001F6F07">
          <w:headerReference w:type="even" r:id="rId91"/>
          <w:headerReference w:type="first" r:id="rId92"/>
          <w:endnotePr>
            <w:numFmt w:val="decimal"/>
          </w:endnotePr>
          <w:pgSz w:w="11907" w:h="16840" w:code="9"/>
          <w:pgMar w:top="1134" w:right="1440" w:bottom="1440" w:left="1440" w:header="567" w:footer="1020" w:gutter="0"/>
          <w:cols w:space="708"/>
          <w:noEndnote/>
          <w:titlePg/>
          <w:docGrid w:linePitch="435"/>
        </w:sectPr>
      </w:pPr>
    </w:p>
    <w:p w:rsidR="00A45935" w:rsidRPr="00E05D08" w:rsidRDefault="00A45935" w:rsidP="00E05D08">
      <w:pPr>
        <w:spacing w:after="120" w:line="280" w:lineRule="atLeast"/>
        <w:mirrorIndents/>
        <w:rPr>
          <w:rFonts w:eastAsia="Times New Roman" w:cs="Arial"/>
          <w:szCs w:val="20"/>
        </w:rPr>
      </w:pPr>
      <w:r>
        <w:t>Gezien de complexe en emergente aard van innovatie wordt aangenomen dat het voorspelde innovatiepotentieel niet perfect overeenkomt met de steunmaatregelen in het kader van het POP die een verschil hebben gemaakt. Op het moment van de evaluatie bestaat de taak van de beoordelaar er daarom in het voorspelde innovatiepotentieel van het POP te vergelijken met de werkelijke bijdragen tot verandering.</w:t>
      </w:r>
    </w:p>
    <w:p w:rsidR="00A45935" w:rsidRPr="00E05D08" w:rsidRDefault="00A45935" w:rsidP="008C0B17">
      <w:pPr>
        <w:numPr>
          <w:ilvl w:val="0"/>
          <w:numId w:val="62"/>
        </w:numPr>
        <w:spacing w:before="120" w:after="120" w:line="280" w:lineRule="atLeast"/>
        <w:ind w:left="567" w:hanging="567"/>
        <w:mirrorIndents/>
        <w:rPr>
          <w:rFonts w:eastAsia="Times New Roman" w:cs="Times New Roman"/>
          <w:b/>
          <w:szCs w:val="20"/>
        </w:rPr>
      </w:pPr>
      <w:r>
        <w:rPr>
          <w:b/>
          <w:szCs w:val="20"/>
        </w:rPr>
        <w:t xml:space="preserve">Evaluatie-elementen </w:t>
      </w:r>
    </w:p>
    <w:p w:rsidR="00A45935" w:rsidRPr="00E05D08" w:rsidRDefault="00A45935" w:rsidP="00E05D08">
      <w:pPr>
        <w:spacing w:after="120" w:line="280" w:lineRule="atLeast"/>
        <w:mirrorIndents/>
        <w:rPr>
          <w:rFonts w:eastAsia="Times New Roman" w:cs="Times New Roman"/>
          <w:szCs w:val="20"/>
        </w:rPr>
      </w:pPr>
      <w:r>
        <w:t xml:space="preserve">Het werkdocument </w:t>
      </w:r>
      <w:hyperlink r:id="rId93" w:history="1">
        <w:r>
          <w:rPr>
            <w:rStyle w:val="Hyperlink"/>
            <w:sz w:val="20"/>
            <w:szCs w:val="20"/>
          </w:rPr>
          <w:t>Common Evaluation Questions for RDPs 2014-2020</w:t>
        </w:r>
      </w:hyperlink>
      <w:r>
        <w:t xml:space="preserve"> oppert één beoordelingscriterium (innovatie in plattelandsgebieden en sectoren is bevorderd) en één </w:t>
      </w:r>
      <w:r>
        <w:lastRenderedPageBreak/>
        <w:t xml:space="preserve">gemeenschappelijke indicator (D1 - uitgaven in verband met art. 14, 15 en 35). In het document wordt ook het advies gegeven om aanvullende kwantitatieve en kwalitatieve informatie over innovatie te verzamelen ter beantwoording van CEQ nr. 30. Deze elementen volstaan echter niet om de POP-bijdragen tot bevordering van innovatie volledig in beeld te brengen. </w:t>
      </w:r>
    </w:p>
    <w:p w:rsidR="00A45935" w:rsidRPr="00E05D08" w:rsidRDefault="00A45935" w:rsidP="00E05D08">
      <w:pPr>
        <w:spacing w:after="120" w:line="280" w:lineRule="atLeast"/>
        <w:mirrorIndents/>
        <w:rPr>
          <w:rFonts w:eastAsia="Times New Roman" w:cs="Times New Roman"/>
          <w:szCs w:val="20"/>
        </w:rPr>
      </w:pPr>
      <w:r>
        <w:t xml:space="preserve">Bijgevolg wordt in deze richtsnoeren voorgesteld om ter beantwoording van CEQ nr. 30 aanvullende evaluatie-elementen te gebruiken (zie </w:t>
      </w:r>
      <w:hyperlink w:anchor="CEQ_fostering" w:history="1">
        <w:r>
          <w:rPr>
            <w:rStyle w:val="Hyperlink"/>
            <w:sz w:val="20"/>
            <w:szCs w:val="20"/>
          </w:rPr>
          <w:t>tabel 9</w:t>
        </w:r>
      </w:hyperlink>
      <w:r>
        <w:t xml:space="preserve">). In het geval van CEQ nr. 30 zijn de evaluatie-elementen gekoppeld aan de drie subvragen die overeenkomen met de drie trajecten van het innovatieproces. De voorgestelde beoordelingscriteria zijn gekoppeld aan de kenmerken van elk traject. Daardoor kan worden bepaald of het traject gevolgd is door implementatie van de POP-maatregelen, zoals vastgesteld tijdens de screening van het innovatiepotentieel. </w:t>
      </w:r>
    </w:p>
    <w:p w:rsidR="00A45935" w:rsidRPr="00E05D08" w:rsidRDefault="00A45935" w:rsidP="00E05D08">
      <w:pPr>
        <w:spacing w:after="120" w:line="280" w:lineRule="atLeast"/>
        <w:mirrorIndents/>
        <w:rPr>
          <w:rFonts w:eastAsia="Times New Roman" w:cs="Times New Roman"/>
          <w:szCs w:val="20"/>
        </w:rPr>
      </w:pPr>
      <w:r>
        <w:t xml:space="preserve">Behalve de gemeenschappelijke indicatoren zijn de voorgestelde elementen niet bindend en kunnen belanghebbenden in de lidstaten hun eigen beoordelingscriteria en aanvullende indicatoren ontwikkelen. </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endnotePr>
            <w:numFmt w:val="decimal"/>
          </w:endnotePr>
          <w:type w:val="continuous"/>
          <w:pgSz w:w="11907" w:h="16840" w:code="9"/>
          <w:pgMar w:top="1134" w:right="1440" w:bottom="1440" w:left="1440" w:header="567" w:footer="1020" w:gutter="0"/>
          <w:cols w:space="708"/>
          <w:noEndnote/>
          <w:titlePg/>
          <w:docGrid w:linePitch="435"/>
        </w:sectPr>
      </w:pPr>
    </w:p>
    <w:p w:rsidR="00A45935" w:rsidRPr="009C734C" w:rsidRDefault="00A45935" w:rsidP="009C734C">
      <w:pPr>
        <w:pStyle w:val="HHeadingtables"/>
        <w:rPr>
          <w:color w:val="6F6F6F"/>
          <w:sz w:val="18"/>
          <w:szCs w:val="18"/>
        </w:rPr>
      </w:pPr>
      <w:bookmarkStart w:id="135" w:name="CEQ_fostering"/>
      <w:bookmarkStart w:id="136" w:name="_Toc511656290"/>
      <w:bookmarkEnd w:id="135"/>
      <w:r>
        <w:rPr>
          <w:color w:val="6F6F6F"/>
          <w:sz w:val="18"/>
          <w:szCs w:val="18"/>
        </w:rPr>
        <w:lastRenderedPageBreak/>
        <w:t>Aan CEQ nr. 30 gekoppelde evaluatie-elementen</w:t>
      </w:r>
      <w:bookmarkEnd w:id="136"/>
      <w:r>
        <w:rPr>
          <w:color w:val="6F6F6F"/>
          <w:sz w:val="18"/>
          <w:szCs w:val="18"/>
        </w:rPr>
        <w:t xml:space="preserve"> </w:t>
      </w:r>
    </w:p>
    <w:p w:rsidR="00A45935" w:rsidRPr="00E05D08" w:rsidRDefault="00A45935" w:rsidP="00E05D08">
      <w:pPr>
        <w:spacing w:after="120" w:line="280" w:lineRule="atLeast"/>
        <w:mirrorIndents/>
        <w:rPr>
          <w:rFonts w:eastAsia="Times New Roman" w:cs="Arial"/>
          <w:i/>
          <w:szCs w:val="20"/>
        </w:rPr>
      </w:pPr>
      <w:r>
        <w:rPr>
          <w:i/>
          <w:szCs w:val="20"/>
        </w:rPr>
        <w:t xml:space="preserve">Evaluatie-elementen (subvragen, beoordelingscriteria en indicatoren) die worden verstrekt in aanvulling op die welke zijn overgenomen uit het werkdocument: </w:t>
      </w:r>
      <w:hyperlink r:id="rId94" w:history="1">
        <w:r>
          <w:rPr>
            <w:rStyle w:val="Hyperlink"/>
            <w:sz w:val="20"/>
            <w:szCs w:val="20"/>
          </w:rPr>
          <w:t>Common Evaluation Questions for RDPs 2014-2020</w:t>
        </w:r>
      </w:hyperlink>
      <w:r>
        <w:rPr>
          <w:i/>
          <w:szCs w:val="20"/>
        </w:rPr>
        <w:t xml:space="preserve">, zijn "gecursiveerd". </w:t>
      </w:r>
    </w:p>
    <w:tbl>
      <w:tblPr>
        <w:tblStyle w:val="TableGrid1"/>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961"/>
        <w:gridCol w:w="2838"/>
        <w:gridCol w:w="3282"/>
        <w:gridCol w:w="2705"/>
        <w:gridCol w:w="2696"/>
      </w:tblGrid>
      <w:tr w:rsidR="00A45935" w:rsidRPr="00E05D08" w:rsidTr="00F73706">
        <w:trPr>
          <w:tblHeader/>
        </w:trPr>
        <w:tc>
          <w:tcPr>
            <w:tcW w:w="2988"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Subvragen</w:t>
            </w:r>
          </w:p>
        </w:tc>
        <w:tc>
          <w:tcPr>
            <w:tcW w:w="2127"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Beoordelingscriteria</w:t>
            </w:r>
          </w:p>
        </w:tc>
        <w:tc>
          <w:tcPr>
            <w:tcW w:w="3302"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Resultaatindicatoren</w:t>
            </w:r>
          </w:p>
        </w:tc>
        <w:tc>
          <w:tcPr>
            <w:tcW w:w="2715"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Vereiste gegevens en informatie</w:t>
            </w:r>
          </w:p>
        </w:tc>
        <w:tc>
          <w:tcPr>
            <w:tcW w:w="2715"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Gegevensbronnen</w:t>
            </w:r>
          </w:p>
        </w:tc>
      </w:tr>
      <w:tr w:rsidR="00A45935" w:rsidRPr="00E05D08" w:rsidTr="00F73706">
        <w:trPr>
          <w:trHeight w:val="1408"/>
        </w:trPr>
        <w:tc>
          <w:tcPr>
            <w:tcW w:w="2988" w:type="dxa"/>
          </w:tcPr>
          <w:p w:rsidR="00A45935" w:rsidRPr="00385368" w:rsidRDefault="00A45935" w:rsidP="00F73706">
            <w:pPr>
              <w:spacing w:line="220" w:lineRule="atLeast"/>
              <w:jc w:val="left"/>
              <w:rPr>
                <w:rFonts w:cs="Arial"/>
                <w:i/>
                <w:sz w:val="18"/>
                <w:szCs w:val="16"/>
              </w:rPr>
            </w:pPr>
            <w:r>
              <w:rPr>
                <w:i/>
                <w:sz w:val="18"/>
                <w:szCs w:val="16"/>
              </w:rPr>
              <w:t>In hoeverre heeft het POP innovatie bevorderd door het innovatiepotentieel te stimuleren (traject 1)?</w:t>
            </w:r>
          </w:p>
        </w:tc>
        <w:tc>
          <w:tcPr>
            <w:tcW w:w="2127" w:type="dxa"/>
          </w:tcPr>
          <w:p w:rsidR="00A45935" w:rsidRPr="00385368" w:rsidRDefault="00A45935" w:rsidP="008A260B">
            <w:pPr>
              <w:spacing w:line="220" w:lineRule="atLeast"/>
              <w:jc w:val="left"/>
              <w:rPr>
                <w:rFonts w:ascii="Helvetica" w:hAnsi="Helvetica"/>
                <w:sz w:val="18"/>
              </w:rPr>
            </w:pPr>
            <w:r>
              <w:rPr>
                <w:i/>
                <w:sz w:val="18"/>
                <w:szCs w:val="16"/>
              </w:rPr>
              <w:t>Aanvullend beoordelingscriterium: Overname van door het POP ingebrachte innovatieve ideeën, processen, modellen en/of technologieën.</w:t>
            </w:r>
          </w:p>
        </w:tc>
        <w:tc>
          <w:tcPr>
            <w:tcW w:w="3302" w:type="dxa"/>
          </w:tcPr>
          <w:p w:rsidR="00A45935" w:rsidRPr="00385368" w:rsidRDefault="00A45935" w:rsidP="00F73706">
            <w:pPr>
              <w:spacing w:line="220" w:lineRule="atLeast"/>
              <w:jc w:val="left"/>
              <w:rPr>
                <w:rFonts w:cs="Arial"/>
                <w:sz w:val="18"/>
                <w:szCs w:val="16"/>
              </w:rPr>
            </w:pPr>
            <w:r>
              <w:rPr>
                <w:sz w:val="18"/>
                <w:szCs w:val="16"/>
              </w:rPr>
              <w:t xml:space="preserve">D1: Percentage uitgaven in het kader van de artikelen 14, 15 en 35 van Verordening (EU) nr. 1305/2013 ten opzichte van de totale uitgaven voor het POP. </w:t>
            </w:r>
          </w:p>
          <w:p w:rsidR="001275FF" w:rsidRPr="000D7890" w:rsidRDefault="001275FF" w:rsidP="00F73706">
            <w:pPr>
              <w:spacing w:line="220" w:lineRule="atLeast"/>
              <w:jc w:val="left"/>
              <w:rPr>
                <w:rFonts w:cs="Arial"/>
                <w:sz w:val="18"/>
                <w:szCs w:val="16"/>
                <w:lang w:val="nl-BE"/>
              </w:rPr>
            </w:pPr>
          </w:p>
          <w:p w:rsidR="00A45935" w:rsidRPr="000D7890" w:rsidRDefault="00A45935" w:rsidP="00F73706">
            <w:pPr>
              <w:spacing w:line="220" w:lineRule="atLeast"/>
              <w:jc w:val="left"/>
              <w:rPr>
                <w:rFonts w:cs="Arial"/>
                <w:sz w:val="18"/>
                <w:szCs w:val="16"/>
                <w:lang w:val="nl-BE"/>
              </w:rPr>
            </w:pPr>
          </w:p>
          <w:p w:rsidR="00A45935" w:rsidRPr="00385368" w:rsidRDefault="00A45935" w:rsidP="00F73706">
            <w:pPr>
              <w:spacing w:line="220" w:lineRule="atLeast"/>
              <w:jc w:val="left"/>
              <w:rPr>
                <w:rFonts w:cs="Arial"/>
                <w:sz w:val="18"/>
                <w:szCs w:val="16"/>
              </w:rPr>
            </w:pPr>
            <w:r>
              <w:rPr>
                <w:sz w:val="18"/>
                <w:szCs w:val="16"/>
              </w:rPr>
              <w:t>Aantal ondersteunde innovatieve acties die door OG's van het EIP geïmplementeerd en verspreid zijn.</w:t>
            </w:r>
          </w:p>
          <w:p w:rsidR="001275FF" w:rsidRPr="000D7890" w:rsidRDefault="001275FF" w:rsidP="00F73706">
            <w:pPr>
              <w:spacing w:line="220" w:lineRule="atLeast"/>
              <w:jc w:val="left"/>
              <w:rPr>
                <w:rFonts w:cs="Arial"/>
                <w:sz w:val="18"/>
                <w:szCs w:val="16"/>
                <w:lang w:val="nl-BE"/>
              </w:rPr>
            </w:pPr>
          </w:p>
          <w:p w:rsidR="00A45935" w:rsidRPr="000D7890" w:rsidRDefault="00A45935" w:rsidP="00F73706">
            <w:pPr>
              <w:spacing w:line="220" w:lineRule="atLeast"/>
              <w:jc w:val="left"/>
              <w:rPr>
                <w:rFonts w:cs="Arial"/>
                <w:sz w:val="18"/>
                <w:szCs w:val="16"/>
                <w:lang w:val="nl-BE"/>
              </w:rPr>
            </w:pPr>
          </w:p>
          <w:p w:rsidR="00A45935" w:rsidRPr="00385368" w:rsidRDefault="00A45935" w:rsidP="00F73706">
            <w:pPr>
              <w:spacing w:line="220" w:lineRule="atLeast"/>
              <w:jc w:val="left"/>
              <w:rPr>
                <w:rFonts w:cs="Arial"/>
                <w:i/>
                <w:sz w:val="18"/>
                <w:szCs w:val="16"/>
              </w:rPr>
            </w:pPr>
            <w:r>
              <w:rPr>
                <w:i/>
                <w:color w:val="57825E"/>
                <w:sz w:val="18"/>
                <w:szCs w:val="16"/>
                <w:u w:val="single"/>
              </w:rPr>
              <w:t>Aanvullende resultaatindicator</w:t>
            </w:r>
            <w:r>
              <w:rPr>
                <w:i/>
                <w:color w:val="57825E"/>
                <w:sz w:val="18"/>
                <w:szCs w:val="16"/>
              </w:rPr>
              <w:t xml:space="preserve">: Mate van overname van door belanghebbenden ingebrachte nieuwe ideeën, processen, modellen en/of technologieën. </w:t>
            </w:r>
          </w:p>
        </w:tc>
        <w:tc>
          <w:tcPr>
            <w:tcW w:w="2715" w:type="dxa"/>
          </w:tcPr>
          <w:p w:rsidR="00A45935" w:rsidRPr="00385368" w:rsidRDefault="00A45935" w:rsidP="00F73706">
            <w:pPr>
              <w:spacing w:line="220" w:lineRule="atLeast"/>
              <w:jc w:val="left"/>
              <w:rPr>
                <w:rFonts w:cs="Arial"/>
                <w:sz w:val="18"/>
                <w:szCs w:val="16"/>
              </w:rPr>
            </w:pPr>
            <w:r>
              <w:rPr>
                <w:sz w:val="18"/>
                <w:szCs w:val="16"/>
              </w:rPr>
              <w:t>Gegevens over uitgaven voor in het kader van M1, M2 en M16 geïmplementeerde concrete acties.</w:t>
            </w:r>
          </w:p>
          <w:p w:rsidR="00A45935" w:rsidRPr="000D7890" w:rsidRDefault="00A45935" w:rsidP="00F73706">
            <w:pPr>
              <w:spacing w:line="220" w:lineRule="atLeast"/>
              <w:jc w:val="left"/>
              <w:rPr>
                <w:rFonts w:cs="Arial"/>
                <w:sz w:val="18"/>
                <w:szCs w:val="16"/>
                <w:lang w:val="nl-BE"/>
              </w:rPr>
            </w:pPr>
          </w:p>
          <w:p w:rsidR="00A45935" w:rsidRPr="000D7890" w:rsidRDefault="00A45935" w:rsidP="00F73706">
            <w:pPr>
              <w:spacing w:line="220" w:lineRule="atLeast"/>
              <w:jc w:val="left"/>
              <w:rPr>
                <w:rFonts w:cs="Arial"/>
                <w:sz w:val="18"/>
                <w:szCs w:val="16"/>
                <w:lang w:val="nl-BE"/>
              </w:rPr>
            </w:pPr>
          </w:p>
          <w:p w:rsidR="00A45935" w:rsidRPr="000D7890" w:rsidRDefault="00A45935" w:rsidP="00F73706">
            <w:pPr>
              <w:spacing w:line="220" w:lineRule="atLeast"/>
              <w:jc w:val="left"/>
              <w:rPr>
                <w:rFonts w:cs="Arial"/>
                <w:sz w:val="18"/>
                <w:szCs w:val="16"/>
                <w:lang w:val="nl-BE"/>
              </w:rPr>
            </w:pPr>
          </w:p>
          <w:p w:rsidR="00A45935" w:rsidRPr="00385368" w:rsidRDefault="00A45935" w:rsidP="00F73706">
            <w:pPr>
              <w:spacing w:line="220" w:lineRule="atLeast"/>
              <w:jc w:val="left"/>
              <w:rPr>
                <w:rFonts w:cs="Arial"/>
                <w:sz w:val="18"/>
                <w:szCs w:val="16"/>
              </w:rPr>
            </w:pPr>
            <w:r>
              <w:rPr>
                <w:sz w:val="18"/>
                <w:szCs w:val="16"/>
              </w:rPr>
              <w:t xml:space="preserve">Gegevens over door de OG's van het EIP geïmplementeerde innovatieve acties. </w:t>
            </w:r>
          </w:p>
          <w:p w:rsidR="00A45935" w:rsidRPr="000D7890" w:rsidRDefault="00A45935" w:rsidP="00F73706">
            <w:pPr>
              <w:spacing w:line="220" w:lineRule="atLeast"/>
              <w:jc w:val="left"/>
              <w:rPr>
                <w:rFonts w:cs="Arial"/>
                <w:sz w:val="18"/>
                <w:szCs w:val="16"/>
                <w:lang w:val="nl-BE"/>
              </w:rPr>
            </w:pPr>
          </w:p>
          <w:p w:rsidR="00A45935" w:rsidRPr="000D7890" w:rsidRDefault="00A45935" w:rsidP="00F73706">
            <w:pPr>
              <w:spacing w:line="220" w:lineRule="atLeast"/>
              <w:jc w:val="left"/>
              <w:rPr>
                <w:rFonts w:cs="Arial"/>
                <w:sz w:val="18"/>
                <w:szCs w:val="16"/>
                <w:lang w:val="nl-BE"/>
              </w:rPr>
            </w:pPr>
          </w:p>
          <w:p w:rsidR="00A45935" w:rsidRPr="00385368" w:rsidRDefault="00A45935" w:rsidP="00F73706">
            <w:pPr>
              <w:spacing w:line="220" w:lineRule="atLeast"/>
              <w:jc w:val="left"/>
              <w:rPr>
                <w:rFonts w:cs="Arial"/>
                <w:sz w:val="18"/>
                <w:szCs w:val="16"/>
              </w:rPr>
            </w:pPr>
            <w:r>
              <w:rPr>
                <w:sz w:val="18"/>
                <w:szCs w:val="16"/>
              </w:rPr>
              <w:t xml:space="preserve">Gegevens en informatie over gegenereerde innovatieve ideeën, modellen, technologieën. </w:t>
            </w:r>
          </w:p>
          <w:p w:rsidR="00A45935" w:rsidRPr="000D7890" w:rsidRDefault="00A45935" w:rsidP="00F73706">
            <w:pPr>
              <w:spacing w:line="220" w:lineRule="atLeast"/>
              <w:jc w:val="left"/>
              <w:rPr>
                <w:rFonts w:cs="Arial"/>
                <w:sz w:val="18"/>
                <w:szCs w:val="16"/>
                <w:lang w:val="nl-BE"/>
              </w:rPr>
            </w:pPr>
          </w:p>
          <w:p w:rsidR="00A45935" w:rsidRPr="000D7890" w:rsidRDefault="00A45935" w:rsidP="00F73706">
            <w:pPr>
              <w:spacing w:line="220" w:lineRule="atLeast"/>
              <w:jc w:val="left"/>
              <w:rPr>
                <w:rFonts w:cs="Arial"/>
                <w:sz w:val="18"/>
                <w:szCs w:val="16"/>
                <w:lang w:val="nl-BE"/>
              </w:rPr>
            </w:pPr>
          </w:p>
        </w:tc>
        <w:tc>
          <w:tcPr>
            <w:tcW w:w="2715" w:type="dxa"/>
          </w:tcPr>
          <w:p w:rsidR="00A45935" w:rsidRPr="00385368" w:rsidRDefault="00A45935" w:rsidP="00F73706">
            <w:pPr>
              <w:spacing w:line="220" w:lineRule="atLeast"/>
              <w:jc w:val="left"/>
              <w:rPr>
                <w:rFonts w:cs="Arial"/>
                <w:sz w:val="18"/>
                <w:szCs w:val="16"/>
              </w:rPr>
            </w:pPr>
            <w:r>
              <w:rPr>
                <w:sz w:val="18"/>
                <w:szCs w:val="16"/>
              </w:rPr>
              <w:t xml:space="preserve">POP-monitoringsysteem. </w:t>
            </w:r>
          </w:p>
          <w:p w:rsidR="00A45935" w:rsidRPr="000D7890" w:rsidRDefault="00A45935" w:rsidP="00F73706">
            <w:pPr>
              <w:spacing w:line="220" w:lineRule="atLeast"/>
              <w:jc w:val="left"/>
              <w:rPr>
                <w:rFonts w:cs="Arial"/>
                <w:sz w:val="18"/>
                <w:szCs w:val="16"/>
                <w:lang w:val="nl-BE"/>
              </w:rPr>
            </w:pPr>
          </w:p>
          <w:p w:rsidR="00A45935" w:rsidRPr="000D7890" w:rsidRDefault="00A45935" w:rsidP="00F73706">
            <w:pPr>
              <w:spacing w:line="220" w:lineRule="atLeast"/>
              <w:jc w:val="left"/>
              <w:rPr>
                <w:rFonts w:cs="Arial"/>
                <w:sz w:val="18"/>
                <w:szCs w:val="16"/>
                <w:lang w:val="nl-BE"/>
              </w:rPr>
            </w:pPr>
          </w:p>
          <w:p w:rsidR="00A45935" w:rsidRPr="000D7890" w:rsidRDefault="00A45935" w:rsidP="00F73706">
            <w:pPr>
              <w:spacing w:line="220" w:lineRule="atLeast"/>
              <w:jc w:val="left"/>
              <w:rPr>
                <w:rFonts w:cs="Arial"/>
                <w:sz w:val="18"/>
                <w:szCs w:val="16"/>
                <w:lang w:val="nl-BE"/>
              </w:rPr>
            </w:pPr>
          </w:p>
          <w:p w:rsidR="00A45935" w:rsidRPr="000D7890" w:rsidRDefault="00A45935" w:rsidP="00F73706">
            <w:pPr>
              <w:spacing w:line="220" w:lineRule="atLeast"/>
              <w:jc w:val="left"/>
              <w:rPr>
                <w:rFonts w:cs="Arial"/>
                <w:sz w:val="18"/>
                <w:szCs w:val="16"/>
                <w:lang w:val="nl-BE"/>
              </w:rPr>
            </w:pPr>
          </w:p>
          <w:p w:rsidR="00A45935" w:rsidRDefault="00A45935" w:rsidP="00F73706">
            <w:pPr>
              <w:spacing w:line="220" w:lineRule="atLeast"/>
              <w:jc w:val="left"/>
              <w:rPr>
                <w:rFonts w:cs="Arial"/>
                <w:sz w:val="18"/>
                <w:szCs w:val="16"/>
                <w:lang w:val="nl-BE"/>
              </w:rPr>
            </w:pPr>
          </w:p>
          <w:p w:rsidR="004C624A" w:rsidRPr="000D7890" w:rsidRDefault="004C624A" w:rsidP="00F73706">
            <w:pPr>
              <w:spacing w:line="220" w:lineRule="atLeast"/>
              <w:jc w:val="left"/>
              <w:rPr>
                <w:rFonts w:cs="Arial"/>
                <w:sz w:val="18"/>
                <w:szCs w:val="16"/>
                <w:lang w:val="nl-BE"/>
              </w:rPr>
            </w:pPr>
          </w:p>
          <w:p w:rsidR="00A45935" w:rsidRPr="00385368" w:rsidRDefault="00A45935" w:rsidP="00F73706">
            <w:pPr>
              <w:spacing w:line="220" w:lineRule="atLeast"/>
              <w:jc w:val="left"/>
              <w:rPr>
                <w:rFonts w:cs="Arial"/>
                <w:sz w:val="18"/>
                <w:szCs w:val="16"/>
              </w:rPr>
            </w:pPr>
            <w:r>
              <w:rPr>
                <w:sz w:val="18"/>
                <w:szCs w:val="16"/>
              </w:rPr>
              <w:t>POP-monitoringsysteem en interviews.</w:t>
            </w:r>
          </w:p>
          <w:p w:rsidR="00A45935" w:rsidRPr="000D7890" w:rsidRDefault="00A45935" w:rsidP="00F73706">
            <w:pPr>
              <w:spacing w:line="220" w:lineRule="atLeast"/>
              <w:jc w:val="left"/>
              <w:rPr>
                <w:rFonts w:cs="Arial"/>
                <w:sz w:val="18"/>
                <w:szCs w:val="16"/>
                <w:lang w:val="nl-BE"/>
              </w:rPr>
            </w:pPr>
          </w:p>
          <w:p w:rsidR="00A45935" w:rsidRPr="000D7890" w:rsidRDefault="00A45935" w:rsidP="00F73706">
            <w:pPr>
              <w:spacing w:line="220" w:lineRule="atLeast"/>
              <w:jc w:val="left"/>
              <w:rPr>
                <w:rFonts w:cs="Arial"/>
                <w:sz w:val="18"/>
                <w:szCs w:val="16"/>
                <w:lang w:val="nl-BE"/>
              </w:rPr>
            </w:pPr>
          </w:p>
          <w:p w:rsidR="00A45935" w:rsidRPr="000D7890" w:rsidRDefault="00A45935" w:rsidP="00F73706">
            <w:pPr>
              <w:spacing w:line="220" w:lineRule="atLeast"/>
              <w:jc w:val="left"/>
              <w:rPr>
                <w:rFonts w:cs="Arial"/>
                <w:sz w:val="18"/>
                <w:szCs w:val="16"/>
                <w:lang w:val="nl-BE"/>
              </w:rPr>
            </w:pPr>
          </w:p>
          <w:p w:rsidR="00A45935" w:rsidRPr="00385368" w:rsidRDefault="00A45935" w:rsidP="00F73706">
            <w:pPr>
              <w:spacing w:line="220" w:lineRule="atLeast"/>
              <w:jc w:val="left"/>
              <w:rPr>
                <w:rFonts w:cs="Arial"/>
                <w:sz w:val="18"/>
                <w:szCs w:val="16"/>
              </w:rPr>
            </w:pPr>
            <w:r>
              <w:rPr>
                <w:sz w:val="18"/>
                <w:szCs w:val="16"/>
              </w:rPr>
              <w:t>POP-monitoringsysteem en enquêtes, interviews.</w:t>
            </w:r>
          </w:p>
        </w:tc>
      </w:tr>
      <w:tr w:rsidR="00A45935" w:rsidRPr="00E05D08" w:rsidTr="00F73706">
        <w:tc>
          <w:tcPr>
            <w:tcW w:w="2988" w:type="dxa"/>
          </w:tcPr>
          <w:p w:rsidR="00A45935" w:rsidRPr="00385368" w:rsidRDefault="00A45935" w:rsidP="00F73706">
            <w:pPr>
              <w:spacing w:line="220" w:lineRule="atLeast"/>
              <w:jc w:val="left"/>
              <w:rPr>
                <w:rFonts w:cs="Arial"/>
                <w:i/>
                <w:sz w:val="18"/>
                <w:szCs w:val="16"/>
              </w:rPr>
            </w:pPr>
            <w:r>
              <w:rPr>
                <w:i/>
                <w:sz w:val="18"/>
                <w:szCs w:val="16"/>
              </w:rPr>
              <w:t>In hoeverre heeft het POP innovatie bevorderd door innovatiecapaciteit op te bouwen (traject 2)?</w:t>
            </w:r>
          </w:p>
        </w:tc>
        <w:tc>
          <w:tcPr>
            <w:tcW w:w="2127" w:type="dxa"/>
          </w:tcPr>
          <w:p w:rsidR="00A45935" w:rsidRPr="00E05D08" w:rsidRDefault="00A45935" w:rsidP="00F73706">
            <w:pPr>
              <w:spacing w:line="220" w:lineRule="atLeast"/>
              <w:jc w:val="left"/>
              <w:rPr>
                <w:rFonts w:eastAsia="Calibri" w:cs="Arial"/>
                <w:i/>
                <w:sz w:val="18"/>
                <w:szCs w:val="16"/>
              </w:rPr>
            </w:pPr>
            <w:r>
              <w:rPr>
                <w:i/>
                <w:sz w:val="18"/>
                <w:szCs w:val="16"/>
              </w:rPr>
              <w:t xml:space="preserve">Aanvullend beoordelingscriterium: Het POP heeft meer functionele verbindingen tussen verschillende soorten actoren tot stand gebracht. </w:t>
            </w:r>
          </w:p>
          <w:p w:rsidR="00A45935" w:rsidRPr="000D7890" w:rsidRDefault="00A45935" w:rsidP="00F73706">
            <w:pPr>
              <w:spacing w:line="220" w:lineRule="atLeast"/>
              <w:jc w:val="left"/>
              <w:rPr>
                <w:rFonts w:eastAsia="Calibri" w:cs="Arial"/>
                <w:i/>
                <w:sz w:val="18"/>
                <w:szCs w:val="16"/>
                <w:lang w:val="nl-BE"/>
              </w:rPr>
            </w:pPr>
          </w:p>
          <w:p w:rsidR="00A45935" w:rsidRPr="000D7890" w:rsidRDefault="00A45935" w:rsidP="00F73706">
            <w:pPr>
              <w:spacing w:line="220" w:lineRule="atLeast"/>
              <w:jc w:val="left"/>
              <w:rPr>
                <w:rFonts w:eastAsia="Calibri" w:cs="Arial"/>
                <w:i/>
                <w:sz w:val="18"/>
                <w:szCs w:val="16"/>
                <w:lang w:val="nl-BE"/>
              </w:rPr>
            </w:pPr>
          </w:p>
          <w:p w:rsidR="00A45935" w:rsidRPr="000D7890" w:rsidRDefault="00A45935" w:rsidP="00F73706">
            <w:pPr>
              <w:spacing w:line="220" w:lineRule="atLeast"/>
              <w:jc w:val="left"/>
              <w:rPr>
                <w:rFonts w:eastAsia="Calibri" w:cs="Arial"/>
                <w:i/>
                <w:sz w:val="18"/>
                <w:szCs w:val="16"/>
                <w:lang w:val="nl-BE"/>
              </w:rPr>
            </w:pPr>
          </w:p>
          <w:p w:rsidR="00A45935" w:rsidRPr="000D7890" w:rsidRDefault="00A45935" w:rsidP="00F73706">
            <w:pPr>
              <w:spacing w:line="220" w:lineRule="atLeast"/>
              <w:jc w:val="left"/>
              <w:rPr>
                <w:rFonts w:eastAsia="Calibri" w:cs="Arial"/>
                <w:i/>
                <w:sz w:val="18"/>
                <w:szCs w:val="16"/>
                <w:lang w:val="nl-BE"/>
              </w:rPr>
            </w:pPr>
          </w:p>
          <w:p w:rsidR="00A45935" w:rsidRPr="000D7890" w:rsidRDefault="00A45935" w:rsidP="00F73706">
            <w:pPr>
              <w:spacing w:line="220" w:lineRule="atLeast"/>
              <w:jc w:val="left"/>
              <w:rPr>
                <w:rFonts w:eastAsia="Calibri" w:cs="Arial"/>
                <w:i/>
                <w:sz w:val="18"/>
                <w:szCs w:val="16"/>
                <w:lang w:val="nl-BE"/>
              </w:rPr>
            </w:pPr>
          </w:p>
          <w:p w:rsidR="00A45935" w:rsidRPr="000D7890" w:rsidRDefault="00A45935" w:rsidP="00F73706">
            <w:pPr>
              <w:spacing w:line="220" w:lineRule="atLeast"/>
              <w:jc w:val="left"/>
              <w:rPr>
                <w:rFonts w:eastAsia="Calibri" w:cs="Arial"/>
                <w:i/>
                <w:sz w:val="18"/>
                <w:szCs w:val="16"/>
                <w:lang w:val="nl-BE"/>
              </w:rPr>
            </w:pPr>
          </w:p>
          <w:p w:rsidR="00A45935" w:rsidRPr="00E05D08" w:rsidRDefault="00A45935" w:rsidP="00F73706">
            <w:pPr>
              <w:spacing w:line="220" w:lineRule="atLeast"/>
              <w:jc w:val="left"/>
              <w:rPr>
                <w:rFonts w:eastAsia="Calibri" w:cs="Arial"/>
                <w:i/>
                <w:sz w:val="18"/>
                <w:szCs w:val="16"/>
              </w:rPr>
            </w:pPr>
            <w:r>
              <w:rPr>
                <w:i/>
                <w:sz w:val="18"/>
                <w:szCs w:val="16"/>
              </w:rPr>
              <w:t xml:space="preserve">Aanvullend beoordelingscriterium: Leerplatforms en andere soorten </w:t>
            </w:r>
            <w:r>
              <w:rPr>
                <w:i/>
                <w:sz w:val="18"/>
                <w:szCs w:val="16"/>
              </w:rPr>
              <w:lastRenderedPageBreak/>
              <w:t>institutionele ruimten die delen, reflectie en leren mogelijk maken, zijn ingesteld en versterkt.</w:t>
            </w:r>
          </w:p>
          <w:p w:rsidR="00A45935" w:rsidRPr="000D7890" w:rsidRDefault="00A45935" w:rsidP="00F73706">
            <w:pPr>
              <w:spacing w:line="220" w:lineRule="atLeast"/>
              <w:jc w:val="left"/>
              <w:rPr>
                <w:rFonts w:eastAsia="Calibri" w:cs="Arial"/>
                <w:i/>
                <w:sz w:val="18"/>
                <w:szCs w:val="16"/>
                <w:lang w:val="nl-BE"/>
              </w:rPr>
            </w:pPr>
          </w:p>
          <w:p w:rsidR="00A45935" w:rsidRPr="00385368" w:rsidRDefault="00A45935" w:rsidP="00F73706">
            <w:pPr>
              <w:spacing w:line="220" w:lineRule="atLeast"/>
              <w:jc w:val="left"/>
              <w:rPr>
                <w:rFonts w:cs="Arial"/>
                <w:sz w:val="18"/>
                <w:szCs w:val="16"/>
              </w:rPr>
            </w:pPr>
            <w:r>
              <w:rPr>
                <w:i/>
                <w:sz w:val="18"/>
                <w:szCs w:val="16"/>
              </w:rPr>
              <w:t xml:space="preserve">Aanvullend beoordelingscriterium: De stroom van informatie tussen verschillende actoren in het innovatiesysteem waarin de verandering zich heeft voorgedaan is verbeterd. </w:t>
            </w:r>
          </w:p>
        </w:tc>
        <w:tc>
          <w:tcPr>
            <w:tcW w:w="3302" w:type="dxa"/>
          </w:tcPr>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lastRenderedPageBreak/>
              <w:t>Aanvullende resultaatindicator:</w:t>
            </w:r>
            <w:r>
              <w:rPr>
                <w:i/>
                <w:color w:val="57825E"/>
                <w:sz w:val="18"/>
                <w:szCs w:val="16"/>
              </w:rPr>
              <w:t xml:space="preserve"> Aantal formele partnerschappen waarin het POP heeft bemiddeld die verband houden met de veranderingen in prioriteiten voor plattelandsontwikkeling waaraan het POP heeft bijgedragen. </w:t>
            </w:r>
          </w:p>
          <w:p w:rsidR="00A45935" w:rsidRPr="000D7890" w:rsidRDefault="00A45935" w:rsidP="00F73706">
            <w:pPr>
              <w:spacing w:line="220" w:lineRule="atLeast"/>
              <w:jc w:val="left"/>
              <w:rPr>
                <w:rFonts w:eastAsia="Calibri" w:cs="Arial"/>
                <w:i/>
                <w:color w:val="57825E"/>
                <w:sz w:val="18"/>
                <w:szCs w:val="16"/>
                <w:lang w:val="nl-BE"/>
              </w:rPr>
            </w:pPr>
          </w:p>
          <w:p w:rsidR="00A45935" w:rsidRPr="00385368" w:rsidRDefault="00A45935" w:rsidP="00F73706">
            <w:pPr>
              <w:spacing w:line="220" w:lineRule="atLeast"/>
              <w:jc w:val="left"/>
              <w:rPr>
                <w:rFonts w:cs="Arial"/>
                <w:sz w:val="18"/>
                <w:szCs w:val="16"/>
              </w:rPr>
            </w:pPr>
            <w:r>
              <w:rPr>
                <w:sz w:val="18"/>
                <w:szCs w:val="16"/>
              </w:rPr>
              <w:t xml:space="preserve">Procentuele toename van het aantal en de soorten partners die betrokken zijn bij samenwerkingsprojecten (werkdocument inzake CEQ voor POP 2014-2020). </w:t>
            </w:r>
          </w:p>
          <w:p w:rsidR="00A45935" w:rsidRPr="000D7890" w:rsidRDefault="00A45935" w:rsidP="00F73706">
            <w:pPr>
              <w:spacing w:line="220" w:lineRule="atLeast"/>
              <w:jc w:val="left"/>
              <w:rPr>
                <w:rFonts w:cs="Arial"/>
                <w:color w:val="57825E"/>
                <w:sz w:val="18"/>
                <w:szCs w:val="16"/>
                <w:lang w:val="nl-BE"/>
              </w:rPr>
            </w:pPr>
          </w:p>
          <w:p w:rsidR="00A45935" w:rsidRPr="00385368" w:rsidRDefault="00A45935" w:rsidP="00F73706">
            <w:pPr>
              <w:spacing w:line="220" w:lineRule="atLeast"/>
              <w:jc w:val="left"/>
              <w:rPr>
                <w:rFonts w:eastAsia="Calibri" w:cs="Arial"/>
                <w:color w:val="57825E"/>
                <w:sz w:val="18"/>
                <w:szCs w:val="16"/>
              </w:rPr>
            </w:pPr>
            <w:r>
              <w:rPr>
                <w:i/>
                <w:color w:val="57825E"/>
                <w:sz w:val="18"/>
                <w:szCs w:val="16"/>
                <w:u w:val="single"/>
              </w:rPr>
              <w:t>Aanvullende resultaatindicator:</w:t>
            </w:r>
            <w:r>
              <w:rPr>
                <w:i/>
                <w:color w:val="57825E"/>
                <w:sz w:val="18"/>
                <w:szCs w:val="16"/>
              </w:rPr>
              <w:t xml:space="preserve"> Aantal </w:t>
            </w:r>
            <w:r>
              <w:rPr>
                <w:i/>
                <w:color w:val="57825E"/>
                <w:sz w:val="18"/>
                <w:szCs w:val="16"/>
              </w:rPr>
              <w:lastRenderedPageBreak/>
              <w:t xml:space="preserve">en kwaliteit van innovatie-ondersteunende platforms en "ruimten" die het POP heeft opgezet of versterkt, bv. kennisgemeenschappen, innovatieplatforms, evenementen in het kader van reflectie en leren. </w:t>
            </w:r>
          </w:p>
          <w:p w:rsidR="00A45935" w:rsidRPr="000D7890" w:rsidRDefault="00A45935" w:rsidP="00F73706">
            <w:pPr>
              <w:spacing w:line="220" w:lineRule="atLeast"/>
              <w:jc w:val="left"/>
              <w:rPr>
                <w:rFonts w:eastAsia="Calibri" w:cs="Arial"/>
                <w:color w:val="57825E"/>
                <w:sz w:val="18"/>
                <w:szCs w:val="16"/>
                <w:lang w:val="nl-BE"/>
              </w:rPr>
            </w:pPr>
          </w:p>
          <w:p w:rsidR="00560E46" w:rsidRPr="000D7890" w:rsidRDefault="00560E46" w:rsidP="00F73706">
            <w:pPr>
              <w:spacing w:line="220" w:lineRule="atLeast"/>
              <w:jc w:val="left"/>
              <w:rPr>
                <w:rFonts w:eastAsia="Calibri" w:cs="Arial"/>
                <w:color w:val="57825E"/>
                <w:sz w:val="18"/>
                <w:szCs w:val="16"/>
                <w:lang w:val="nl-BE"/>
              </w:rPr>
            </w:pPr>
          </w:p>
          <w:p w:rsidR="00560E46" w:rsidRPr="000D7890" w:rsidRDefault="00560E46" w:rsidP="00F73706">
            <w:pPr>
              <w:spacing w:line="220" w:lineRule="atLeast"/>
              <w:jc w:val="left"/>
              <w:rPr>
                <w:rFonts w:eastAsia="Calibri" w:cs="Arial"/>
                <w:color w:val="57825E"/>
                <w:sz w:val="18"/>
                <w:szCs w:val="16"/>
                <w:lang w:val="nl-BE"/>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 xml:space="preserve">Aanvullende resultaatindicator: </w:t>
            </w:r>
            <w:r>
              <w:rPr>
                <w:i/>
                <w:color w:val="57825E"/>
                <w:sz w:val="18"/>
                <w:szCs w:val="16"/>
              </w:rPr>
              <w:t xml:space="preserve">Afname van de gemiddelde lengte van het netwerkpad en de netwerkdiversiteit (maatregelen voor sociale-netwerkanalyse). </w:t>
            </w:r>
          </w:p>
        </w:tc>
        <w:tc>
          <w:tcPr>
            <w:tcW w:w="2715" w:type="dxa"/>
          </w:tcPr>
          <w:p w:rsidR="00A45935" w:rsidRPr="00385368" w:rsidRDefault="00A45935" w:rsidP="00F73706">
            <w:pPr>
              <w:spacing w:line="220" w:lineRule="atLeast"/>
              <w:jc w:val="left"/>
              <w:rPr>
                <w:rFonts w:eastAsia="Calibri" w:cs="Arial"/>
                <w:sz w:val="18"/>
                <w:szCs w:val="16"/>
              </w:rPr>
            </w:pPr>
            <w:r>
              <w:rPr>
                <w:sz w:val="18"/>
                <w:szCs w:val="16"/>
              </w:rPr>
              <w:lastRenderedPageBreak/>
              <w:t>Informatie over formele relaties.</w:t>
            </w:r>
          </w:p>
          <w:p w:rsidR="00A45935" w:rsidRPr="000D7890" w:rsidRDefault="00A45935" w:rsidP="00F73706">
            <w:pPr>
              <w:spacing w:line="220" w:lineRule="atLeast"/>
              <w:jc w:val="left"/>
              <w:rPr>
                <w:rFonts w:eastAsia="Calibri" w:cs="Arial"/>
                <w:sz w:val="18"/>
                <w:szCs w:val="16"/>
                <w:lang w:val="nl-BE"/>
              </w:rPr>
            </w:pPr>
          </w:p>
          <w:p w:rsidR="00A45935" w:rsidRPr="000D7890" w:rsidRDefault="00A45935" w:rsidP="00F73706">
            <w:pPr>
              <w:spacing w:line="220" w:lineRule="atLeast"/>
              <w:jc w:val="left"/>
              <w:rPr>
                <w:rFonts w:eastAsia="Calibri" w:cs="Arial"/>
                <w:sz w:val="18"/>
                <w:szCs w:val="16"/>
                <w:lang w:val="nl-BE"/>
              </w:rPr>
            </w:pPr>
          </w:p>
          <w:p w:rsidR="00A45935" w:rsidRPr="000D7890" w:rsidRDefault="00A45935" w:rsidP="00F73706">
            <w:pPr>
              <w:spacing w:line="220" w:lineRule="atLeast"/>
              <w:jc w:val="left"/>
              <w:rPr>
                <w:rFonts w:eastAsia="Calibri" w:cs="Arial"/>
                <w:sz w:val="18"/>
                <w:szCs w:val="16"/>
                <w:lang w:val="nl-BE"/>
              </w:rPr>
            </w:pPr>
          </w:p>
          <w:p w:rsidR="00A45935" w:rsidRPr="000D7890" w:rsidRDefault="00A45935" w:rsidP="00F73706">
            <w:pPr>
              <w:spacing w:line="220" w:lineRule="atLeast"/>
              <w:jc w:val="left"/>
              <w:rPr>
                <w:rFonts w:eastAsia="Calibri" w:cs="Arial"/>
                <w:sz w:val="18"/>
                <w:szCs w:val="16"/>
                <w:lang w:val="nl-BE"/>
              </w:rPr>
            </w:pPr>
          </w:p>
          <w:p w:rsidR="004C624A" w:rsidRDefault="004C624A" w:rsidP="00F73706">
            <w:pPr>
              <w:spacing w:line="220" w:lineRule="atLeast"/>
              <w:jc w:val="left"/>
              <w:rPr>
                <w:sz w:val="18"/>
                <w:szCs w:val="16"/>
              </w:rPr>
            </w:pPr>
          </w:p>
          <w:p w:rsidR="004C624A" w:rsidRDefault="004C624A" w:rsidP="00F73706">
            <w:pPr>
              <w:spacing w:line="220" w:lineRule="atLeast"/>
              <w:jc w:val="left"/>
              <w:rPr>
                <w:sz w:val="18"/>
                <w:szCs w:val="16"/>
              </w:rPr>
            </w:pPr>
          </w:p>
          <w:p w:rsidR="00A45935" w:rsidRPr="00385368" w:rsidRDefault="00A45935" w:rsidP="00F73706">
            <w:pPr>
              <w:spacing w:line="220" w:lineRule="atLeast"/>
              <w:jc w:val="left"/>
              <w:rPr>
                <w:rFonts w:eastAsia="Calibri" w:cs="Arial"/>
                <w:sz w:val="18"/>
                <w:szCs w:val="16"/>
              </w:rPr>
            </w:pPr>
            <w:r>
              <w:rPr>
                <w:sz w:val="18"/>
                <w:szCs w:val="16"/>
              </w:rPr>
              <w:t xml:space="preserve">Gegevens over aantal en soort partners in samenwerkingsprojecten. </w:t>
            </w:r>
          </w:p>
          <w:p w:rsidR="00A45935" w:rsidRPr="000D7890" w:rsidRDefault="00A45935" w:rsidP="00F73706">
            <w:pPr>
              <w:spacing w:line="220" w:lineRule="atLeast"/>
              <w:jc w:val="left"/>
              <w:rPr>
                <w:rFonts w:eastAsia="Calibri" w:cs="Arial"/>
                <w:sz w:val="18"/>
                <w:szCs w:val="16"/>
                <w:lang w:val="nl-BE"/>
              </w:rPr>
            </w:pPr>
          </w:p>
          <w:p w:rsidR="00A45935" w:rsidRPr="000D7890" w:rsidRDefault="00A45935" w:rsidP="00F73706">
            <w:pPr>
              <w:spacing w:line="220" w:lineRule="atLeast"/>
              <w:jc w:val="left"/>
              <w:rPr>
                <w:rFonts w:eastAsia="Calibri" w:cs="Arial"/>
                <w:sz w:val="18"/>
                <w:szCs w:val="16"/>
                <w:lang w:val="nl-BE"/>
              </w:rPr>
            </w:pPr>
          </w:p>
          <w:p w:rsidR="004C624A" w:rsidRDefault="004C624A" w:rsidP="00F73706">
            <w:pPr>
              <w:spacing w:line="220" w:lineRule="atLeast"/>
              <w:jc w:val="left"/>
              <w:rPr>
                <w:sz w:val="18"/>
                <w:szCs w:val="16"/>
              </w:rPr>
            </w:pPr>
          </w:p>
          <w:p w:rsidR="00A45935" w:rsidRPr="00385368" w:rsidRDefault="00A45935" w:rsidP="00F73706">
            <w:pPr>
              <w:spacing w:line="220" w:lineRule="atLeast"/>
              <w:jc w:val="left"/>
              <w:rPr>
                <w:rFonts w:eastAsia="Calibri" w:cs="Arial"/>
                <w:sz w:val="18"/>
                <w:szCs w:val="16"/>
              </w:rPr>
            </w:pPr>
            <w:r>
              <w:rPr>
                <w:sz w:val="18"/>
                <w:szCs w:val="16"/>
              </w:rPr>
              <w:t xml:space="preserve">Informatie over door het POP </w:t>
            </w:r>
            <w:r>
              <w:rPr>
                <w:sz w:val="18"/>
                <w:szCs w:val="16"/>
              </w:rPr>
              <w:lastRenderedPageBreak/>
              <w:t>opgezette platforms.</w:t>
            </w:r>
          </w:p>
          <w:p w:rsidR="00A45935" w:rsidRPr="000D7890" w:rsidRDefault="00A45935" w:rsidP="00F73706">
            <w:pPr>
              <w:spacing w:line="220" w:lineRule="atLeast"/>
              <w:jc w:val="left"/>
              <w:rPr>
                <w:rFonts w:eastAsia="Calibri" w:cs="Arial"/>
                <w:sz w:val="18"/>
                <w:szCs w:val="16"/>
                <w:lang w:val="nl-BE"/>
              </w:rPr>
            </w:pPr>
          </w:p>
          <w:p w:rsidR="00A45935" w:rsidRPr="000D7890" w:rsidRDefault="00A45935" w:rsidP="00F73706">
            <w:pPr>
              <w:spacing w:line="220" w:lineRule="atLeast"/>
              <w:jc w:val="left"/>
              <w:rPr>
                <w:rFonts w:eastAsia="Calibri" w:cs="Arial"/>
                <w:sz w:val="18"/>
                <w:szCs w:val="16"/>
                <w:lang w:val="nl-BE"/>
              </w:rPr>
            </w:pPr>
          </w:p>
          <w:p w:rsidR="00A45935" w:rsidRPr="000D7890" w:rsidRDefault="00A45935" w:rsidP="00F73706">
            <w:pPr>
              <w:spacing w:line="220" w:lineRule="atLeast"/>
              <w:jc w:val="left"/>
              <w:rPr>
                <w:rFonts w:eastAsia="Calibri" w:cs="Arial"/>
                <w:sz w:val="18"/>
                <w:szCs w:val="16"/>
                <w:lang w:val="nl-BE"/>
              </w:rPr>
            </w:pPr>
          </w:p>
          <w:p w:rsidR="00A45935" w:rsidRDefault="00A45935" w:rsidP="00F73706">
            <w:pPr>
              <w:spacing w:line="220" w:lineRule="atLeast"/>
              <w:jc w:val="left"/>
              <w:rPr>
                <w:rFonts w:eastAsia="Calibri" w:cs="Arial"/>
                <w:sz w:val="18"/>
                <w:szCs w:val="16"/>
                <w:lang w:val="nl-BE"/>
              </w:rPr>
            </w:pPr>
          </w:p>
          <w:p w:rsidR="004C624A" w:rsidRPr="000D7890" w:rsidRDefault="004C624A" w:rsidP="00F73706">
            <w:pPr>
              <w:spacing w:line="220" w:lineRule="atLeast"/>
              <w:jc w:val="left"/>
              <w:rPr>
                <w:rFonts w:eastAsia="Calibri" w:cs="Arial"/>
                <w:sz w:val="18"/>
                <w:szCs w:val="16"/>
                <w:lang w:val="nl-BE"/>
              </w:rPr>
            </w:pPr>
          </w:p>
          <w:p w:rsidR="00A45935" w:rsidRPr="000D7890" w:rsidRDefault="00A45935" w:rsidP="00F73706">
            <w:pPr>
              <w:spacing w:line="220" w:lineRule="atLeast"/>
              <w:jc w:val="left"/>
              <w:rPr>
                <w:rFonts w:eastAsia="Calibri" w:cs="Arial"/>
                <w:sz w:val="18"/>
                <w:szCs w:val="16"/>
                <w:lang w:val="nl-BE"/>
              </w:rPr>
            </w:pPr>
          </w:p>
          <w:p w:rsidR="00A45935" w:rsidRPr="000D7890" w:rsidRDefault="00A45935" w:rsidP="00F73706">
            <w:pPr>
              <w:spacing w:line="220" w:lineRule="atLeast"/>
              <w:jc w:val="left"/>
              <w:rPr>
                <w:rFonts w:eastAsia="Calibri" w:cs="Arial"/>
                <w:sz w:val="18"/>
                <w:szCs w:val="16"/>
                <w:lang w:val="nl-BE"/>
              </w:rPr>
            </w:pPr>
          </w:p>
          <w:p w:rsidR="00560E46" w:rsidRPr="000D7890" w:rsidRDefault="00560E46" w:rsidP="00F73706">
            <w:pPr>
              <w:spacing w:line="220" w:lineRule="atLeast"/>
              <w:jc w:val="left"/>
              <w:rPr>
                <w:rFonts w:eastAsia="Calibri" w:cs="Arial"/>
                <w:sz w:val="18"/>
                <w:szCs w:val="16"/>
                <w:lang w:val="nl-BE"/>
              </w:rPr>
            </w:pPr>
          </w:p>
          <w:p w:rsidR="00560E46" w:rsidRPr="000D7890" w:rsidRDefault="00560E46" w:rsidP="00F73706">
            <w:pPr>
              <w:spacing w:line="220" w:lineRule="atLeast"/>
              <w:jc w:val="left"/>
              <w:rPr>
                <w:rFonts w:eastAsia="Calibri" w:cs="Arial"/>
                <w:sz w:val="18"/>
                <w:szCs w:val="16"/>
                <w:lang w:val="nl-BE"/>
              </w:rPr>
            </w:pPr>
          </w:p>
          <w:p w:rsidR="00A45935" w:rsidRPr="00E05D08" w:rsidRDefault="00A45935" w:rsidP="00560E46">
            <w:pPr>
              <w:spacing w:line="220" w:lineRule="atLeast"/>
              <w:jc w:val="left"/>
              <w:rPr>
                <w:rFonts w:eastAsia="Calibri" w:cs="Arial"/>
                <w:sz w:val="18"/>
                <w:szCs w:val="16"/>
              </w:rPr>
            </w:pPr>
            <w:r>
              <w:rPr>
                <w:sz w:val="18"/>
                <w:szCs w:val="16"/>
              </w:rPr>
              <w:t xml:space="preserve">Informatie over netwerken. </w:t>
            </w:r>
          </w:p>
        </w:tc>
        <w:tc>
          <w:tcPr>
            <w:tcW w:w="2715" w:type="dxa"/>
          </w:tcPr>
          <w:p w:rsidR="00A45935" w:rsidRPr="00385368" w:rsidRDefault="00A45935" w:rsidP="00F73706">
            <w:pPr>
              <w:spacing w:line="220" w:lineRule="atLeast"/>
              <w:jc w:val="left"/>
              <w:rPr>
                <w:rFonts w:eastAsia="Calibri" w:cs="Arial"/>
                <w:sz w:val="18"/>
                <w:szCs w:val="16"/>
              </w:rPr>
            </w:pPr>
            <w:r>
              <w:rPr>
                <w:sz w:val="18"/>
                <w:szCs w:val="16"/>
              </w:rPr>
              <w:lastRenderedPageBreak/>
              <w:t xml:space="preserve">Interviews en focusgroepen. </w:t>
            </w:r>
          </w:p>
          <w:p w:rsidR="00A45935" w:rsidRPr="000D7890" w:rsidRDefault="00A45935" w:rsidP="00F73706">
            <w:pPr>
              <w:spacing w:line="220" w:lineRule="atLeast"/>
              <w:jc w:val="left"/>
              <w:rPr>
                <w:rFonts w:eastAsia="Calibri" w:cs="Arial"/>
                <w:sz w:val="18"/>
                <w:szCs w:val="16"/>
                <w:lang w:val="nl-BE"/>
              </w:rPr>
            </w:pPr>
          </w:p>
          <w:p w:rsidR="00A45935" w:rsidRPr="000D7890" w:rsidRDefault="00A45935" w:rsidP="00F73706">
            <w:pPr>
              <w:spacing w:line="220" w:lineRule="atLeast"/>
              <w:jc w:val="left"/>
              <w:rPr>
                <w:rFonts w:eastAsia="Calibri" w:cs="Arial"/>
                <w:sz w:val="18"/>
                <w:szCs w:val="16"/>
                <w:lang w:val="nl-BE"/>
              </w:rPr>
            </w:pPr>
          </w:p>
          <w:p w:rsidR="00A45935" w:rsidRPr="000D7890" w:rsidRDefault="00A45935" w:rsidP="00F73706">
            <w:pPr>
              <w:spacing w:line="220" w:lineRule="atLeast"/>
              <w:jc w:val="left"/>
              <w:rPr>
                <w:rFonts w:eastAsia="Calibri" w:cs="Arial"/>
                <w:sz w:val="18"/>
                <w:szCs w:val="16"/>
                <w:lang w:val="nl-BE"/>
              </w:rPr>
            </w:pPr>
          </w:p>
          <w:p w:rsidR="00A45935" w:rsidRPr="000D7890" w:rsidRDefault="00A45935" w:rsidP="00F73706">
            <w:pPr>
              <w:spacing w:line="220" w:lineRule="atLeast"/>
              <w:jc w:val="left"/>
              <w:rPr>
                <w:rFonts w:eastAsia="Calibri" w:cs="Arial"/>
                <w:sz w:val="18"/>
                <w:szCs w:val="16"/>
                <w:lang w:val="nl-BE"/>
              </w:rPr>
            </w:pPr>
          </w:p>
          <w:p w:rsidR="00A45935" w:rsidRPr="000D7890" w:rsidRDefault="00A45935" w:rsidP="00F73706">
            <w:pPr>
              <w:spacing w:line="220" w:lineRule="atLeast"/>
              <w:jc w:val="left"/>
              <w:rPr>
                <w:rFonts w:eastAsia="Calibri" w:cs="Arial"/>
                <w:sz w:val="18"/>
                <w:szCs w:val="16"/>
                <w:lang w:val="nl-BE"/>
              </w:rPr>
            </w:pPr>
          </w:p>
          <w:p w:rsidR="00A45935" w:rsidRPr="000D7890" w:rsidRDefault="00A45935" w:rsidP="00F73706">
            <w:pPr>
              <w:spacing w:line="220" w:lineRule="atLeast"/>
              <w:jc w:val="left"/>
              <w:rPr>
                <w:rFonts w:eastAsia="Calibri" w:cs="Arial"/>
                <w:sz w:val="18"/>
                <w:szCs w:val="16"/>
                <w:lang w:val="nl-BE"/>
              </w:rPr>
            </w:pPr>
          </w:p>
          <w:p w:rsidR="004C624A" w:rsidRDefault="004C624A" w:rsidP="00F73706">
            <w:pPr>
              <w:spacing w:line="220" w:lineRule="atLeast"/>
              <w:jc w:val="left"/>
              <w:rPr>
                <w:sz w:val="18"/>
                <w:szCs w:val="16"/>
              </w:rPr>
            </w:pPr>
          </w:p>
          <w:p w:rsidR="00A45935" w:rsidRPr="00385368" w:rsidRDefault="00A45935" w:rsidP="00F73706">
            <w:pPr>
              <w:spacing w:line="220" w:lineRule="atLeast"/>
              <w:jc w:val="left"/>
              <w:rPr>
                <w:rFonts w:eastAsia="Calibri" w:cs="Arial"/>
                <w:sz w:val="18"/>
                <w:szCs w:val="16"/>
              </w:rPr>
            </w:pPr>
            <w:r>
              <w:rPr>
                <w:sz w:val="18"/>
                <w:szCs w:val="16"/>
              </w:rPr>
              <w:t>POP-monitoringsysteem.</w:t>
            </w:r>
          </w:p>
          <w:p w:rsidR="00A45935" w:rsidRPr="000D7890" w:rsidRDefault="00A45935" w:rsidP="00F73706">
            <w:pPr>
              <w:spacing w:line="220" w:lineRule="atLeast"/>
              <w:jc w:val="left"/>
              <w:rPr>
                <w:rFonts w:eastAsia="Calibri" w:cs="Arial"/>
                <w:sz w:val="18"/>
                <w:szCs w:val="16"/>
                <w:lang w:val="nl-BE"/>
              </w:rPr>
            </w:pPr>
          </w:p>
          <w:p w:rsidR="00A45935" w:rsidRPr="000D7890" w:rsidRDefault="00A45935" w:rsidP="00F73706">
            <w:pPr>
              <w:spacing w:line="220" w:lineRule="atLeast"/>
              <w:jc w:val="left"/>
              <w:rPr>
                <w:rFonts w:eastAsia="Calibri" w:cs="Arial"/>
                <w:sz w:val="18"/>
                <w:szCs w:val="16"/>
                <w:lang w:val="nl-BE"/>
              </w:rPr>
            </w:pPr>
          </w:p>
          <w:p w:rsidR="00A45935" w:rsidRDefault="00A45935" w:rsidP="00F73706">
            <w:pPr>
              <w:spacing w:line="220" w:lineRule="atLeast"/>
              <w:jc w:val="left"/>
              <w:rPr>
                <w:rFonts w:eastAsia="Calibri" w:cs="Arial"/>
                <w:sz w:val="18"/>
                <w:szCs w:val="16"/>
                <w:lang w:val="nl-BE"/>
              </w:rPr>
            </w:pPr>
          </w:p>
          <w:p w:rsidR="004C624A" w:rsidRDefault="004C624A" w:rsidP="00F73706">
            <w:pPr>
              <w:spacing w:line="220" w:lineRule="atLeast"/>
              <w:jc w:val="left"/>
              <w:rPr>
                <w:rFonts w:eastAsia="Calibri" w:cs="Arial"/>
                <w:sz w:val="18"/>
                <w:szCs w:val="16"/>
                <w:lang w:val="nl-BE"/>
              </w:rPr>
            </w:pPr>
          </w:p>
          <w:p w:rsidR="004C624A" w:rsidRPr="000D7890" w:rsidRDefault="004C624A" w:rsidP="00F73706">
            <w:pPr>
              <w:spacing w:line="220" w:lineRule="atLeast"/>
              <w:jc w:val="left"/>
              <w:rPr>
                <w:rFonts w:eastAsia="Calibri" w:cs="Arial"/>
                <w:sz w:val="18"/>
                <w:szCs w:val="16"/>
                <w:lang w:val="nl-BE"/>
              </w:rPr>
            </w:pPr>
          </w:p>
          <w:p w:rsidR="00A45935" w:rsidRPr="00385368" w:rsidRDefault="00A45935" w:rsidP="00F73706">
            <w:pPr>
              <w:spacing w:line="220" w:lineRule="atLeast"/>
              <w:jc w:val="left"/>
              <w:rPr>
                <w:rFonts w:eastAsia="Calibri" w:cs="Arial"/>
                <w:sz w:val="18"/>
                <w:szCs w:val="16"/>
              </w:rPr>
            </w:pPr>
            <w:r>
              <w:rPr>
                <w:sz w:val="18"/>
                <w:szCs w:val="16"/>
              </w:rPr>
              <w:t xml:space="preserve">Interviews en focusgroepen. </w:t>
            </w:r>
          </w:p>
          <w:p w:rsidR="00A45935" w:rsidRPr="000D7890" w:rsidRDefault="00A45935" w:rsidP="00F73706">
            <w:pPr>
              <w:spacing w:line="220" w:lineRule="atLeast"/>
              <w:jc w:val="left"/>
              <w:rPr>
                <w:rFonts w:eastAsia="Calibri" w:cs="Arial"/>
                <w:sz w:val="18"/>
                <w:szCs w:val="16"/>
                <w:lang w:val="nl-BE"/>
              </w:rPr>
            </w:pPr>
          </w:p>
          <w:p w:rsidR="00A45935" w:rsidRPr="000D7890" w:rsidRDefault="00A45935" w:rsidP="00F73706">
            <w:pPr>
              <w:spacing w:line="220" w:lineRule="atLeast"/>
              <w:jc w:val="left"/>
              <w:rPr>
                <w:rFonts w:eastAsia="Calibri" w:cs="Arial"/>
                <w:sz w:val="18"/>
                <w:szCs w:val="16"/>
                <w:lang w:val="nl-BE"/>
              </w:rPr>
            </w:pPr>
          </w:p>
          <w:p w:rsidR="00A45935" w:rsidRPr="000D7890" w:rsidRDefault="00A45935" w:rsidP="00F73706">
            <w:pPr>
              <w:spacing w:line="220" w:lineRule="atLeast"/>
              <w:jc w:val="left"/>
              <w:rPr>
                <w:rFonts w:eastAsia="Calibri" w:cs="Arial"/>
                <w:sz w:val="18"/>
                <w:szCs w:val="16"/>
                <w:lang w:val="nl-BE"/>
              </w:rPr>
            </w:pPr>
          </w:p>
          <w:p w:rsidR="00A45935" w:rsidRPr="000D7890" w:rsidRDefault="00A45935" w:rsidP="00F73706">
            <w:pPr>
              <w:spacing w:line="220" w:lineRule="atLeast"/>
              <w:jc w:val="left"/>
              <w:rPr>
                <w:rFonts w:eastAsia="Calibri" w:cs="Arial"/>
                <w:sz w:val="18"/>
                <w:szCs w:val="16"/>
                <w:lang w:val="nl-BE"/>
              </w:rPr>
            </w:pPr>
          </w:p>
          <w:p w:rsidR="00A45935" w:rsidRPr="000D7890" w:rsidRDefault="00A45935" w:rsidP="00F73706">
            <w:pPr>
              <w:spacing w:line="220" w:lineRule="atLeast"/>
              <w:jc w:val="left"/>
              <w:rPr>
                <w:rFonts w:eastAsia="Calibri" w:cs="Arial"/>
                <w:sz w:val="18"/>
                <w:szCs w:val="16"/>
                <w:lang w:val="nl-BE"/>
              </w:rPr>
            </w:pPr>
          </w:p>
          <w:p w:rsidR="00A45935" w:rsidRPr="000D7890" w:rsidRDefault="00A45935" w:rsidP="00F73706">
            <w:pPr>
              <w:spacing w:line="220" w:lineRule="atLeast"/>
              <w:jc w:val="left"/>
              <w:rPr>
                <w:rFonts w:eastAsia="Calibri" w:cs="Arial"/>
                <w:sz w:val="18"/>
                <w:szCs w:val="16"/>
                <w:lang w:val="nl-BE"/>
              </w:rPr>
            </w:pPr>
          </w:p>
          <w:p w:rsidR="00A45935" w:rsidRDefault="00A45935" w:rsidP="00F73706">
            <w:pPr>
              <w:spacing w:line="220" w:lineRule="atLeast"/>
              <w:jc w:val="left"/>
              <w:rPr>
                <w:rFonts w:eastAsia="Calibri" w:cs="Arial"/>
                <w:sz w:val="18"/>
                <w:szCs w:val="16"/>
                <w:lang w:val="nl-BE"/>
              </w:rPr>
            </w:pPr>
          </w:p>
          <w:p w:rsidR="004C624A" w:rsidRPr="000D7890" w:rsidRDefault="004C624A" w:rsidP="00F73706">
            <w:pPr>
              <w:spacing w:line="220" w:lineRule="atLeast"/>
              <w:jc w:val="left"/>
              <w:rPr>
                <w:rFonts w:eastAsia="Calibri" w:cs="Arial"/>
                <w:sz w:val="18"/>
                <w:szCs w:val="16"/>
                <w:lang w:val="nl-BE"/>
              </w:rPr>
            </w:pPr>
          </w:p>
          <w:p w:rsidR="00560E46" w:rsidRPr="000D7890" w:rsidRDefault="00560E46" w:rsidP="00F73706">
            <w:pPr>
              <w:spacing w:line="220" w:lineRule="atLeast"/>
              <w:jc w:val="left"/>
              <w:rPr>
                <w:rFonts w:eastAsia="Calibri" w:cs="Arial"/>
                <w:sz w:val="18"/>
                <w:szCs w:val="16"/>
                <w:lang w:val="nl-BE"/>
              </w:rPr>
            </w:pPr>
          </w:p>
          <w:p w:rsidR="00560E46" w:rsidRPr="000D7890" w:rsidRDefault="00560E46" w:rsidP="00F73706">
            <w:pPr>
              <w:spacing w:line="220" w:lineRule="atLeast"/>
              <w:jc w:val="left"/>
              <w:rPr>
                <w:rFonts w:eastAsia="Calibri" w:cs="Arial"/>
                <w:sz w:val="18"/>
                <w:szCs w:val="16"/>
                <w:lang w:val="nl-BE"/>
              </w:rPr>
            </w:pPr>
          </w:p>
          <w:p w:rsidR="00A45935" w:rsidRPr="00385368" w:rsidRDefault="00A45935" w:rsidP="00560E46">
            <w:pPr>
              <w:spacing w:line="220" w:lineRule="atLeast"/>
              <w:jc w:val="left"/>
              <w:rPr>
                <w:rFonts w:eastAsia="Calibri" w:cs="Arial"/>
                <w:sz w:val="18"/>
                <w:szCs w:val="16"/>
              </w:rPr>
            </w:pPr>
            <w:r>
              <w:rPr>
                <w:sz w:val="18"/>
                <w:szCs w:val="16"/>
              </w:rPr>
              <w:t>Informatie uit SNA.</w:t>
            </w:r>
          </w:p>
        </w:tc>
      </w:tr>
      <w:tr w:rsidR="00A45935" w:rsidRPr="00E05D08" w:rsidTr="00F73706">
        <w:trPr>
          <w:trHeight w:val="4850"/>
        </w:trPr>
        <w:tc>
          <w:tcPr>
            <w:tcW w:w="2988" w:type="dxa"/>
          </w:tcPr>
          <w:p w:rsidR="00A45935" w:rsidRPr="00385368" w:rsidRDefault="00A45935" w:rsidP="00F73706">
            <w:pPr>
              <w:spacing w:line="220" w:lineRule="atLeast"/>
              <w:jc w:val="left"/>
              <w:rPr>
                <w:rFonts w:cs="Arial"/>
                <w:i/>
                <w:sz w:val="18"/>
                <w:szCs w:val="16"/>
              </w:rPr>
            </w:pPr>
            <w:r>
              <w:rPr>
                <w:i/>
                <w:sz w:val="18"/>
                <w:szCs w:val="16"/>
              </w:rPr>
              <w:lastRenderedPageBreak/>
              <w:t>In hoeverre heeft het POP innovatie bevorderd door een faciliterende omgeving voor innovatie te scheppen (traject 3)?</w:t>
            </w:r>
          </w:p>
        </w:tc>
        <w:tc>
          <w:tcPr>
            <w:tcW w:w="2127" w:type="dxa"/>
          </w:tcPr>
          <w:p w:rsidR="00A45935" w:rsidRPr="00E05D08" w:rsidRDefault="00A45935" w:rsidP="00F73706">
            <w:pPr>
              <w:spacing w:line="220" w:lineRule="atLeast"/>
              <w:jc w:val="left"/>
              <w:rPr>
                <w:rFonts w:eastAsia="Calibri" w:cs="Arial"/>
                <w:i/>
                <w:sz w:val="18"/>
                <w:szCs w:val="16"/>
              </w:rPr>
            </w:pPr>
            <w:r>
              <w:rPr>
                <w:i/>
                <w:sz w:val="18"/>
                <w:szCs w:val="16"/>
              </w:rPr>
              <w:t>Aanvullend beoordelingscriterium: Het POP heeft beleid beïnvloed dat de veranderingen waaraan het POP heeft bijgedragen ondersteunt.</w:t>
            </w:r>
          </w:p>
          <w:p w:rsidR="00A45935" w:rsidRPr="000D7890" w:rsidRDefault="00A45935" w:rsidP="00F73706">
            <w:pPr>
              <w:spacing w:line="220" w:lineRule="atLeast"/>
              <w:jc w:val="left"/>
              <w:rPr>
                <w:rFonts w:eastAsia="Calibri" w:cs="Arial"/>
                <w:i/>
                <w:sz w:val="18"/>
                <w:szCs w:val="16"/>
                <w:lang w:val="nl-BE"/>
              </w:rPr>
            </w:pPr>
          </w:p>
          <w:p w:rsidR="00A45935" w:rsidRPr="00E05D08" w:rsidRDefault="00A45935" w:rsidP="00F73706">
            <w:pPr>
              <w:spacing w:line="220" w:lineRule="atLeast"/>
              <w:jc w:val="left"/>
              <w:rPr>
                <w:rFonts w:eastAsia="Calibri" w:cs="Arial"/>
                <w:i/>
                <w:sz w:val="18"/>
                <w:szCs w:val="16"/>
              </w:rPr>
            </w:pPr>
            <w:r>
              <w:rPr>
                <w:i/>
                <w:sz w:val="18"/>
                <w:szCs w:val="16"/>
              </w:rPr>
              <w:t xml:space="preserve">Aanvullend beoordelingscriterium: Het POP heeft mogelijkheden geschapen voor opleiding en uitwisseling van innovatieve praktijken. </w:t>
            </w:r>
          </w:p>
          <w:p w:rsidR="00A45935" w:rsidRPr="000D7890" w:rsidRDefault="00A45935" w:rsidP="00F73706">
            <w:pPr>
              <w:spacing w:line="220" w:lineRule="atLeast"/>
              <w:jc w:val="left"/>
              <w:rPr>
                <w:rFonts w:eastAsia="Calibri" w:cs="Arial"/>
                <w:i/>
                <w:sz w:val="18"/>
                <w:szCs w:val="16"/>
                <w:lang w:val="nl-BE"/>
              </w:rPr>
            </w:pPr>
          </w:p>
          <w:p w:rsidR="00A45935" w:rsidRPr="00E05D08" w:rsidRDefault="00A45935" w:rsidP="00F73706">
            <w:pPr>
              <w:spacing w:line="220" w:lineRule="atLeast"/>
              <w:jc w:val="left"/>
              <w:rPr>
                <w:rFonts w:eastAsia="Calibri" w:cs="Arial"/>
                <w:i/>
                <w:sz w:val="18"/>
                <w:szCs w:val="16"/>
              </w:rPr>
            </w:pPr>
            <w:r>
              <w:rPr>
                <w:i/>
                <w:sz w:val="18"/>
                <w:szCs w:val="16"/>
              </w:rPr>
              <w:t xml:space="preserve">Aanvullend beoordelingscriterium: Het POP heeft interactie tussen (nationale/grensoverschrijdende) actoren mogelijk gemaakt om innovatie te bevorderen. </w:t>
            </w:r>
          </w:p>
          <w:p w:rsidR="00A45935" w:rsidRPr="000D7890" w:rsidRDefault="00A45935" w:rsidP="00F73706">
            <w:pPr>
              <w:spacing w:line="220" w:lineRule="atLeast"/>
              <w:jc w:val="left"/>
              <w:rPr>
                <w:rFonts w:eastAsia="Calibri" w:cs="Arial"/>
                <w:i/>
                <w:sz w:val="18"/>
                <w:szCs w:val="16"/>
                <w:lang w:val="nl-BE"/>
              </w:rPr>
            </w:pPr>
          </w:p>
          <w:p w:rsidR="00A45935" w:rsidRPr="00385368" w:rsidRDefault="00A45935" w:rsidP="00F73706">
            <w:pPr>
              <w:spacing w:line="220" w:lineRule="atLeast"/>
              <w:jc w:val="left"/>
              <w:rPr>
                <w:rFonts w:cs="Arial"/>
                <w:i/>
                <w:sz w:val="18"/>
                <w:szCs w:val="16"/>
              </w:rPr>
            </w:pPr>
            <w:r>
              <w:rPr>
                <w:i/>
                <w:sz w:val="18"/>
                <w:szCs w:val="16"/>
              </w:rPr>
              <w:t xml:space="preserve">Aanvullend beoordelingscriterium: Het POP heeft de nieuwe technologieën in plattelandsgebieden </w:t>
            </w:r>
            <w:r>
              <w:rPr>
                <w:i/>
                <w:sz w:val="18"/>
                <w:szCs w:val="16"/>
              </w:rPr>
              <w:lastRenderedPageBreak/>
              <w:t xml:space="preserve">ondersteund. </w:t>
            </w:r>
          </w:p>
        </w:tc>
        <w:tc>
          <w:tcPr>
            <w:tcW w:w="3302" w:type="dxa"/>
          </w:tcPr>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lastRenderedPageBreak/>
              <w:t>Aanvullende resultaatindicator:</w:t>
            </w:r>
            <w:r>
              <w:rPr>
                <w:i/>
                <w:color w:val="57825E"/>
                <w:sz w:val="18"/>
                <w:szCs w:val="16"/>
              </w:rPr>
              <w:t xml:space="preserve"> Aantal en soort beleidsgebieden die het POP heeft beïnvloed op het niveau van deelnemende organisaties en de faciliterende omgeving in ruime zin. </w:t>
            </w:r>
          </w:p>
          <w:p w:rsidR="00A45935" w:rsidRPr="000D7890" w:rsidRDefault="00A45935" w:rsidP="00F73706">
            <w:pPr>
              <w:spacing w:line="220" w:lineRule="atLeast"/>
              <w:jc w:val="left"/>
              <w:rPr>
                <w:rFonts w:eastAsia="Calibri" w:cs="Arial"/>
                <w:i/>
                <w:color w:val="57825E"/>
                <w:sz w:val="18"/>
                <w:szCs w:val="16"/>
                <w:lang w:val="nl-BE"/>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Aanvullende resultaatindicator:</w:t>
            </w:r>
            <w:r>
              <w:rPr>
                <w:i/>
                <w:color w:val="57825E"/>
                <w:sz w:val="18"/>
                <w:szCs w:val="16"/>
              </w:rPr>
              <w:t xml:space="preserve"> Aantal opleidingen en evenementen ter uitwisseling van innovatieve praktijken en het aandeel ervan in het totale aantal door het POP ondersteunde opleidingen/evenementen. </w:t>
            </w:r>
          </w:p>
          <w:p w:rsidR="00A45935" w:rsidRPr="000D7890" w:rsidRDefault="00A45935" w:rsidP="00F73706">
            <w:pPr>
              <w:spacing w:line="220" w:lineRule="atLeast"/>
              <w:jc w:val="left"/>
              <w:rPr>
                <w:rFonts w:eastAsia="Calibri" w:cs="Arial"/>
                <w:i/>
                <w:color w:val="57825E"/>
                <w:sz w:val="18"/>
                <w:szCs w:val="16"/>
                <w:lang w:val="nl-BE"/>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Aanvullende resultaatindicator:</w:t>
            </w:r>
            <w:r>
              <w:rPr>
                <w:i/>
                <w:color w:val="57825E"/>
                <w:sz w:val="18"/>
                <w:szCs w:val="16"/>
              </w:rPr>
              <w:t xml:space="preserve"> Aantal evenementen gericht op de instelling van contacten tussen door het POP ondersteunde innovatie-actoren. </w:t>
            </w:r>
          </w:p>
          <w:p w:rsidR="00A45935" w:rsidRPr="000D7890" w:rsidRDefault="00A45935" w:rsidP="00F73706">
            <w:pPr>
              <w:spacing w:line="220" w:lineRule="atLeast"/>
              <w:jc w:val="left"/>
              <w:rPr>
                <w:rFonts w:eastAsia="Calibri" w:cs="Arial"/>
                <w:i/>
                <w:color w:val="57825E"/>
                <w:sz w:val="18"/>
                <w:szCs w:val="16"/>
                <w:lang w:val="nl-BE"/>
              </w:rPr>
            </w:pPr>
          </w:p>
          <w:p w:rsidR="00A45935" w:rsidRPr="000D7890" w:rsidRDefault="00A45935" w:rsidP="00F73706">
            <w:pPr>
              <w:spacing w:line="220" w:lineRule="atLeast"/>
              <w:jc w:val="left"/>
              <w:rPr>
                <w:rFonts w:eastAsia="Calibri" w:cs="Arial"/>
                <w:i/>
                <w:color w:val="57825E"/>
                <w:sz w:val="18"/>
                <w:szCs w:val="16"/>
                <w:lang w:val="nl-BE"/>
              </w:rPr>
            </w:pPr>
          </w:p>
          <w:p w:rsidR="00560E46" w:rsidRPr="000D7890" w:rsidRDefault="00560E46" w:rsidP="00F73706">
            <w:pPr>
              <w:spacing w:line="220" w:lineRule="atLeast"/>
              <w:jc w:val="left"/>
              <w:rPr>
                <w:rFonts w:eastAsia="Calibri" w:cs="Arial"/>
                <w:i/>
                <w:color w:val="57825E"/>
                <w:sz w:val="18"/>
                <w:szCs w:val="16"/>
                <w:lang w:val="nl-BE"/>
              </w:rPr>
            </w:pPr>
          </w:p>
          <w:p w:rsidR="00A45935" w:rsidRPr="00385368" w:rsidRDefault="00A45935" w:rsidP="00F73706">
            <w:pPr>
              <w:spacing w:line="220" w:lineRule="atLeast"/>
              <w:jc w:val="left"/>
              <w:rPr>
                <w:rFonts w:eastAsia="Calibri" w:cs="Arial"/>
                <w:color w:val="57825E"/>
                <w:sz w:val="18"/>
                <w:szCs w:val="16"/>
              </w:rPr>
            </w:pPr>
            <w:r>
              <w:rPr>
                <w:i/>
                <w:color w:val="57825E"/>
                <w:sz w:val="18"/>
                <w:szCs w:val="16"/>
                <w:u w:val="single"/>
              </w:rPr>
              <w:t>Aanvullende resultaatindicator:</w:t>
            </w:r>
            <w:r>
              <w:rPr>
                <w:i/>
                <w:color w:val="57825E"/>
                <w:sz w:val="18"/>
                <w:szCs w:val="16"/>
              </w:rPr>
              <w:t xml:space="preserve"> Aantal door het POP ondersteunde nieuwe technologieën in plattelandsgebieden, </w:t>
            </w:r>
            <w:r>
              <w:rPr>
                <w:i/>
                <w:color w:val="57825E"/>
                <w:sz w:val="18"/>
                <w:szCs w:val="16"/>
              </w:rPr>
              <w:lastRenderedPageBreak/>
              <w:t xml:space="preserve">uitgesplitst per soort. </w:t>
            </w:r>
          </w:p>
        </w:tc>
        <w:tc>
          <w:tcPr>
            <w:tcW w:w="2715" w:type="dxa"/>
          </w:tcPr>
          <w:p w:rsidR="00A45935" w:rsidRPr="00385368" w:rsidRDefault="00A45935" w:rsidP="00560E46">
            <w:pPr>
              <w:spacing w:line="220" w:lineRule="atLeast"/>
              <w:jc w:val="left"/>
              <w:rPr>
                <w:rFonts w:eastAsia="Calibri" w:cs="Arial"/>
                <w:sz w:val="18"/>
                <w:szCs w:val="16"/>
              </w:rPr>
            </w:pPr>
            <w:r>
              <w:rPr>
                <w:sz w:val="18"/>
                <w:szCs w:val="16"/>
              </w:rPr>
              <w:lastRenderedPageBreak/>
              <w:t xml:space="preserve">Informatie over beleid. </w:t>
            </w:r>
          </w:p>
          <w:p w:rsidR="00A45935" w:rsidRPr="000D7890" w:rsidRDefault="00A45935" w:rsidP="00560E46">
            <w:pPr>
              <w:spacing w:line="220" w:lineRule="atLeast"/>
              <w:jc w:val="left"/>
              <w:rPr>
                <w:rFonts w:eastAsia="Calibri" w:cs="Arial"/>
                <w:sz w:val="18"/>
                <w:szCs w:val="16"/>
                <w:lang w:val="nl-BE"/>
              </w:rPr>
            </w:pPr>
          </w:p>
          <w:p w:rsidR="00A45935" w:rsidRPr="000D7890" w:rsidRDefault="00A45935" w:rsidP="00560E46">
            <w:pPr>
              <w:spacing w:line="220" w:lineRule="atLeast"/>
              <w:jc w:val="left"/>
              <w:rPr>
                <w:rFonts w:eastAsia="Calibri" w:cs="Arial"/>
                <w:sz w:val="18"/>
                <w:szCs w:val="16"/>
                <w:lang w:val="nl-BE"/>
              </w:rPr>
            </w:pPr>
          </w:p>
          <w:p w:rsidR="00560E46" w:rsidRPr="000D7890" w:rsidRDefault="00560E46" w:rsidP="00560E46">
            <w:pPr>
              <w:spacing w:line="220" w:lineRule="atLeast"/>
              <w:jc w:val="left"/>
              <w:rPr>
                <w:rFonts w:eastAsia="Calibri" w:cs="Arial"/>
                <w:sz w:val="18"/>
                <w:szCs w:val="16"/>
                <w:lang w:val="nl-BE"/>
              </w:rPr>
            </w:pPr>
          </w:p>
          <w:p w:rsidR="00560E46" w:rsidRPr="000D7890" w:rsidRDefault="00560E46" w:rsidP="00560E46">
            <w:pPr>
              <w:spacing w:line="220" w:lineRule="atLeast"/>
              <w:jc w:val="left"/>
              <w:rPr>
                <w:rFonts w:eastAsia="Calibri" w:cs="Arial"/>
                <w:sz w:val="18"/>
                <w:szCs w:val="16"/>
                <w:lang w:val="nl-BE"/>
              </w:rPr>
            </w:pPr>
          </w:p>
          <w:p w:rsidR="00560E46" w:rsidRPr="000D7890" w:rsidRDefault="00560E46" w:rsidP="00560E46">
            <w:pPr>
              <w:spacing w:line="220" w:lineRule="atLeast"/>
              <w:jc w:val="left"/>
              <w:rPr>
                <w:rFonts w:eastAsia="Calibri" w:cs="Arial"/>
                <w:sz w:val="18"/>
                <w:szCs w:val="16"/>
                <w:lang w:val="nl-BE"/>
              </w:rPr>
            </w:pPr>
          </w:p>
          <w:p w:rsidR="00A45935" w:rsidRPr="00385368" w:rsidRDefault="00A45935" w:rsidP="00560E46">
            <w:pPr>
              <w:spacing w:line="220" w:lineRule="atLeast"/>
              <w:jc w:val="left"/>
              <w:rPr>
                <w:rFonts w:eastAsia="Calibri" w:cs="Arial"/>
                <w:sz w:val="18"/>
                <w:szCs w:val="16"/>
              </w:rPr>
            </w:pPr>
            <w:r>
              <w:rPr>
                <w:sz w:val="18"/>
                <w:szCs w:val="16"/>
              </w:rPr>
              <w:t>Informatie over opleidingen en evenementen.</w:t>
            </w:r>
          </w:p>
          <w:p w:rsidR="00A45935" w:rsidRPr="000D7890" w:rsidRDefault="00A45935" w:rsidP="00560E46">
            <w:pPr>
              <w:spacing w:line="220" w:lineRule="atLeast"/>
              <w:jc w:val="left"/>
              <w:rPr>
                <w:rFonts w:eastAsia="Calibri" w:cs="Arial"/>
                <w:sz w:val="18"/>
                <w:szCs w:val="16"/>
                <w:lang w:val="nl-BE"/>
              </w:rPr>
            </w:pPr>
          </w:p>
          <w:p w:rsidR="00A45935" w:rsidRPr="000D7890" w:rsidRDefault="00A45935" w:rsidP="00560E46">
            <w:pPr>
              <w:spacing w:line="220" w:lineRule="atLeast"/>
              <w:jc w:val="left"/>
              <w:rPr>
                <w:rFonts w:eastAsia="Calibri" w:cs="Arial"/>
                <w:sz w:val="18"/>
                <w:szCs w:val="16"/>
                <w:lang w:val="nl-BE"/>
              </w:rPr>
            </w:pPr>
          </w:p>
          <w:p w:rsidR="00A45935" w:rsidRDefault="00A45935" w:rsidP="00560E46">
            <w:pPr>
              <w:spacing w:line="220" w:lineRule="atLeast"/>
              <w:jc w:val="left"/>
              <w:rPr>
                <w:rFonts w:eastAsia="Calibri" w:cs="Arial"/>
                <w:sz w:val="18"/>
                <w:szCs w:val="16"/>
                <w:lang w:val="nl-BE"/>
              </w:rPr>
            </w:pPr>
          </w:p>
          <w:p w:rsidR="004C624A" w:rsidRPr="000D7890" w:rsidRDefault="004C624A" w:rsidP="00560E46">
            <w:pPr>
              <w:spacing w:line="220" w:lineRule="atLeast"/>
              <w:jc w:val="left"/>
              <w:rPr>
                <w:rFonts w:eastAsia="Calibri" w:cs="Arial"/>
                <w:sz w:val="18"/>
                <w:szCs w:val="16"/>
                <w:lang w:val="nl-BE"/>
              </w:rPr>
            </w:pPr>
          </w:p>
          <w:p w:rsidR="00A45935" w:rsidRPr="000D7890" w:rsidRDefault="00A45935" w:rsidP="00560E46">
            <w:pPr>
              <w:spacing w:line="220" w:lineRule="atLeast"/>
              <w:jc w:val="left"/>
              <w:rPr>
                <w:rFonts w:eastAsia="Calibri" w:cs="Arial"/>
                <w:sz w:val="18"/>
                <w:szCs w:val="16"/>
                <w:lang w:val="nl-BE"/>
              </w:rPr>
            </w:pPr>
          </w:p>
          <w:p w:rsidR="00A45935" w:rsidRPr="00E05D08" w:rsidRDefault="00A45935" w:rsidP="00560E46">
            <w:pPr>
              <w:spacing w:line="220" w:lineRule="atLeast"/>
              <w:jc w:val="left"/>
              <w:rPr>
                <w:rFonts w:eastAsia="Calibri" w:cs="Arial"/>
                <w:sz w:val="18"/>
                <w:szCs w:val="16"/>
              </w:rPr>
            </w:pPr>
            <w:r>
              <w:rPr>
                <w:sz w:val="18"/>
                <w:szCs w:val="16"/>
              </w:rPr>
              <w:t xml:space="preserve">Informatie over nieuwe technologieën. </w:t>
            </w:r>
          </w:p>
        </w:tc>
        <w:tc>
          <w:tcPr>
            <w:tcW w:w="2715" w:type="dxa"/>
          </w:tcPr>
          <w:p w:rsidR="00A45935" w:rsidRPr="00385368" w:rsidRDefault="00A45935" w:rsidP="00560E46">
            <w:pPr>
              <w:spacing w:line="220" w:lineRule="atLeast"/>
              <w:jc w:val="left"/>
              <w:rPr>
                <w:rFonts w:eastAsia="Calibri" w:cs="Arial"/>
                <w:sz w:val="18"/>
                <w:szCs w:val="16"/>
              </w:rPr>
            </w:pPr>
            <w:r>
              <w:rPr>
                <w:sz w:val="18"/>
                <w:szCs w:val="16"/>
              </w:rPr>
              <w:t xml:space="preserve">Interviews en focusgroepen (bv. resultaatvergaring). </w:t>
            </w:r>
          </w:p>
          <w:p w:rsidR="00A45935" w:rsidRPr="000D7890" w:rsidRDefault="00A45935" w:rsidP="00560E46">
            <w:pPr>
              <w:spacing w:line="220" w:lineRule="atLeast"/>
              <w:jc w:val="left"/>
              <w:rPr>
                <w:rFonts w:eastAsia="Calibri" w:cs="Arial"/>
                <w:sz w:val="18"/>
                <w:szCs w:val="18"/>
                <w:lang w:val="nl-BE"/>
              </w:rPr>
            </w:pPr>
          </w:p>
          <w:p w:rsidR="00A45935" w:rsidRPr="000D7890" w:rsidRDefault="00A45935" w:rsidP="00560E46">
            <w:pPr>
              <w:spacing w:line="220" w:lineRule="atLeast"/>
              <w:jc w:val="left"/>
              <w:rPr>
                <w:rFonts w:eastAsia="Calibri" w:cs="Arial"/>
                <w:sz w:val="18"/>
                <w:szCs w:val="18"/>
                <w:lang w:val="nl-BE"/>
              </w:rPr>
            </w:pPr>
          </w:p>
          <w:p w:rsidR="00560E46" w:rsidRPr="000D7890" w:rsidRDefault="00560E46" w:rsidP="00560E46">
            <w:pPr>
              <w:spacing w:line="220" w:lineRule="atLeast"/>
              <w:jc w:val="left"/>
              <w:rPr>
                <w:rFonts w:eastAsia="Calibri" w:cs="Arial"/>
                <w:sz w:val="18"/>
                <w:szCs w:val="18"/>
                <w:lang w:val="nl-BE"/>
              </w:rPr>
            </w:pPr>
          </w:p>
          <w:p w:rsidR="00560E46" w:rsidRPr="000D7890" w:rsidRDefault="00560E46" w:rsidP="00560E46">
            <w:pPr>
              <w:spacing w:line="220" w:lineRule="atLeast"/>
              <w:jc w:val="left"/>
              <w:rPr>
                <w:rFonts w:eastAsia="Calibri" w:cs="Arial"/>
                <w:sz w:val="18"/>
                <w:szCs w:val="18"/>
                <w:lang w:val="nl-BE"/>
              </w:rPr>
            </w:pPr>
          </w:p>
          <w:p w:rsidR="00A45935" w:rsidRPr="00E05D08" w:rsidRDefault="00A45935" w:rsidP="00560E46">
            <w:pPr>
              <w:spacing w:line="220" w:lineRule="atLeast"/>
              <w:jc w:val="left"/>
              <w:rPr>
                <w:rFonts w:eastAsia="Calibri" w:cs="Arial"/>
                <w:sz w:val="18"/>
                <w:szCs w:val="18"/>
              </w:rPr>
            </w:pPr>
            <w:r>
              <w:rPr>
                <w:sz w:val="18"/>
                <w:szCs w:val="18"/>
              </w:rPr>
              <w:t>POP-monitoringsysteem.</w:t>
            </w:r>
          </w:p>
        </w:tc>
      </w:tr>
    </w:tbl>
    <w:p w:rsidR="00A45935" w:rsidRPr="00E05D08" w:rsidRDefault="00A45935" w:rsidP="00E05D08">
      <w:pPr>
        <w:spacing w:before="240" w:after="120" w:line="280" w:lineRule="atLeast"/>
        <w:ind w:left="720"/>
        <w:mirrorIndents/>
        <w:rPr>
          <w:rFonts w:eastAsia="Times New Roman" w:cs="Arial"/>
          <w:b/>
          <w:szCs w:val="18"/>
          <w:lang w:eastAsia="de-DE"/>
        </w:rPr>
      </w:pPr>
    </w:p>
    <w:p w:rsidR="00A45935" w:rsidRPr="00E05D08" w:rsidRDefault="00A45935" w:rsidP="00E05D08">
      <w:pPr>
        <w:spacing w:before="240" w:after="120" w:line="280" w:lineRule="atLeast"/>
        <w:ind w:left="720"/>
        <w:mirrorIndents/>
        <w:rPr>
          <w:rFonts w:eastAsia="Times New Roman" w:cs="Arial"/>
          <w:b/>
          <w:szCs w:val="18"/>
          <w:lang w:eastAsia="de-DE"/>
        </w:rPr>
      </w:pPr>
    </w:p>
    <w:p w:rsidR="00A45935" w:rsidRPr="00E05D08" w:rsidRDefault="00A45935" w:rsidP="008C0B17">
      <w:pPr>
        <w:numPr>
          <w:ilvl w:val="0"/>
          <w:numId w:val="46"/>
        </w:numPr>
        <w:spacing w:before="240" w:after="120" w:line="280" w:lineRule="atLeast"/>
        <w:rPr>
          <w:rFonts w:eastAsia="Times New Roman" w:cs="Arial"/>
          <w:b/>
          <w:szCs w:val="18"/>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435"/>
        </w:sectPr>
      </w:pPr>
    </w:p>
    <w:p w:rsidR="00A45935" w:rsidRPr="00E05D08" w:rsidRDefault="00A45935" w:rsidP="008C0B17">
      <w:pPr>
        <w:numPr>
          <w:ilvl w:val="0"/>
          <w:numId w:val="62"/>
        </w:numPr>
        <w:spacing w:before="120" w:after="120" w:line="280" w:lineRule="atLeast"/>
        <w:ind w:left="709" w:hanging="709"/>
        <w:mirrorIndents/>
        <w:rPr>
          <w:rFonts w:eastAsia="Times New Roman" w:cs="Times New Roman"/>
          <w:b/>
          <w:szCs w:val="20"/>
        </w:rPr>
      </w:pPr>
      <w:r>
        <w:rPr>
          <w:b/>
          <w:szCs w:val="20"/>
        </w:rPr>
        <w:lastRenderedPageBreak/>
        <w:t>Voorgestelde evaluatiemethodologie</w:t>
      </w:r>
    </w:p>
    <w:p w:rsidR="00A45935" w:rsidRPr="00E05D08" w:rsidRDefault="00A45935" w:rsidP="00E05D08">
      <w:pPr>
        <w:spacing w:after="120" w:line="280" w:lineRule="atLeast"/>
        <w:mirrorIndents/>
        <w:rPr>
          <w:rFonts w:eastAsia="Times New Roman" w:cs="Arial"/>
          <w:szCs w:val="20"/>
        </w:rPr>
      </w:pPr>
      <w:r>
        <w:t xml:space="preserve">Als evaluatiemethode ter beantwoording van CEQ nr. 30 wordt de </w:t>
      </w:r>
      <w:r>
        <w:rPr>
          <w:b/>
          <w:szCs w:val="20"/>
        </w:rPr>
        <w:t>methode van de casestudy</w:t>
      </w:r>
      <w:r>
        <w:t xml:space="preserve"> voorgesteld. Beoordelaars wordt geadviseerd de volgende stappen te volgen om de beoordeling uit te voeren:</w:t>
      </w:r>
    </w:p>
    <w:p w:rsidR="00A45935" w:rsidRDefault="00A45935" w:rsidP="000026C6">
      <w:pPr>
        <w:pStyle w:val="Hlistbullet"/>
      </w:pPr>
      <w:r>
        <w:rPr>
          <w:b/>
        </w:rPr>
        <w:t>STAP 1 -</w:t>
      </w:r>
      <w:r>
        <w:t xml:space="preserve"> </w:t>
      </w:r>
      <w:r>
        <w:rPr>
          <w:b/>
        </w:rPr>
        <w:t>Vaststellen aan welke significante verandering(en) het POP kan beweren een bijdrage te hebben geleverd door via een of meer van de drie trajecten innovatie te bevorderen</w:t>
      </w:r>
      <w:r>
        <w:t>. Dit kan gebeuren met behulp van de antwoorden op CEQ nr. 22 tot en met 29 (CEQ met betrekking tot EU 2020 en de algemene GLB-doelstellingen), door personeel te ondervragen en/of een controle aan de hand van stukken of projectdocumentatie. Het POP kan bijvoorbeeld beweren te hebben bijgedragen aan een significante verandering van winstgevendheid in de landbouw door een nieuwe landbouwmachine te ontwikkelen, die vervolgens door landbouwers op grote schaal is ingevoerd en gebruikt. Bij het zoeken naar significante veranderingen moet rekening worden gehouden met voorspellingen over de waarschijnlijkheid van invoering die gedaan zijn bij de vaststelling van het innovatiepotentieel aan het begin van het project.</w:t>
      </w:r>
    </w:p>
    <w:p w:rsidR="00320AA0" w:rsidRPr="00F74623" w:rsidRDefault="00320AA0" w:rsidP="00320AA0">
      <w:pPr>
        <w:pStyle w:val="Hlistbullet"/>
        <w:numPr>
          <w:ilvl w:val="0"/>
          <w:numId w:val="0"/>
        </w:numPr>
        <w:ind w:left="567"/>
      </w:pPr>
      <w:r>
        <w:rPr>
          <w:noProof/>
          <w:sz w:val="18"/>
          <w:lang w:val="en-GB" w:eastAsia="en-GB"/>
        </w:rPr>
        <mc:AlternateContent>
          <mc:Choice Requires="wps">
            <w:drawing>
              <wp:inline distT="0" distB="0" distL="0" distR="0" wp14:anchorId="3A35A608" wp14:editId="372F5547">
                <wp:extent cx="5374005" cy="3590925"/>
                <wp:effectExtent l="0" t="0" r="17145" b="28575"/>
                <wp:docPr id="719" name="Rectangle: Diagonal Corners Rounded 719"/>
                <wp:cNvGraphicFramePr/>
                <a:graphic xmlns:a="http://schemas.openxmlformats.org/drawingml/2006/main">
                  <a:graphicData uri="http://schemas.microsoft.com/office/word/2010/wordprocessingShape">
                    <wps:wsp>
                      <wps:cNvSpPr/>
                      <wps:spPr>
                        <a:xfrm>
                          <a:off x="0" y="0"/>
                          <a:ext cx="5374005" cy="3590925"/>
                        </a:xfrm>
                        <a:prstGeom prst="round2DiagRect">
                          <a:avLst>
                            <a:gd name="adj1" fmla="val 3961"/>
                            <a:gd name="adj2" fmla="val 0"/>
                          </a:avLst>
                        </a:prstGeom>
                        <a:noFill/>
                        <a:ln w="25400" cap="flat" cmpd="sng" algn="ctr">
                          <a:solidFill>
                            <a:srgbClr val="F07E31"/>
                          </a:solidFill>
                          <a:prstDash val="solid"/>
                        </a:ln>
                        <a:effectLst/>
                      </wps:spPr>
                      <wps:txbx>
                        <w:txbxContent>
                          <w:p w:rsidR="00891EED" w:rsidRPr="00253803" w:rsidRDefault="00891EED" w:rsidP="00320AA0">
                            <w:pPr>
                              <w:ind w:left="567" w:hanging="567"/>
                              <w:rPr>
                                <w:rFonts w:cs="Arial"/>
                                <w:color w:val="F07E31"/>
                                <w:sz w:val="18"/>
                                <w:szCs w:val="18"/>
                              </w:rPr>
                            </w:pPr>
                            <w:r>
                              <w:rPr>
                                <w:noProof/>
                                <w:szCs w:val="18"/>
                                <w:lang w:val="en-GB" w:eastAsia="en-GB"/>
                              </w:rPr>
                              <w:drawing>
                                <wp:inline distT="0" distB="0" distL="0" distR="0" wp14:anchorId="03609A6F" wp14:editId="2C114FBE">
                                  <wp:extent cx="353060" cy="359410"/>
                                  <wp:effectExtent l="0" t="0" r="8890" b="2540"/>
                                  <wp:docPr id="7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Een thematisch netwerk voor landbouw met een hoge natuurwaarde</w:t>
                            </w:r>
                            <w:r>
                              <w:rPr>
                                <w:color w:val="F07E31"/>
                                <w:sz w:val="18"/>
                                <w:szCs w:val="18"/>
                              </w:rPr>
                              <w:t xml:space="preserve"> </w:t>
                            </w:r>
                          </w:p>
                          <w:p w:rsidR="00891EED" w:rsidRPr="00253803" w:rsidRDefault="00891EED" w:rsidP="00320AA0">
                            <w:pPr>
                              <w:spacing w:line="280" w:lineRule="atLeast"/>
                              <w:rPr>
                                <w:rFonts w:cs="Arial"/>
                                <w:sz w:val="18"/>
                                <w:szCs w:val="18"/>
                              </w:rPr>
                            </w:pPr>
                            <w:r>
                              <w:rPr>
                                <w:sz w:val="18"/>
                                <w:szCs w:val="18"/>
                              </w:rPr>
                              <w:t xml:space="preserve">Als onderdeel van het Horizon 2020-onderzoeksproject </w:t>
                            </w:r>
                            <w:r>
                              <w:t>"</w:t>
                            </w:r>
                            <w:hyperlink r:id="rId95" w:history="1">
                              <w:r>
                                <w:rPr>
                                  <w:rStyle w:val="Hyperlink"/>
                                  <w:sz w:val="18"/>
                                  <w:szCs w:val="18"/>
                                </w:rPr>
                                <w:t>HNV link</w:t>
                              </w:r>
                            </w:hyperlink>
                            <w:r>
                              <w:t>" heeft een team van onderzoekers een beoordelingskader ontwikkeld om de referentietoestand te bepalen van HNV-gebieden waaraan innovatie een bijdrage zou kunnen leveren.</w:t>
                            </w:r>
                            <w:r>
                              <w:rPr>
                                <w:sz w:val="18"/>
                                <w:szCs w:val="18"/>
                              </w:rPr>
                              <w:t xml:space="preserve"> Voor deze beoordeling van de referentietoestand worden verschillende kenmerken geanalyseerd die verband houden met: </w:t>
                            </w:r>
                          </w:p>
                          <w:p w:rsidR="00891EED" w:rsidRPr="00253803" w:rsidRDefault="00891EED" w:rsidP="00320AA0">
                            <w:pPr>
                              <w:numPr>
                                <w:ilvl w:val="0"/>
                                <w:numId w:val="63"/>
                              </w:numPr>
                              <w:ind w:left="567" w:hanging="567"/>
                              <w:contextualSpacing/>
                              <w:rPr>
                                <w:rFonts w:cs="Arial"/>
                                <w:sz w:val="18"/>
                                <w:szCs w:val="18"/>
                              </w:rPr>
                            </w:pPr>
                            <w:r>
                              <w:rPr>
                                <w:sz w:val="18"/>
                                <w:szCs w:val="18"/>
                              </w:rPr>
                              <w:t>het landbouwecosysteem (bodem, klimaat en reliëf);</w:t>
                            </w:r>
                          </w:p>
                          <w:p w:rsidR="00891EED" w:rsidRPr="00253803" w:rsidRDefault="00891EED" w:rsidP="00320AA0">
                            <w:pPr>
                              <w:numPr>
                                <w:ilvl w:val="0"/>
                                <w:numId w:val="63"/>
                              </w:numPr>
                              <w:ind w:left="567" w:hanging="567"/>
                              <w:contextualSpacing/>
                              <w:rPr>
                                <w:rFonts w:cs="Arial"/>
                                <w:sz w:val="18"/>
                                <w:szCs w:val="18"/>
                              </w:rPr>
                            </w:pPr>
                            <w:r>
                              <w:rPr>
                                <w:sz w:val="18"/>
                                <w:szCs w:val="18"/>
                              </w:rPr>
                              <w:t>landbouwsystemen en hun dynamiek in agrarische systemen;</w:t>
                            </w:r>
                          </w:p>
                          <w:p w:rsidR="00891EED" w:rsidRPr="00253803" w:rsidRDefault="00891EED" w:rsidP="00320AA0">
                            <w:pPr>
                              <w:numPr>
                                <w:ilvl w:val="0"/>
                                <w:numId w:val="63"/>
                              </w:numPr>
                              <w:ind w:left="567" w:hanging="567"/>
                              <w:contextualSpacing/>
                              <w:rPr>
                                <w:rFonts w:cs="Arial"/>
                                <w:sz w:val="18"/>
                                <w:szCs w:val="18"/>
                              </w:rPr>
                            </w:pPr>
                            <w:r>
                              <w:rPr>
                                <w:sz w:val="18"/>
                                <w:szCs w:val="18"/>
                              </w:rPr>
                              <w:t xml:space="preserve">de context van het platteland en de drijvende krachten in ruimere zin (beleid, technologieën, maatschappelijke veranderingen); </w:t>
                            </w:r>
                          </w:p>
                          <w:p w:rsidR="00891EED" w:rsidRPr="00253803" w:rsidRDefault="00891EED" w:rsidP="00320AA0">
                            <w:pPr>
                              <w:numPr>
                                <w:ilvl w:val="0"/>
                                <w:numId w:val="63"/>
                              </w:numPr>
                              <w:ind w:left="567" w:hanging="567"/>
                              <w:contextualSpacing/>
                              <w:rPr>
                                <w:rFonts w:cs="Arial"/>
                                <w:sz w:val="18"/>
                                <w:szCs w:val="18"/>
                              </w:rPr>
                            </w:pPr>
                            <w:r>
                              <w:rPr>
                                <w:sz w:val="18"/>
                                <w:szCs w:val="18"/>
                              </w:rPr>
                              <w:t>horizontale kwesties (actoren en sociale organisatie).</w:t>
                            </w:r>
                          </w:p>
                          <w:p w:rsidR="00891EED" w:rsidRPr="000E5745" w:rsidRDefault="00891EED" w:rsidP="00320AA0">
                            <w:pPr>
                              <w:pStyle w:val="Hlistbullet"/>
                              <w:numPr>
                                <w:ilvl w:val="0"/>
                                <w:numId w:val="0"/>
                              </w:numPr>
                              <w:rPr>
                                <w:sz w:val="18"/>
                                <w:szCs w:val="18"/>
                              </w:rPr>
                            </w:pPr>
                            <w:r>
                              <w:rPr>
                                <w:sz w:val="18"/>
                                <w:szCs w:val="18"/>
                              </w:rPr>
                              <w:t xml:space="preserve">Om een referentiesituatie te bepalen zijn verschillende methoden gebruikt: 1.) beoordeling van het landbouwecosysteem 2.) analyse van het agrarische en landbouwsysteem 3.) analyse van het platteland 4.) analyse van actoren. De methodologie helpt om een contrafeitelijke situatie te scheppen met behulp waarvan zowel het proces als de gevolgen van in HNV-gebieden plaatsvindende innovaties beoordeeld kunnen worden. Een voorbeeld van de toepassing van deze methodologie is hier te vinden: </w:t>
                            </w:r>
                            <w:hyperlink r:id="rId96" w:history="1">
                              <w:r>
                                <w:rPr>
                                  <w:rStyle w:val="Hyperlink"/>
                                  <w:sz w:val="18"/>
                                  <w:szCs w:val="18"/>
                                </w:rPr>
                                <w:t>http://www.hnvlink.eu/download/D1.3BAcomplete.pdf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35A608" id="Rectangle: Diagonal Corners Rounded 719" o:spid="_x0000_s1055" style="width:423.15pt;height:282.75pt;visibility:visible;mso-wrap-style:square;mso-left-percent:-10001;mso-top-percent:-10001;mso-position-horizontal:absolute;mso-position-horizontal-relative:char;mso-position-vertical:absolute;mso-position-vertical-relative:line;mso-left-percent:-10001;mso-top-percent:-10001;v-text-anchor:middle" coordsize="5374005,3590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" adj="-11796480,,5400" path="m142237,l5374005,r,l5374005,3448688v,78555,-63682,142237,-142237,142237l,3590925r,l,142237c,63682,63682,,142237,xe" filled="f" strokecolor="#f07e31" strokeweight="2pt">
                <v:stroke joinstyle="miter"/>
                <v:formulas/>
                <v:path arrowok="t" o:connecttype="custom" o:connectlocs="142237,0;5374005,0;5374005,0;5374005,3448688;5231768,3590925;0,3590925;0,3590925;0,142237;142237,0" o:connectangles="0,0,0,0,0,0,0,0,0" textboxrect="0,0,5374005,3590925"/>
                <v:textbox>
                  <w:txbxContent>
                    <w:p w:rsidR="00891EED" w:rsidRPr="00253803" w:rsidRDefault="00891EED" w:rsidP="00320AA0">
                      <w:pPr>
                        <w:ind w:left="567" w:hanging="567"/>
                        <w:rPr>
                          <w:rFonts w:cs="Arial"/>
                          <w:color w:val="F07E31"/>
                          <w:sz w:val="18"/>
                          <w:szCs w:val="18"/>
                        </w:rPr>
                      </w:pPr>
                      <w:r>
                        <w:rPr>
                          <w:noProof/>
                          <w:szCs w:val="18"/>
                          <w:lang w:val="en-GB" w:eastAsia="en-GB"/>
                        </w:rPr>
                        <w:drawing>
                          <wp:inline distT="0" distB="0" distL="0" distR="0" wp14:anchorId="03609A6F" wp14:editId="2C114FBE">
                            <wp:extent cx="353060" cy="359410"/>
                            <wp:effectExtent l="0" t="0" r="8890" b="2540"/>
                            <wp:docPr id="7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Een thematisch netwerk voor landbouw met een hoge natuurwaarde</w:t>
                      </w:r>
                      <w:r>
                        <w:rPr>
                          <w:color w:val="F07E31"/>
                          <w:sz w:val="18"/>
                          <w:szCs w:val="18"/>
                        </w:rPr>
                        <w:t xml:space="preserve"> </w:t>
                      </w:r>
                    </w:p>
                    <w:p w:rsidR="00891EED" w:rsidRPr="00253803" w:rsidRDefault="00891EED" w:rsidP="00320AA0">
                      <w:pPr>
                        <w:spacing w:line="280" w:lineRule="atLeast"/>
                        <w:rPr>
                          <w:rFonts w:cs="Arial"/>
                          <w:sz w:val="18"/>
                          <w:szCs w:val="18"/>
                        </w:rPr>
                      </w:pPr>
                      <w:r>
                        <w:rPr>
                          <w:sz w:val="18"/>
                          <w:szCs w:val="18"/>
                        </w:rPr>
                        <w:t xml:space="preserve">Als onderdeel van het Horizon 2020-onderzoeksproject </w:t>
                      </w:r>
                      <w:r>
                        <w:t>"</w:t>
                      </w:r>
                      <w:hyperlink r:id="rId97" w:history="1">
                        <w:r>
                          <w:rPr>
                            <w:rStyle w:val="Hyperlink"/>
                            <w:sz w:val="18"/>
                            <w:szCs w:val="18"/>
                          </w:rPr>
                          <w:t>HNV link</w:t>
                        </w:r>
                      </w:hyperlink>
                      <w:r>
                        <w:t>" heeft een team van onderzoekers een beoordelingskader ontwikkeld om de referentietoestand te bepalen van HNV-gebieden waaraan innovatie een bijdrage zou kunnen leveren.</w:t>
                      </w:r>
                      <w:r>
                        <w:rPr>
                          <w:sz w:val="18"/>
                          <w:szCs w:val="18"/>
                        </w:rPr>
                        <w:t xml:space="preserve"> Voor deze beoordeling van de referentietoestand worden verschillende kenmerken geanalyseerd die verband houden met: </w:t>
                      </w:r>
                    </w:p>
                    <w:p w:rsidR="00891EED" w:rsidRPr="00253803" w:rsidRDefault="00891EED" w:rsidP="00320AA0">
                      <w:pPr>
                        <w:numPr>
                          <w:ilvl w:val="0"/>
                          <w:numId w:val="63"/>
                        </w:numPr>
                        <w:ind w:left="567" w:hanging="567"/>
                        <w:contextualSpacing/>
                        <w:rPr>
                          <w:rFonts w:cs="Arial"/>
                          <w:sz w:val="18"/>
                          <w:szCs w:val="18"/>
                        </w:rPr>
                      </w:pPr>
                      <w:r>
                        <w:rPr>
                          <w:sz w:val="18"/>
                          <w:szCs w:val="18"/>
                        </w:rPr>
                        <w:t>het landbouwecosysteem (bodem, klimaat en reliëf);</w:t>
                      </w:r>
                    </w:p>
                    <w:p w:rsidR="00891EED" w:rsidRPr="00253803" w:rsidRDefault="00891EED" w:rsidP="00320AA0">
                      <w:pPr>
                        <w:numPr>
                          <w:ilvl w:val="0"/>
                          <w:numId w:val="63"/>
                        </w:numPr>
                        <w:ind w:left="567" w:hanging="567"/>
                        <w:contextualSpacing/>
                        <w:rPr>
                          <w:rFonts w:cs="Arial"/>
                          <w:sz w:val="18"/>
                          <w:szCs w:val="18"/>
                        </w:rPr>
                      </w:pPr>
                      <w:r>
                        <w:rPr>
                          <w:sz w:val="18"/>
                          <w:szCs w:val="18"/>
                        </w:rPr>
                        <w:t>landbouwsystemen en hun dynamiek in agrarische systemen;</w:t>
                      </w:r>
                    </w:p>
                    <w:p w:rsidR="00891EED" w:rsidRPr="00253803" w:rsidRDefault="00891EED" w:rsidP="00320AA0">
                      <w:pPr>
                        <w:numPr>
                          <w:ilvl w:val="0"/>
                          <w:numId w:val="63"/>
                        </w:numPr>
                        <w:ind w:left="567" w:hanging="567"/>
                        <w:contextualSpacing/>
                        <w:rPr>
                          <w:rFonts w:cs="Arial"/>
                          <w:sz w:val="18"/>
                          <w:szCs w:val="18"/>
                        </w:rPr>
                      </w:pPr>
                      <w:r>
                        <w:rPr>
                          <w:sz w:val="18"/>
                          <w:szCs w:val="18"/>
                        </w:rPr>
                        <w:t xml:space="preserve">de context van het platteland en de drijvende krachten in ruimere zin (beleid, technologieën, maatschappelijke veranderingen); </w:t>
                      </w:r>
                    </w:p>
                    <w:p w:rsidR="00891EED" w:rsidRPr="00253803" w:rsidRDefault="00891EED" w:rsidP="00320AA0">
                      <w:pPr>
                        <w:numPr>
                          <w:ilvl w:val="0"/>
                          <w:numId w:val="63"/>
                        </w:numPr>
                        <w:ind w:left="567" w:hanging="567"/>
                        <w:contextualSpacing/>
                        <w:rPr>
                          <w:rFonts w:cs="Arial"/>
                          <w:sz w:val="18"/>
                          <w:szCs w:val="18"/>
                        </w:rPr>
                      </w:pPr>
                      <w:r>
                        <w:rPr>
                          <w:sz w:val="18"/>
                          <w:szCs w:val="18"/>
                        </w:rPr>
                        <w:t>horizontale kwesties (actoren en sociale organisatie).</w:t>
                      </w:r>
                    </w:p>
                    <w:p w:rsidR="00891EED" w:rsidRPr="000E5745" w:rsidRDefault="00891EED" w:rsidP="00320AA0">
                      <w:pPr>
                        <w:pStyle w:val="Hlistbullet"/>
                        <w:numPr>
                          <w:ilvl w:val="0"/>
                          <w:numId w:val="0"/>
                        </w:numPr>
                        <w:rPr>
                          <w:sz w:val="18"/>
                          <w:szCs w:val="18"/>
                        </w:rPr>
                      </w:pPr>
                      <w:r>
                        <w:rPr>
                          <w:sz w:val="18"/>
                          <w:szCs w:val="18"/>
                        </w:rPr>
                        <w:t xml:space="preserve">Om een referentiesituatie te bepalen zijn verschillende methoden gebruikt: 1.) beoordeling van het landbouwecosysteem 2.) analyse van het agrarische en landbouwsysteem 3.) analyse van het platteland 4.) analyse van actoren. De methodologie helpt om een contrafeitelijke situatie te scheppen met behulp waarvan zowel het proces als de gevolgen van in HNV-gebieden plaatsvindende innovaties beoordeeld kunnen worden. Een voorbeeld van de toepassing van deze methodologie is hier te vinden: </w:t>
                      </w:r>
                      <w:hyperlink r:id="rId98" w:history="1">
                        <w:r>
                          <w:rPr>
                            <w:rStyle w:val="Hyperlink"/>
                            <w:sz w:val="18"/>
                            <w:szCs w:val="18"/>
                          </w:rPr>
                          <w:t>http://www.hnvlink.eu/download/D1.3BAcomplete.pdf</w:t>
                        </w:r>
                      </w:hyperlink>
                    </w:p>
                  </w:txbxContent>
                </v:textbox>
                <w10:anchorlock/>
              </v:shape>
            </w:pict>
          </mc:Fallback>
        </mc:AlternateContent>
      </w:r>
    </w:p>
    <w:p w:rsidR="00A45935" w:rsidRPr="00F74623" w:rsidRDefault="00A45935" w:rsidP="000026C6">
      <w:pPr>
        <w:pStyle w:val="Hlistbullet"/>
      </w:pPr>
      <w:r>
        <w:rPr>
          <w:b/>
        </w:rPr>
        <w:t>STAP 2 - Informatie verzamelen over de prestaties van het POP ten opzichte van de beoordelingscriteria en indicatoren</w:t>
      </w:r>
      <w:r>
        <w:t xml:space="preserve"> (zoals aangegeven in bovenstaande tabel 9 met evaluatie-elementen) voor de drie subvragen die verband houden met de mate waarin het POP de drie trajecten heeft beïnvloed. </w:t>
      </w:r>
    </w:p>
    <w:p w:rsidR="00A45935" w:rsidRPr="00717885" w:rsidRDefault="00037CA6" w:rsidP="000026C6">
      <w:pPr>
        <w:pStyle w:val="Hlistbullet2"/>
      </w:pPr>
      <w:r>
        <w:t xml:space="preserve">Voor </w:t>
      </w:r>
      <w:r>
        <w:rPr>
          <w:b/>
        </w:rPr>
        <w:t>traject 1</w:t>
      </w:r>
      <w:r>
        <w:t xml:space="preserve"> geldt het beoordelingscriterium "overname van door het POP ingebrachte innovatieve ideeën, processen, modellen en/of technologieën". Dit kan worden gemeten met de in tabel 9 aangegeven gemeenschappelijke en aanvullende indicatoren. Voor de gemeenschappelijke indicatoren kunnen de gegevens worden verzameld uit de database met concrete acties. Voor de aanvullende indicatoren kunnen de gegevens en informatie worden verzameld via een door de beoordelaar georganiseerde en uitgevoerde enquête (zie onderstaand voorbeeld).</w:t>
      </w:r>
    </w:p>
    <w:p w:rsidR="00A45935" w:rsidRPr="00717885" w:rsidRDefault="004C624A" w:rsidP="000026C6">
      <w:pPr>
        <w:pStyle w:val="Hlistbullet2"/>
      </w:pPr>
      <w:r>
        <w:rPr>
          <w:noProof/>
          <w:highlight w:val="yellow"/>
          <w:lang w:val="en-GB" w:eastAsia="en-GB"/>
        </w:rPr>
        <w:lastRenderedPageBreak/>
        <mc:AlternateContent>
          <mc:Choice Requires="wps">
            <w:drawing>
              <wp:anchor distT="0" distB="0" distL="114300" distR="114300" simplePos="0" relativeHeight="251663360" behindDoc="0" locked="0" layoutInCell="1" allowOverlap="1" wp14:anchorId="2DE74C80" wp14:editId="1D6E9DD3">
                <wp:simplePos x="0" y="0"/>
                <wp:positionH relativeFrom="column">
                  <wp:posOffset>304800</wp:posOffset>
                </wp:positionH>
                <wp:positionV relativeFrom="paragraph">
                  <wp:posOffset>0</wp:posOffset>
                </wp:positionV>
                <wp:extent cx="5414645" cy="3048000"/>
                <wp:effectExtent l="0" t="0" r="14605" b="19050"/>
                <wp:wrapSquare wrapText="bothSides"/>
                <wp:docPr id="562" name="Rectangle: Diagonal Corners Rounded 562"/>
                <wp:cNvGraphicFramePr/>
                <a:graphic xmlns:a="http://schemas.openxmlformats.org/drawingml/2006/main">
                  <a:graphicData uri="http://schemas.microsoft.com/office/word/2010/wordprocessingShape">
                    <wps:wsp>
                      <wps:cNvSpPr/>
                      <wps:spPr>
                        <a:xfrm>
                          <a:off x="0" y="0"/>
                          <a:ext cx="5414645" cy="3048000"/>
                        </a:xfrm>
                        <a:prstGeom prst="round2DiagRect">
                          <a:avLst>
                            <a:gd name="adj1" fmla="val 7843"/>
                            <a:gd name="adj2" fmla="val 0"/>
                          </a:avLst>
                        </a:prstGeom>
                        <a:noFill/>
                        <a:ln w="25400" cap="flat" cmpd="sng" algn="ctr">
                          <a:solidFill>
                            <a:srgbClr val="BE4A35"/>
                          </a:solidFill>
                          <a:prstDash val="solid"/>
                        </a:ln>
                        <a:effectLst/>
                      </wps:spPr>
                      <wps:txbx>
                        <w:txbxContent>
                          <w:p w:rsidR="00891EED" w:rsidRPr="003D7EC4" w:rsidRDefault="00891EED" w:rsidP="00E05D08">
                            <w:pPr>
                              <w:pStyle w:val="HStandard"/>
                              <w:rPr>
                                <w:rFonts w:cs="Arial"/>
                                <w:sz w:val="18"/>
                              </w:rPr>
                            </w:pPr>
                            <w:r>
                              <w:rPr>
                                <w:noProof/>
                                <w:lang w:val="en-GB" w:eastAsia="en-GB"/>
                              </w:rPr>
                              <w:drawing>
                                <wp:inline distT="0" distB="0" distL="0" distR="0" wp14:anchorId="2EC3ADE0" wp14:editId="23F22BA4">
                                  <wp:extent cx="664845" cy="487680"/>
                                  <wp:effectExtent l="0" t="0" r="0" b="7620"/>
                                  <wp:docPr id="52"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 xml:space="preserve">De overname van door het POP ingebrachte innovatieve ideeën, processen, modellen en/of technologieën kan worden geëvalueerd met behulp van </w:t>
                            </w:r>
                            <w:r>
                              <w:rPr>
                                <w:b/>
                                <w:sz w:val="18"/>
                              </w:rPr>
                              <w:t>enquêtes</w:t>
                            </w:r>
                            <w:r>
                              <w:rPr>
                                <w:sz w:val="18"/>
                              </w:rPr>
                              <w:t xml:space="preserve"> waarmee gemeten wordt op welk niveau en in welke mate nieuwigheden zijn overgenomen en wat de bron van de nieuwigheid is. De enquêtes moeten:</w:t>
                            </w:r>
                          </w:p>
                          <w:p w:rsidR="00891EED" w:rsidRPr="003D7EC4" w:rsidRDefault="00891EED" w:rsidP="008C0B17">
                            <w:pPr>
                              <w:pStyle w:val="HStandard"/>
                              <w:numPr>
                                <w:ilvl w:val="3"/>
                                <w:numId w:val="43"/>
                              </w:numPr>
                            </w:pPr>
                            <w:r>
                              <w:rPr>
                                <w:sz w:val="18"/>
                              </w:rPr>
                              <w:t>zowel aan degenen die de nieuwigheid hebben overgenomen als aan degenen die de nieuwigheid niet hebben overgenomen worden voorgelegd en tot doel hebben om: a) de redenen van niet-overname te achterhalen, en b) vast te stellen welke alternatieve manieren er zijn om de kwestie die de nieuwigheid aanpakt aan te vatten;</w:t>
                            </w:r>
                          </w:p>
                          <w:p w:rsidR="00891EED" w:rsidRPr="006F10F3" w:rsidRDefault="00891EED" w:rsidP="008C0B17">
                            <w:pPr>
                              <w:pStyle w:val="HStandard"/>
                              <w:numPr>
                                <w:ilvl w:val="3"/>
                                <w:numId w:val="43"/>
                              </w:numPr>
                              <w:rPr>
                                <w:rStyle w:val="Hyperlink"/>
                                <w:rFonts w:cs="Arial"/>
                                <w:sz w:val="18"/>
                              </w:rPr>
                            </w:pPr>
                            <w:r w:rsidRPr="004C624A">
                              <w:rPr>
                                <w:sz w:val="18"/>
                              </w:rPr>
                              <w:t xml:space="preserve">worden ingesteld onder overnemers en niet-overnemers van een nieuw idee wanneer bekend is dat overname heeft plaatsgevonden, alsook in gebieden die tijdens de beoordeling van het innovatiepotentieel als veelbelovend zijn aangemerkt </w:t>
                            </w:r>
                            <w:r w:rsidRPr="006F10F3">
                              <w:rPr>
                                <w:rStyle w:val="Hyperlink"/>
                                <w:rFonts w:cs="Arial"/>
                                <w:sz w:val="18"/>
                              </w:rPr>
                              <w:t xml:space="preserve">(zie </w:t>
                            </w:r>
                            <w:hyperlink w:anchor="Screening_Potential" w:history="1">
                              <w:r w:rsidRPr="006F10F3">
                                <w:rPr>
                                  <w:rStyle w:val="Hyperlink"/>
                                  <w:rFonts w:cs="Arial"/>
                                  <w:sz w:val="18"/>
                                </w:rPr>
                                <w:t>paragraaf 2.2</w:t>
                              </w:r>
                            </w:hyperlink>
                            <w:r w:rsidRPr="006F10F3">
                              <w:rPr>
                                <w:rStyle w:val="Hyperlink"/>
                                <w:rFonts w:cs="Arial"/>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74C80" id="Rectangle: Diagonal Corners Rounded 562" o:spid="_x0000_s1056" style="position:absolute;left:0;text-align:left;margin-left:24pt;margin-top:0;width:426.35pt;height:24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4645,304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" adj="-11796480,,5400" path="m239055,l5414645,r,l5414645,2808945v,132026,-107029,239055,-239055,239055l,3048000r,l,239055c,107029,107029,,239055,xe" filled="f" strokecolor="#be4a35" strokeweight="2pt">
                <v:stroke joinstyle="miter"/>
                <v:formulas/>
                <v:path arrowok="t" o:connecttype="custom" o:connectlocs="239055,0;5414645,0;5414645,0;5414645,2808945;5175590,3048000;0,3048000;0,3048000;0,239055;239055,0" o:connectangles="0,0,0,0,0,0,0,0,0" textboxrect="0,0,5414645,3048000"/>
                <v:textbox>
                  <w:txbxContent>
                    <w:p w:rsidR="00891EED" w:rsidRPr="003D7EC4" w:rsidRDefault="00891EED" w:rsidP="00E05D08">
                      <w:pPr>
                        <w:pStyle w:val="HStandard"/>
                        <w:rPr>
                          <w:rFonts w:cs="Arial"/>
                          <w:sz w:val="18"/>
                        </w:rPr>
                      </w:pPr>
                      <w:r>
                        <w:rPr>
                          <w:noProof/>
                          <w:lang w:val="en-GB" w:eastAsia="en-GB"/>
                        </w:rPr>
                        <w:drawing>
                          <wp:inline distT="0" distB="0" distL="0" distR="0" wp14:anchorId="2EC3ADE0" wp14:editId="23F22BA4">
                            <wp:extent cx="664845" cy="487680"/>
                            <wp:effectExtent l="0" t="0" r="0" b="7620"/>
                            <wp:docPr id="52"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 xml:space="preserve">De overname van door het POP ingebrachte innovatieve ideeën, processen, modellen en/of technologieën kan worden geëvalueerd met behulp van </w:t>
                      </w:r>
                      <w:r>
                        <w:rPr>
                          <w:b/>
                          <w:sz w:val="18"/>
                        </w:rPr>
                        <w:t>enquêtes</w:t>
                      </w:r>
                      <w:r>
                        <w:rPr>
                          <w:sz w:val="18"/>
                        </w:rPr>
                        <w:t xml:space="preserve"> waarmee gemeten wordt op welk niveau en in welke mate nieuwigheden zijn overgenomen en wat de bron van de nieuwigheid is. De enquêtes moeten:</w:t>
                      </w:r>
                    </w:p>
                    <w:p w:rsidR="00891EED" w:rsidRPr="003D7EC4" w:rsidRDefault="00891EED" w:rsidP="008C0B17">
                      <w:pPr>
                        <w:pStyle w:val="HStandard"/>
                        <w:numPr>
                          <w:ilvl w:val="3"/>
                          <w:numId w:val="43"/>
                        </w:numPr>
                      </w:pPr>
                      <w:r>
                        <w:rPr>
                          <w:sz w:val="18"/>
                        </w:rPr>
                        <w:t>zowel aan degenen die de nieuwigheid hebben overgenomen als aan degenen die de nieuwigheid niet hebben overgenomen worden voorgelegd en tot doel hebben om: a) de redenen van niet-overname te achterhalen, en b) vast te stellen welke alternatieve manieren er zijn om de kwestie die de nieuwigheid aanpakt aan te vatten;</w:t>
                      </w:r>
                    </w:p>
                    <w:p w:rsidR="00891EED" w:rsidRPr="006F10F3" w:rsidRDefault="00891EED" w:rsidP="008C0B17">
                      <w:pPr>
                        <w:pStyle w:val="HStandard"/>
                        <w:numPr>
                          <w:ilvl w:val="3"/>
                          <w:numId w:val="43"/>
                        </w:numPr>
                        <w:rPr>
                          <w:rStyle w:val="Hyperlink"/>
                          <w:rFonts w:cs="Arial"/>
                          <w:sz w:val="18"/>
                        </w:rPr>
                      </w:pPr>
                      <w:r w:rsidRPr="004C624A">
                        <w:rPr>
                          <w:sz w:val="18"/>
                        </w:rPr>
                        <w:t xml:space="preserve">worden ingesteld onder overnemers en niet-overnemers van een nieuw idee wanneer bekend is dat overname heeft plaatsgevonden, alsook in gebieden die tijdens de beoordeling van het innovatiepotentieel als veelbelovend zijn aangemerkt </w:t>
                      </w:r>
                      <w:r w:rsidRPr="006F10F3">
                        <w:rPr>
                          <w:rStyle w:val="Hyperlink"/>
                          <w:rFonts w:cs="Arial"/>
                          <w:sz w:val="18"/>
                        </w:rPr>
                        <w:t xml:space="preserve">(zie </w:t>
                      </w:r>
                      <w:hyperlink w:anchor="Screening_Potential" w:history="1">
                        <w:r w:rsidRPr="006F10F3">
                          <w:rPr>
                            <w:rStyle w:val="Hyperlink"/>
                            <w:rFonts w:cs="Arial"/>
                            <w:sz w:val="18"/>
                          </w:rPr>
                          <w:t>paragraaf 2.2</w:t>
                        </w:r>
                      </w:hyperlink>
                      <w:r w:rsidRPr="006F10F3">
                        <w:rPr>
                          <w:rStyle w:val="Hyperlink"/>
                          <w:rFonts w:cs="Arial"/>
                          <w:sz w:val="18"/>
                        </w:rPr>
                        <w:t xml:space="preserve">). </w:t>
                      </w:r>
                    </w:p>
                  </w:txbxContent>
                </v:textbox>
                <w10:wrap type="square"/>
              </v:shape>
            </w:pict>
          </mc:Fallback>
        </mc:AlternateContent>
      </w:r>
      <w:r w:rsidR="00A45935">
        <w:t xml:space="preserve">Voor </w:t>
      </w:r>
      <w:r w:rsidR="00A45935">
        <w:rPr>
          <w:b/>
        </w:rPr>
        <w:t>traject 2</w:t>
      </w:r>
      <w:r w:rsidR="00A45935">
        <w:t xml:space="preserve"> gelden drie beoordelingscriteria, die vergezeld gaan van resultaatindicatoren: </w:t>
      </w:r>
    </w:p>
    <w:p w:rsidR="00A45935" w:rsidRPr="00E05D08" w:rsidRDefault="00A45935" w:rsidP="000026C6">
      <w:pPr>
        <w:numPr>
          <w:ilvl w:val="3"/>
          <w:numId w:val="44"/>
        </w:numPr>
        <w:spacing w:before="60" w:after="120" w:line="280" w:lineRule="atLeast"/>
        <w:ind w:left="1701" w:hanging="567"/>
        <w:rPr>
          <w:rFonts w:eastAsia="Times New Roman" w:cs="Arial"/>
          <w:szCs w:val="20"/>
        </w:rPr>
      </w:pPr>
      <w:r>
        <w:t xml:space="preserve">Het eerste is meer samenwerking en uitwisseling tussen de actoren die betrokken zijn bij het teweegbrengen van de verandering waaraan het POP heeft bijgedragen. Hierbij gaat het erom door het POP gefaciliteerde overeenkomsten tussen partners vast te stellen met behulp van de aanvullende resultaatindicatoren: "Aantal formele partnerschappen waarin het POP heeft bemiddeld die verband houden met de veranderingen in prioriteiten voor plattelandsontwikkeling waaraan het POP heeft bijgedragen" en "Procentuele toename van het aantal en de soorten partners die betrokken zijn bij samenwerkingsprojecten" (zie werkdocument </w:t>
      </w:r>
      <w:hyperlink r:id="rId99" w:history="1">
        <w:r>
          <w:rPr>
            <w:color w:val="F07E31"/>
            <w:szCs w:val="20"/>
            <w:u w:val="single"/>
          </w:rPr>
          <w:t>CEQs for RDPs 2014-2020</w:t>
        </w:r>
      </w:hyperlink>
      <w:r>
        <w:t xml:space="preserve">). Gegevens en informatie voor de eerste aanvullende indicator kunnen door beoordelaars tijdens de evaluatie worden verzameld via interviews en focusgroepen met partners die betrokken zijn bij vastgestelde partnerschappen. Voor de tweede aanvullende indicator kunnen de gegevens rechtstreeks uit de database met concrete acties worden verzameld. </w:t>
      </w:r>
    </w:p>
    <w:p w:rsidR="00A45935" w:rsidRPr="00E05D08" w:rsidRDefault="00A45935" w:rsidP="000026C6">
      <w:pPr>
        <w:numPr>
          <w:ilvl w:val="3"/>
          <w:numId w:val="44"/>
        </w:numPr>
        <w:spacing w:before="60" w:after="120" w:line="280" w:lineRule="atLeast"/>
        <w:ind w:left="1701" w:hanging="567"/>
        <w:rPr>
          <w:rFonts w:eastAsia="Times New Roman" w:cs="Arial"/>
          <w:szCs w:val="20"/>
        </w:rPr>
      </w:pPr>
      <w:r>
        <w:t>Het tweede houdt verband met de bijdrage van het POP aan de toename van leren, reflectie en delen. Hierbij gaat het om het vaststellen van platforms (bv. kennisgemeenschap), groepen en andere vormen van institutionele "ruimte" (bv. beoordelingen na acties), zowel virtueel als fysiek, met behulp waarvan deelnemers aan het innovatieproces ervaringen kunnen delen, kunnen reflecteren over de betekenis en waarde ervan en vervolgacties kunnen ondernemen. De aanvullende resultaatindicator "Aantal en kwaliteit van innovatie-ondersteunende platforms en "ruimten" die het POP heeft opgezet of versterkt", wordt voorgesteld om het succes volgens dit beoordelingscriterium te meten.</w:t>
      </w:r>
      <w:r>
        <w:rPr>
          <w:i/>
          <w:sz w:val="18"/>
          <w:szCs w:val="16"/>
        </w:rPr>
        <w:t xml:space="preserve"> </w:t>
      </w:r>
      <w:r>
        <w:t xml:space="preserve">Kwantitatieve en kwalitatieve informatie dient door de beoordelaars te worden verzameld tijdens de evaluatie (bv. door interviews van focusgroepen met deelnemers van voormelde platforms/ruimten). </w:t>
      </w:r>
    </w:p>
    <w:p w:rsidR="00A45935" w:rsidRPr="00253803" w:rsidRDefault="003B44A9" w:rsidP="000026C6">
      <w:pPr>
        <w:numPr>
          <w:ilvl w:val="3"/>
          <w:numId w:val="44"/>
        </w:numPr>
        <w:spacing w:before="60" w:after="120" w:line="280" w:lineRule="atLeast"/>
        <w:ind w:left="1701" w:hanging="567"/>
        <w:rPr>
          <w:rFonts w:eastAsia="Times New Roman" w:cs="Arial"/>
          <w:szCs w:val="20"/>
        </w:rPr>
      </w:pPr>
      <w:r>
        <w:t xml:space="preserve">Het derde heeft betrekking op verbeteringen in de informatiestroom en de diversiteit van organisaties in het innovatiesysteem waarin de verandering heeft plaatsgevonden. Bewijsmateriaal kan worden verzameld met de aanvullende </w:t>
      </w:r>
      <w:r>
        <w:lastRenderedPageBreak/>
        <w:t>resultaatindicator: "Afname van de gemiddelde lengte van het netwerkpad en de netwerkdiversiteit". Het kan worden gemeten middels een sociale-netwerkanalyse, die ten tijde van de evaluatie door de beoordelaar uitgevoerd dient te worden.</w:t>
      </w:r>
      <w:r>
        <w:rPr>
          <w:b/>
          <w:i/>
          <w:color w:val="BE4A35"/>
          <w:szCs w:val="20"/>
        </w:rPr>
        <w:t xml:space="preserve"> </w:t>
      </w:r>
      <w:r w:rsidR="00601253">
        <w:rPr>
          <w:rFonts w:eastAsia="Times New Roman" w:cs="Times New Roman"/>
          <w:noProof/>
          <w:szCs w:val="20"/>
          <w:highlight w:val="yellow"/>
          <w:lang w:val="en-GB" w:eastAsia="en-GB"/>
        </w:rPr>
        <mc:AlternateContent>
          <mc:Choice Requires="wps">
            <w:drawing>
              <wp:anchor distT="0" distB="0" distL="114300" distR="114300" simplePos="0" relativeHeight="251670528" behindDoc="0" locked="0" layoutInCell="1" allowOverlap="1" wp14:anchorId="30A0A8E8" wp14:editId="1E7C8D79">
                <wp:simplePos x="0" y="0"/>
                <wp:positionH relativeFrom="margin">
                  <wp:posOffset>3676650</wp:posOffset>
                </wp:positionH>
                <wp:positionV relativeFrom="margin">
                  <wp:posOffset>685800</wp:posOffset>
                </wp:positionV>
                <wp:extent cx="2162175" cy="2876550"/>
                <wp:effectExtent l="0" t="0" r="28575" b="19050"/>
                <wp:wrapSquare wrapText="bothSides"/>
                <wp:docPr id="564" name="Rectangle: Diagonal Corners Rounded 564"/>
                <wp:cNvGraphicFramePr/>
                <a:graphic xmlns:a="http://schemas.openxmlformats.org/drawingml/2006/main">
                  <a:graphicData uri="http://schemas.microsoft.com/office/word/2010/wordprocessingShape">
                    <wps:wsp>
                      <wps:cNvSpPr/>
                      <wps:spPr>
                        <a:xfrm>
                          <a:off x="0" y="0"/>
                          <a:ext cx="2162175" cy="2876550"/>
                        </a:xfrm>
                        <a:prstGeom prst="round2DiagRect">
                          <a:avLst>
                            <a:gd name="adj1" fmla="val 7843"/>
                            <a:gd name="adj2" fmla="val 0"/>
                          </a:avLst>
                        </a:prstGeom>
                        <a:noFill/>
                        <a:ln w="25400" cap="flat" cmpd="sng" algn="ctr">
                          <a:solidFill>
                            <a:srgbClr val="BE4A35"/>
                          </a:solidFill>
                          <a:prstDash val="solid"/>
                        </a:ln>
                        <a:effectLst/>
                      </wps:spPr>
                      <wps:txbx>
                        <w:txbxContent>
                          <w:p w:rsidR="00891EED" w:rsidRPr="000E5745" w:rsidRDefault="00891EED" w:rsidP="00E05D08">
                            <w:pPr>
                              <w:pStyle w:val="HStandard"/>
                            </w:pPr>
                            <w:r>
                              <w:rPr>
                                <w:noProof/>
                                <w:lang w:val="en-GB" w:eastAsia="en-GB"/>
                              </w:rPr>
                              <w:drawing>
                                <wp:inline distT="0" distB="0" distL="0" distR="0" wp14:anchorId="2260954E" wp14:editId="6E4C887B">
                                  <wp:extent cx="664845" cy="487680"/>
                                  <wp:effectExtent l="0" t="0" r="0" b="7620"/>
                                  <wp:docPr id="29"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rPr>
                              <w:t>Resultaatvergaring (outcome harvesting)</w:t>
                            </w:r>
                            <w:r>
                              <w:rPr>
                                <w:color w:val="BE4A35"/>
                                <w:sz w:val="18"/>
                              </w:rPr>
                              <w:t xml:space="preserve"> </w:t>
                            </w:r>
                            <w:r>
                              <w:rPr>
                                <w:sz w:val="18"/>
                              </w:rPr>
                              <w:t>is een methode waarbij POP-veranderingsagenten (degenen die betrokken zijn bij de beleidsbeïnvloeding door het POP) de beleidswijzigingen vaststellen waaraan het POP heeft bijgedragen en vervolgens goed geïnformeerde maar onafhankelijke personen vragen deze wijzigingen te bevestigen.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0A8E8" id="Rectangle: Diagonal Corners Rounded 564" o:spid="_x0000_s1057" style="position:absolute;left:0;text-align:left;margin-left:289.5pt;margin-top:54pt;width:170.25pt;height:22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2162175,2876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" adj="-11796480,,5400" path="m169579,l2162175,r,l2162175,2706971v,93656,-75923,169579,-169579,169579l,2876550r,l,169579c,75923,75923,,169579,xe" filled="f" strokecolor="#be4a35" strokeweight="2pt">
                <v:stroke joinstyle="miter"/>
                <v:formulas/>
                <v:path arrowok="t" o:connecttype="custom" o:connectlocs="169579,0;2162175,0;2162175,0;2162175,2706971;1992596,2876550;0,2876550;0,2876550;0,169579;169579,0" o:connectangles="0,0,0,0,0,0,0,0,0" textboxrect="0,0,2162175,2876550"/>
                <v:textbox>
                  <w:txbxContent>
                    <w:p w:rsidR="00891EED" w:rsidRPr="000E5745" w:rsidRDefault="00891EED" w:rsidP="00E05D08">
                      <w:pPr>
                        <w:pStyle w:val="HStandard"/>
                      </w:pPr>
                      <w:r>
                        <w:rPr>
                          <w:noProof/>
                          <w:lang w:val="en-GB" w:eastAsia="en-GB"/>
                        </w:rPr>
                        <w:drawing>
                          <wp:inline distT="0" distB="0" distL="0" distR="0" wp14:anchorId="2260954E" wp14:editId="6E4C887B">
                            <wp:extent cx="664845" cy="487680"/>
                            <wp:effectExtent l="0" t="0" r="0" b="7620"/>
                            <wp:docPr id="29"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rPr>
                        <w:t>Resultaatvergaring (outcome harvesting)</w:t>
                      </w:r>
                      <w:r>
                        <w:rPr>
                          <w:color w:val="BE4A35"/>
                          <w:sz w:val="18"/>
                        </w:rPr>
                        <w:t xml:space="preserve"> </w:t>
                      </w:r>
                      <w:r>
                        <w:rPr>
                          <w:sz w:val="18"/>
                        </w:rPr>
                        <w:t>is een methode waarbij POP-veranderingsagenten (degenen die betrokken zijn bij de beleidsbeïnvloeding door het POP) de beleidswijzigingen vaststellen waaraan het POP heeft bijgedragen en vervolgens goed geïnformeerde maar onafhankelijke personen vragen deze wijzigingen te bevestigen.</w:t>
                      </w:r>
                    </w:p>
                  </w:txbxContent>
                </v:textbox>
                <w10:wrap type="square" anchorx="margin" anchory="margin"/>
              </v:shape>
            </w:pict>
          </mc:Fallback>
        </mc:AlternateContent>
      </w:r>
      <w:r>
        <w:rPr>
          <w:b/>
          <w:i/>
          <w:color w:val="BE4A35"/>
        </w:rPr>
        <w:t>Sociale-netwerkanalyse</w:t>
      </w:r>
      <w:r>
        <w:rPr>
          <w:rFonts w:eastAsia="Calibri" w:cs="Times New Roman"/>
          <w:szCs w:val="20"/>
          <w:vertAlign w:val="superscript"/>
        </w:rPr>
        <w:footnoteReference w:id="77"/>
      </w:r>
      <w:r>
        <w:t xml:space="preserve"> is de aangewezen methode om bewijsmateriaal voor betrokken indicatoren op twee tijdstippen te verzamelen door de veranderingen in gemiddelde padlengte alsook de aantallen verschillende betrokken actoren te berekenen. De veranderingen moeten achteraf met de POP-interventie in verband gebracht worden door middel van </w:t>
      </w:r>
      <w:r>
        <w:rPr>
          <w:b/>
          <w:i/>
          <w:szCs w:val="20"/>
        </w:rPr>
        <w:t>interviews</w:t>
      </w:r>
      <w:r>
        <w:t xml:space="preserve"> met belangrijke informanten: goed ingevoerde maar onafhankelijke personen die de aanspraken op een oorzakelijk verband kunnen bevestigen of afwijzen. Idealiter is de referentietoestand vastgelegd bij de schatting van het innovatiepotentieel aan het begin van het POP.</w:t>
      </w:r>
    </w:p>
    <w:p w:rsidR="00A45935" w:rsidRPr="00E34FAC" w:rsidRDefault="00A45935" w:rsidP="00A847F8">
      <w:pPr>
        <w:pStyle w:val="Hlistbullet2"/>
      </w:pPr>
      <w:r>
        <w:t xml:space="preserve">Voor </w:t>
      </w:r>
      <w:r>
        <w:rPr>
          <w:b/>
        </w:rPr>
        <w:t>traject 3</w:t>
      </w:r>
      <w:r>
        <w:t xml:space="preserve"> gelden verschillende beoordelingscriteria die verband houden met verschillende soorten faciliterende omgevingen zoals beschreven in paragraaf 1.1:</w:t>
      </w:r>
    </w:p>
    <w:p w:rsidR="00A45935" w:rsidRPr="00E05D08" w:rsidRDefault="00A45935" w:rsidP="00A847F8">
      <w:pPr>
        <w:numPr>
          <w:ilvl w:val="0"/>
          <w:numId w:val="48"/>
        </w:numPr>
        <w:spacing w:before="240" w:after="120" w:line="280" w:lineRule="atLeast"/>
        <w:ind w:left="1701" w:hanging="567"/>
        <w:rPr>
          <w:rFonts w:eastAsia="Times New Roman" w:cs="Arial"/>
          <w:szCs w:val="20"/>
        </w:rPr>
      </w:pPr>
      <w:r>
        <w:t>Het eerste houdt verband met de mate waarin het POP beleid heeft beïnvloed dat de verandering waaraan het POP heeft bijgedragen ondersteunt. Hiervoor moet worden vastgesteld op welk beleid het POP daadwerkelijk invloed heeft uitgeoefend, waarna die invloed met bewijsmateriaal moet worden aangetoond. Het bewijsmateriaal kan tijdens de evaluatie worden verzameld met de aanvullende resultaatindicator "aantal en soort beleidsgebieden die het POP heeft beïnvloed op het niveau van deelnemende organisaties en de faciliterende omgeving in ruime zin". Resultaatvergaring</w:t>
      </w:r>
      <w:r>
        <w:rPr>
          <w:rFonts w:eastAsia="Times New Roman" w:cs="Arial"/>
          <w:szCs w:val="20"/>
          <w:vertAlign w:val="superscript"/>
          <w:lang w:eastAsia="de-DE"/>
        </w:rPr>
        <w:footnoteReference w:id="78"/>
      </w:r>
      <w:r>
        <w:t xml:space="preserve"> is een benadering die goed is toegesneden op de evaluatie van beleidsbeïnvloeding door het POP. </w:t>
      </w:r>
    </w:p>
    <w:p w:rsidR="00A45935" w:rsidRPr="00E05D08" w:rsidRDefault="00A45935" w:rsidP="00A847F8">
      <w:pPr>
        <w:numPr>
          <w:ilvl w:val="0"/>
          <w:numId w:val="48"/>
        </w:numPr>
        <w:spacing w:before="240" w:after="120" w:line="280" w:lineRule="atLeast"/>
        <w:ind w:left="1701" w:hanging="567"/>
        <w:rPr>
          <w:rFonts w:eastAsia="Times New Roman" w:cs="Arial"/>
          <w:szCs w:val="20"/>
        </w:rPr>
      </w:pPr>
      <w:r>
        <w:t>Het tweede beoordelingscriterium houdt verband met de mogelijkheden tot opleiding en uitwisseling van innovatieve praktijken die door het POP worden ondersteund. De voorgestelde aanvullende resultaatindicator ter vergaring van bewijsmateriaal is "aantal opleidingen en evenementen ter uitwisseling van innovatieve praktijken en het aandeel ervan in het totale aantal door het POP ondersteunde opleidingen/evenementen". Gegevens voor de indicator kunnen uit de database met concrete acties worden verzameld nadat de informatie over opleidingsactiviteiten en evenementen gekoppeld is aan innovatie.</w:t>
      </w:r>
    </w:p>
    <w:p w:rsidR="00A45935" w:rsidRPr="00E05D08" w:rsidRDefault="00A45935" w:rsidP="00A847F8">
      <w:pPr>
        <w:numPr>
          <w:ilvl w:val="0"/>
          <w:numId w:val="48"/>
        </w:numPr>
        <w:spacing w:before="60" w:after="120" w:line="280" w:lineRule="atLeast"/>
        <w:ind w:left="1701" w:hanging="567"/>
        <w:rPr>
          <w:rFonts w:eastAsia="Times New Roman" w:cs="Arial"/>
          <w:szCs w:val="20"/>
        </w:rPr>
      </w:pPr>
      <w:r>
        <w:t xml:space="preserve">Het derde beoordelingscriterium houdt verband met de faciliterende interactie tussen innovatieactoren. Om het met dit beoordelingscriterium verband houdende succes te meten wordt aanbevolen gebruik te maken van de aanvullende resultaatindicator "aantal evenementen gericht op de instelling van contacten tussen door het POP ondersteunde innovatie-actoren". Gegevens voor deze indicator kunnen uit de database met concrete acties worden verzameld (bv. door </w:t>
      </w:r>
      <w:r>
        <w:lastRenderedPageBreak/>
        <w:t xml:space="preserve">informatie over door het POP ondersteunde innovatieactoren toe te voegen aan de monitoring van evenementen). </w:t>
      </w:r>
    </w:p>
    <w:p w:rsidR="001275FF" w:rsidRDefault="00A45935" w:rsidP="00A847F8">
      <w:pPr>
        <w:numPr>
          <w:ilvl w:val="0"/>
          <w:numId w:val="48"/>
        </w:numPr>
        <w:spacing w:before="60" w:after="120" w:line="280" w:lineRule="atLeast"/>
        <w:ind w:left="1701" w:hanging="567"/>
        <w:rPr>
          <w:rFonts w:eastAsia="Calibri" w:cs="Arial"/>
          <w:szCs w:val="20"/>
        </w:rPr>
      </w:pPr>
      <w:r>
        <w:t xml:space="preserve">Het vierde beoordelingscriterium heeft betrekking op het POP als schepper van een faciliterende omgeving voor invoering van nieuwe technologieën. Dit kan worden gemeten met de aanvullende resultaatindicator "aantal door het POP ondersteunde nieuwe technologieën in plattelandsgebieden, uitgesplitst per soort". De benodigde informatie voor deze indicator kan worden verzameld uit de database met concrete acties, mits die dienovereenkomstig is aangepast. </w:t>
      </w:r>
    </w:p>
    <w:p w:rsidR="00A45935" w:rsidRPr="001275FF" w:rsidRDefault="001275FF" w:rsidP="001275FF">
      <w:pPr>
        <w:jc w:val="left"/>
        <w:rPr>
          <w:rFonts w:eastAsia="Calibri" w:cs="Arial"/>
          <w:szCs w:val="20"/>
        </w:rPr>
      </w:pPr>
      <w:r>
        <w:br w:type="page"/>
      </w:r>
    </w:p>
    <w:p w:rsidR="00A45935" w:rsidRPr="000E1023" w:rsidRDefault="00A847F8" w:rsidP="00A847F8">
      <w:pPr>
        <w:pStyle w:val="Hlistbullet"/>
        <w:rPr>
          <w:color w:val="FFFFFF" w:themeColor="background1"/>
        </w:rPr>
      </w:pPr>
      <w:r>
        <w:rPr>
          <w:b/>
          <w:noProof/>
          <w:highlight w:val="yellow"/>
          <w:lang w:val="en-GB" w:eastAsia="en-GB"/>
        </w:rPr>
        <w:lastRenderedPageBreak/>
        <mc:AlternateContent>
          <mc:Choice Requires="wps">
            <w:drawing>
              <wp:anchor distT="0" distB="0" distL="114300" distR="114300" simplePos="0" relativeHeight="251661312" behindDoc="0" locked="0" layoutInCell="1" allowOverlap="1" wp14:anchorId="428027A9" wp14:editId="497E49B2">
                <wp:simplePos x="0" y="0"/>
                <wp:positionH relativeFrom="column">
                  <wp:posOffset>38100</wp:posOffset>
                </wp:positionH>
                <wp:positionV relativeFrom="paragraph">
                  <wp:posOffset>1895475</wp:posOffset>
                </wp:positionV>
                <wp:extent cx="5670550" cy="2857500"/>
                <wp:effectExtent l="0" t="0" r="25400" b="19050"/>
                <wp:wrapSquare wrapText="bothSides"/>
                <wp:docPr id="566" name="Rectangle: Diagonal Corners Rounded 566"/>
                <wp:cNvGraphicFramePr/>
                <a:graphic xmlns:a="http://schemas.openxmlformats.org/drawingml/2006/main">
                  <a:graphicData uri="http://schemas.microsoft.com/office/word/2010/wordprocessingShape">
                    <wps:wsp>
                      <wps:cNvSpPr/>
                      <wps:spPr>
                        <a:xfrm>
                          <a:off x="0" y="0"/>
                          <a:ext cx="5670550" cy="2857500"/>
                        </a:xfrm>
                        <a:prstGeom prst="round2DiagRect">
                          <a:avLst>
                            <a:gd name="adj1" fmla="val 7843"/>
                            <a:gd name="adj2" fmla="val 0"/>
                          </a:avLst>
                        </a:prstGeom>
                        <a:noFill/>
                        <a:ln w="25400" cap="flat" cmpd="sng" algn="ctr">
                          <a:solidFill>
                            <a:srgbClr val="BE4A35"/>
                          </a:solidFill>
                          <a:prstDash val="solid"/>
                        </a:ln>
                        <a:effectLst/>
                      </wps:spPr>
                      <wps:txbx>
                        <w:txbxContent>
                          <w:p w:rsidR="00891EED" w:rsidRPr="00EF653F" w:rsidRDefault="00891EED" w:rsidP="00E05D08">
                            <w:pPr>
                              <w:pStyle w:val="HStandard"/>
                              <w:rPr>
                                <w:rFonts w:cs="Arial"/>
                                <w:b/>
                                <w:sz w:val="18"/>
                                <w:szCs w:val="18"/>
                              </w:rPr>
                            </w:pPr>
                            <w:r>
                              <w:rPr>
                                <w:noProof/>
                                <w:lang w:val="en-GB" w:eastAsia="en-GB"/>
                              </w:rPr>
                              <w:drawing>
                                <wp:inline distT="0" distB="0" distL="0" distR="0" wp14:anchorId="78E94F98" wp14:editId="299F7062">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Technieken om de beschrijving op te stellen en de resultaten te beoordelen</w:t>
                            </w:r>
                          </w:p>
                          <w:p w:rsidR="00891EED" w:rsidRPr="00EF653F" w:rsidRDefault="00891EED" w:rsidP="00E05D08">
                            <w:pPr>
                              <w:pStyle w:val="HStandard"/>
                              <w:rPr>
                                <w:rFonts w:cs="Arial"/>
                                <w:sz w:val="18"/>
                                <w:szCs w:val="18"/>
                              </w:rPr>
                            </w:pPr>
                            <w:r>
                              <w:rPr>
                                <w:sz w:val="18"/>
                                <w:szCs w:val="18"/>
                              </w:rPr>
                              <w:t xml:space="preserve">Bij het opstellen van de beschrijving kan de beoordelaar gebruikmaken van verschillende </w:t>
                            </w:r>
                            <w:r>
                              <w:rPr>
                                <w:b/>
                                <w:sz w:val="18"/>
                                <w:szCs w:val="18"/>
                              </w:rPr>
                              <w:t>technieken om de zaak te trianguleren en te onderbouwen</w:t>
                            </w:r>
                            <w:r>
                              <w:rPr>
                                <w:sz w:val="18"/>
                                <w:szCs w:val="18"/>
                              </w:rPr>
                              <w:t>.</w:t>
                            </w:r>
                            <w:r>
                              <w:rPr>
                                <w:b/>
                                <w:sz w:val="18"/>
                                <w:szCs w:val="18"/>
                              </w:rPr>
                              <w:t xml:space="preserve"> </w:t>
                            </w:r>
                            <w:r>
                              <w:rPr>
                                <w:sz w:val="18"/>
                                <w:szCs w:val="18"/>
                              </w:rPr>
                              <w:t>Tot deze technieken behoren onder meer: analyse van bijdragen, waarbij de beoordelaar noodzakelijke en toereikende oorzakelijke verbanden vaststelt om de verandering te verklaren</w:t>
                            </w:r>
                            <w:r>
                              <w:rPr>
                                <w:sz w:val="18"/>
                                <w:szCs w:val="18"/>
                                <w:vertAlign w:val="superscript"/>
                              </w:rPr>
                              <w:t>82</w:t>
                            </w:r>
                            <w:r>
                              <w:rPr>
                                <w:sz w:val="18"/>
                                <w:szCs w:val="18"/>
                              </w:rPr>
                              <w:t>, vaststelling en eliminatie van alternatieve oorzakelijke verklaringen</w:t>
                            </w:r>
                            <w:r>
                              <w:rPr>
                                <w:sz w:val="18"/>
                                <w:szCs w:val="18"/>
                                <w:vertAlign w:val="superscript"/>
                              </w:rPr>
                              <w:t>83</w:t>
                            </w:r>
                            <w:r>
                              <w:rPr>
                                <w:sz w:val="18"/>
                                <w:szCs w:val="18"/>
                              </w:rPr>
                              <w:t xml:space="preserve"> en/of vaststelling en onderbouwing van cruciale delen van de keten van bewijs die samengesteld is om de POP-bijdrage aan te tonen</w:t>
                            </w:r>
                            <w:r>
                              <w:rPr>
                                <w:sz w:val="18"/>
                                <w:szCs w:val="18"/>
                                <w:vertAlign w:val="superscript"/>
                              </w:rPr>
                              <w:t>84</w:t>
                            </w:r>
                            <w:r>
                              <w:rPr>
                                <w:sz w:val="18"/>
                                <w:szCs w:val="18"/>
                              </w:rPr>
                              <w:t>.</w:t>
                            </w:r>
                          </w:p>
                          <w:p w:rsidR="00891EED" w:rsidRPr="000E5745" w:rsidRDefault="00891EED" w:rsidP="00E05D08">
                            <w:pPr>
                              <w:pStyle w:val="HStandard"/>
                            </w:pPr>
                            <w:r>
                              <w:rPr>
                                <w:sz w:val="18"/>
                                <w:szCs w:val="18"/>
                              </w:rPr>
                              <w:t>De bijdrage van het POP moet worden beoordeeld op een Likert-schaal</w:t>
                            </w:r>
                            <w:r>
                              <w:rPr>
                                <w:sz w:val="18"/>
                                <w:szCs w:val="18"/>
                                <w:vertAlign w:val="superscript"/>
                              </w:rPr>
                              <w:t>85</w:t>
                            </w:r>
                            <w:r>
                              <w:rPr>
                                <w:sz w:val="18"/>
                                <w:szCs w:val="18"/>
                              </w:rPr>
                              <w:t>, met aanduidingen als geen, gering, enige, belangrijkste bijdragende factor, enige bijdragende factor. De beoordelaar dient ook met een score van een tot en met vijf aan te geven hoeveel vertrouwen hij/zij heeft in de bevindingen. De score moet worden verantwoord.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027A9" id="Rectangle: Diagonal Corners Rounded 566" o:spid="_x0000_s1058" style="position:absolute;left:0;text-align:left;margin-left:3pt;margin-top:149.25pt;width:446.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0550,285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" adj="-11796480,,5400" path="m224114,l5670550,r,l5670550,2633386v,123775,-100339,224114,-224114,224114l,2857500r,l,224114c,100339,100339,,224114,xe" filled="f" strokecolor="#be4a35" strokeweight="2pt">
                <v:stroke joinstyle="miter"/>
                <v:formulas/>
                <v:path arrowok="t" o:connecttype="custom" o:connectlocs="224114,0;5670550,0;5670550,0;5670550,2633386;5446436,2857500;0,2857500;0,2857500;0,224114;224114,0" o:connectangles="0,0,0,0,0,0,0,0,0" textboxrect="0,0,5670550,2857500"/>
                <v:textbox>
                  <w:txbxContent>
                    <w:p w:rsidR="00891EED" w:rsidRPr="00EF653F" w:rsidRDefault="00891EED" w:rsidP="00E05D08">
                      <w:pPr>
                        <w:pStyle w:val="HStandard"/>
                        <w:rPr>
                          <w:rFonts w:cs="Arial"/>
                          <w:b/>
                          <w:sz w:val="18"/>
                          <w:szCs w:val="18"/>
                        </w:rPr>
                      </w:pPr>
                      <w:r>
                        <w:rPr>
                          <w:noProof/>
                          <w:lang w:val="en-GB" w:eastAsia="en-GB"/>
                        </w:rPr>
                        <w:drawing>
                          <wp:inline distT="0" distB="0" distL="0" distR="0" wp14:anchorId="78E94F98" wp14:editId="299F7062">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Technieken om de beschrijving op te stellen en de resultaten te beoordelen</w:t>
                      </w:r>
                    </w:p>
                    <w:p w:rsidR="00891EED" w:rsidRPr="00EF653F" w:rsidRDefault="00891EED" w:rsidP="00E05D08">
                      <w:pPr>
                        <w:pStyle w:val="HStandard"/>
                        <w:rPr>
                          <w:rFonts w:cs="Arial"/>
                          <w:sz w:val="18"/>
                          <w:szCs w:val="18"/>
                        </w:rPr>
                      </w:pPr>
                      <w:r>
                        <w:rPr>
                          <w:sz w:val="18"/>
                          <w:szCs w:val="18"/>
                        </w:rPr>
                        <w:t xml:space="preserve">Bij het opstellen van de beschrijving kan de beoordelaar gebruikmaken van verschillende </w:t>
                      </w:r>
                      <w:r>
                        <w:rPr>
                          <w:b/>
                          <w:sz w:val="18"/>
                          <w:szCs w:val="18"/>
                        </w:rPr>
                        <w:t>technieken om de zaak te trianguleren en te onderbouwen</w:t>
                      </w:r>
                      <w:r>
                        <w:rPr>
                          <w:sz w:val="18"/>
                          <w:szCs w:val="18"/>
                        </w:rPr>
                        <w:t>.</w:t>
                      </w:r>
                      <w:r>
                        <w:rPr>
                          <w:b/>
                          <w:sz w:val="18"/>
                          <w:szCs w:val="18"/>
                        </w:rPr>
                        <w:t xml:space="preserve"> </w:t>
                      </w:r>
                      <w:r>
                        <w:rPr>
                          <w:sz w:val="18"/>
                          <w:szCs w:val="18"/>
                        </w:rPr>
                        <w:t>Tot deze technieken behoren onder meer: analyse van bijdragen, waarbij de beoordelaar noodzakelijke en toereikende oorzakelijke verbanden vaststelt om de verandering te verklaren</w:t>
                      </w:r>
                      <w:r>
                        <w:rPr>
                          <w:sz w:val="18"/>
                          <w:szCs w:val="18"/>
                          <w:vertAlign w:val="superscript"/>
                        </w:rPr>
                        <w:t>82</w:t>
                      </w:r>
                      <w:r>
                        <w:rPr>
                          <w:sz w:val="18"/>
                          <w:szCs w:val="18"/>
                        </w:rPr>
                        <w:t>, vaststelling en eliminatie van alternatieve oorzakelijke verklaringen</w:t>
                      </w:r>
                      <w:r>
                        <w:rPr>
                          <w:sz w:val="18"/>
                          <w:szCs w:val="18"/>
                          <w:vertAlign w:val="superscript"/>
                        </w:rPr>
                        <w:t>83</w:t>
                      </w:r>
                      <w:r>
                        <w:rPr>
                          <w:sz w:val="18"/>
                          <w:szCs w:val="18"/>
                        </w:rPr>
                        <w:t xml:space="preserve"> en/of vaststelling en onderbouwing van cruciale delen van de keten van bewijs die samengesteld is om de POP-bijdrage aan te tonen</w:t>
                      </w:r>
                      <w:r>
                        <w:rPr>
                          <w:sz w:val="18"/>
                          <w:szCs w:val="18"/>
                          <w:vertAlign w:val="superscript"/>
                        </w:rPr>
                        <w:t>84</w:t>
                      </w:r>
                      <w:r>
                        <w:rPr>
                          <w:sz w:val="18"/>
                          <w:szCs w:val="18"/>
                        </w:rPr>
                        <w:t>.</w:t>
                      </w:r>
                    </w:p>
                    <w:p w:rsidR="00891EED" w:rsidRPr="000E5745" w:rsidRDefault="00891EED" w:rsidP="00E05D08">
                      <w:pPr>
                        <w:pStyle w:val="HStandard"/>
                      </w:pPr>
                      <w:r>
                        <w:rPr>
                          <w:sz w:val="18"/>
                          <w:szCs w:val="18"/>
                        </w:rPr>
                        <w:t>De bijdrage van het POP moet worden beoordeeld op een Likert-schaal</w:t>
                      </w:r>
                      <w:r>
                        <w:rPr>
                          <w:sz w:val="18"/>
                          <w:szCs w:val="18"/>
                          <w:vertAlign w:val="superscript"/>
                        </w:rPr>
                        <w:t>85</w:t>
                      </w:r>
                      <w:r>
                        <w:rPr>
                          <w:sz w:val="18"/>
                          <w:szCs w:val="18"/>
                        </w:rPr>
                        <w:t>, met aanduidingen als geen, gering, enige, belangrijkste bijdragende factor, enige bijdragende factor. De beoordelaar dient ook met een score van een tot en met vijf aan te geven hoeveel vertrouwen hij/zij heeft in de bevindingen. De score moet worden verantwoord.</w:t>
                      </w:r>
                    </w:p>
                  </w:txbxContent>
                </v:textbox>
                <w10:wrap type="square"/>
              </v:shape>
            </w:pict>
          </mc:Fallback>
        </mc:AlternateContent>
      </w:r>
      <w:r>
        <w:rPr>
          <w:b/>
        </w:rPr>
        <w:t>STAP 3 - Een oorzakelijk tijdsverband met beschrijving ontwikkelen</w:t>
      </w:r>
      <w:r>
        <w:t xml:space="preserve"> om de totstandkoming van de in stap 1 vastgestelde verandering(en) te verklaren. De beschrijving berust op de vooronderstelling dat verandering(en) is/zijn voortgekomen uit een of meer van de drie trajecten en de interacties daartussen (zie </w:t>
      </w:r>
      <w:hyperlink w:anchor="Pathways" w:history="1">
        <w:r>
          <w:rPr>
            <w:rStyle w:val="Hyperlink"/>
            <w:sz w:val="20"/>
          </w:rPr>
          <w:t>figuur 1</w:t>
        </w:r>
      </w:hyperlink>
      <w:r>
        <w:t>). Het tijdsverband en de beschrijving moeten alle belangrijke gebeurtenissen en processen omvatten die tot de verandering hebben geleid, niet slechts die welke uit de activiteit van het POP zijn voortgevloeid. Deze benadering berust op een werkwijze waarin gebruikgemaakt wordt van casestudy's</w:t>
      </w:r>
      <w:r>
        <w:rPr>
          <w:rFonts w:cs="Arial"/>
          <w:vertAlign w:val="superscript"/>
        </w:rPr>
        <w:footnoteReference w:id="79"/>
      </w:r>
      <w:r>
        <w:t>. Specifieke methoden die van pas kunnen komen zijn procestracering (een theoretisch pad van resultaat naar oorzaken uitstippelen door verschillende alternatieven te beschouwen)</w:t>
      </w:r>
      <w:r>
        <w:rPr>
          <w:rFonts w:cs="Arial"/>
          <w:vertAlign w:val="superscript"/>
        </w:rPr>
        <w:footnoteReference w:id="80"/>
      </w:r>
      <w:r>
        <w:t xml:space="preserve"> en het opstellen van innovatiegeschiedenissen (methode om een innovatieproces vast te leggen en erover na te denken)</w:t>
      </w:r>
      <w:r>
        <w:rPr>
          <w:rFonts w:cs="Arial"/>
          <w:vertAlign w:val="superscript"/>
        </w:rPr>
        <w:footnoteReference w:id="81"/>
      </w:r>
      <w:r>
        <w:t>. Gegevens worden verkregen uit de vorige stappen, uit POP-documentatie en/of interviews van belangrijke informanten met programmapersoneel en belanghebbenden</w:t>
      </w:r>
      <w:r>
        <w:rPr>
          <w:rStyle w:val="FootnoteReference"/>
          <w:color w:val="FFFFFF" w:themeColor="background1"/>
        </w:rPr>
        <w:footnoteReference w:id="82"/>
      </w:r>
      <w:r>
        <w:rPr>
          <w:rStyle w:val="FootnoteReference"/>
          <w:color w:val="FFFFFF" w:themeColor="background1"/>
        </w:rPr>
        <w:footnoteReference w:id="83"/>
      </w:r>
      <w:r>
        <w:rPr>
          <w:rStyle w:val="FootnoteReference"/>
          <w:color w:val="FFFFFF" w:themeColor="background1"/>
        </w:rPr>
        <w:footnoteReference w:id="84"/>
      </w:r>
      <w:r>
        <w:t>.</w:t>
      </w:r>
      <w:r>
        <w:rPr>
          <w:rStyle w:val="FootnoteReference"/>
          <w:color w:val="FFFFFF" w:themeColor="background1"/>
        </w:rPr>
        <w:footnoteReference w:id="85"/>
      </w:r>
    </w:p>
    <w:p w:rsidR="00E05D08" w:rsidRPr="00E30E27" w:rsidRDefault="00E05D08" w:rsidP="00F31494">
      <w:pPr>
        <w:pStyle w:val="Hlistbullet"/>
        <w:spacing w:before="240"/>
      </w:pPr>
      <w:r>
        <w:rPr>
          <w:b/>
        </w:rPr>
        <w:t>STAP 4 - Het voorafgaand aan de evaluatie vastgestelde innovatiepotentieel vergelijken met de bijdrage van het POP.</w:t>
      </w:r>
      <w:r>
        <w:t xml:space="preserve"> Onze werkhypothese is dat er verschillen zullen zijn die de betrokkenen zullen helpen innovatie beter te begrijpen als emergent en onvoorspelbaar proces dat niettemin gestimuleerd kan worden als het POP voorziet in mechanismen voor leren en adaptief beheer.</w:t>
      </w:r>
    </w:p>
    <w:p w:rsidR="00AB6603" w:rsidRDefault="00F64797" w:rsidP="00AB6603">
      <w:pPr>
        <w:numPr>
          <w:ilvl w:val="0"/>
          <w:numId w:val="62"/>
        </w:numPr>
        <w:spacing w:before="120" w:after="120" w:line="280" w:lineRule="atLeast"/>
        <w:ind w:left="567" w:hanging="567"/>
        <w:mirrorIndents/>
        <w:rPr>
          <w:rFonts w:eastAsia="Times New Roman" w:cs="Times New Roman"/>
          <w:b/>
          <w:szCs w:val="20"/>
        </w:rPr>
      </w:pPr>
      <w:r>
        <w:rPr>
          <w:b/>
          <w:szCs w:val="20"/>
        </w:rPr>
        <w:t>Risico's en oplossingen</w:t>
      </w:r>
      <w:r>
        <w:t xml:space="preserve"> </w:t>
      </w:r>
    </w:p>
    <w:p w:rsidR="00E05D08" w:rsidRPr="00AB6603" w:rsidRDefault="00AB6603" w:rsidP="00A847F8">
      <w:pPr>
        <w:spacing w:before="120" w:after="120" w:line="280" w:lineRule="atLeast"/>
        <w:mirrorIndents/>
        <w:rPr>
          <w:rFonts w:eastAsia="Times New Roman" w:cs="Times New Roman"/>
          <w:b/>
          <w:szCs w:val="20"/>
        </w:rPr>
      </w:pPr>
      <w:r>
        <w:t>Het voornaamste risico is dat de hierboven beschreven casestudy-evaluatie geen overtuigende conclusies oplevert omdat de gehanteerde standaard niet hoog genoeg is.</w:t>
      </w:r>
    </w:p>
    <w:p w:rsidR="00E05D08" w:rsidRDefault="00E05D08" w:rsidP="00E05D08">
      <w:pPr>
        <w:spacing w:after="120" w:line="280" w:lineRule="atLeast"/>
        <w:mirrorIndents/>
        <w:rPr>
          <w:rFonts w:eastAsia="Times New Roman" w:cs="Arial"/>
          <w:szCs w:val="20"/>
        </w:rPr>
      </w:pPr>
      <w:r>
        <w:lastRenderedPageBreak/>
        <w:t xml:space="preserve">Als anderzijds geen casestudybenadering wordt gebruikt, bestaat het risico dat CEQ nr. 30 alleen geëvalueerd wordt op basis van de beoordelingscriteria en indicatoren, waardoor het niet mogelijk is de omvang van de POP-bijdragen te evalueren, noch om de betrokkenen te leren hoe verandering tot stand komt in complexe systemen. </w:t>
      </w:r>
    </w:p>
    <w:p w:rsidR="00E05D08" w:rsidRPr="00E05D08" w:rsidRDefault="00E05D08" w:rsidP="008C0B17">
      <w:pPr>
        <w:numPr>
          <w:ilvl w:val="0"/>
          <w:numId w:val="62"/>
        </w:numPr>
        <w:spacing w:before="120" w:after="120" w:line="280" w:lineRule="atLeast"/>
        <w:ind w:left="567" w:hanging="567"/>
        <w:mirrorIndents/>
        <w:rPr>
          <w:rFonts w:eastAsia="Times New Roman" w:cs="Times New Roman"/>
          <w:b/>
          <w:szCs w:val="20"/>
        </w:rPr>
      </w:pPr>
      <w:r>
        <w:rPr>
          <w:b/>
          <w:szCs w:val="20"/>
        </w:rPr>
        <w:t>Conclusies en aanbevelingen</w:t>
      </w:r>
    </w:p>
    <w:p w:rsidR="00E05D08" w:rsidRPr="00E05D08" w:rsidRDefault="00E05D08" w:rsidP="00E05D08">
      <w:pPr>
        <w:spacing w:after="120" w:line="280" w:lineRule="atLeast"/>
        <w:mirrorIndents/>
        <w:rPr>
          <w:rFonts w:eastAsia="Times New Roman" w:cs="Arial"/>
          <w:szCs w:val="20"/>
        </w:rPr>
      </w:pPr>
      <w:r>
        <w:t>Conclusies en aanbevelingen in verband met CEQ nr. 30 dienen het volgende in aanmerking te nemen:</w:t>
      </w:r>
    </w:p>
    <w:p w:rsidR="00E05D08" w:rsidRPr="00812586" w:rsidRDefault="00E05D08" w:rsidP="00320AA0">
      <w:pPr>
        <w:pStyle w:val="Hlistbullet"/>
      </w:pPr>
      <w:r>
        <w:t xml:space="preserve">specifieke maatregelen (en combinaties daarvan) die het meest effectief en efficiënt zijn geweest om innovatie in plattelandsgebieden te bevorderen door middel van het POP; </w:t>
      </w:r>
    </w:p>
    <w:p w:rsidR="00E05D08" w:rsidRPr="00812586" w:rsidRDefault="00E05D08" w:rsidP="00320AA0">
      <w:pPr>
        <w:pStyle w:val="Hlistbullet"/>
      </w:pPr>
      <w:r>
        <w:t xml:space="preserve">manieren waarop het POP innovaties heeft bevorderd in samenhang met de drie trajecten; </w:t>
      </w:r>
    </w:p>
    <w:p w:rsidR="00E05D08" w:rsidRPr="00812586" w:rsidRDefault="00E05D08" w:rsidP="00320AA0">
      <w:pPr>
        <w:pStyle w:val="Hlistbullet"/>
      </w:pPr>
      <w:r>
        <w:t xml:space="preserve">beleidsdoelstellingen waaraan de bevorderde innovatie het meest heeft bijgedragen; </w:t>
      </w:r>
    </w:p>
    <w:p w:rsidR="000E0FE4" w:rsidRDefault="00E05D08" w:rsidP="00320AA0">
      <w:pPr>
        <w:pStyle w:val="Hlistbullet"/>
      </w:pPr>
      <w:r>
        <w:t xml:space="preserve">belanghebbenden en POP-begunstigden die innovatie het effectiefst hebben bevorderd. </w:t>
      </w:r>
      <w:r>
        <w:br w:type="page"/>
      </w:r>
    </w:p>
    <w:p w:rsidR="000E0FE4" w:rsidRDefault="000E0FE4" w:rsidP="000E0FE4">
      <w:pPr>
        <w:ind w:left="720"/>
        <w:mirrorIndents/>
        <w:rPr>
          <w:szCs w:val="20"/>
        </w:rPr>
        <w:sectPr w:rsidR="000E0FE4" w:rsidSect="001F6F07">
          <w:headerReference w:type="first" r:id="rId100"/>
          <w:pgSz w:w="11907" w:h="16840" w:code="9"/>
          <w:pgMar w:top="1440" w:right="1440" w:bottom="1134" w:left="1440" w:header="567" w:footer="1020" w:gutter="0"/>
          <w:cols w:space="708"/>
          <w:titlePg/>
          <w:docGrid w:linePitch="435"/>
        </w:sectPr>
      </w:pPr>
    </w:p>
    <w:p w:rsidR="00E05D08" w:rsidRPr="00E05D08" w:rsidRDefault="00BA450C" w:rsidP="00E05D08">
      <w:pPr>
        <w:keepNext/>
        <w:keepLines/>
        <w:tabs>
          <w:tab w:val="left" w:pos="680"/>
        </w:tabs>
        <w:spacing w:before="240" w:after="240" w:line="280" w:lineRule="atLeast"/>
        <w:mirrorIndents/>
        <w:outlineLvl w:val="3"/>
        <w:rPr>
          <w:rFonts w:eastAsia="Times New Roman" w:cs="Times New Roman"/>
          <w:b/>
          <w:color w:val="57825E"/>
          <w:szCs w:val="20"/>
        </w:rPr>
      </w:pPr>
      <w:r>
        <w:rPr>
          <w:rFonts w:eastAsia="Times New Roman" w:cs="Times New Roman"/>
          <w:b/>
          <w:noProof/>
          <w:color w:val="57825E"/>
          <w:sz w:val="18"/>
          <w:szCs w:val="24"/>
          <w:lang w:val="en-GB" w:eastAsia="en-GB"/>
        </w:rPr>
        <w:lastRenderedPageBreak/>
        <mc:AlternateContent>
          <mc:Choice Requires="wps">
            <w:drawing>
              <wp:anchor distT="0" distB="0" distL="114300" distR="114300" simplePos="0" relativeHeight="251662336" behindDoc="0" locked="0" layoutInCell="1" allowOverlap="1" wp14:anchorId="0CDE2090" wp14:editId="4093E132">
                <wp:simplePos x="0" y="0"/>
                <wp:positionH relativeFrom="column">
                  <wp:posOffset>-57150</wp:posOffset>
                </wp:positionH>
                <wp:positionV relativeFrom="paragraph">
                  <wp:posOffset>323850</wp:posOffset>
                </wp:positionV>
                <wp:extent cx="5811864" cy="4181475"/>
                <wp:effectExtent l="0" t="0" r="17780" b="28575"/>
                <wp:wrapNone/>
                <wp:docPr id="582" name="Rectangle: Diagonal Corners Rounded 582"/>
                <wp:cNvGraphicFramePr/>
                <a:graphic xmlns:a="http://schemas.openxmlformats.org/drawingml/2006/main">
                  <a:graphicData uri="http://schemas.microsoft.com/office/word/2010/wordprocessingShape">
                    <wps:wsp>
                      <wps:cNvSpPr/>
                      <wps:spPr>
                        <a:xfrm>
                          <a:off x="0" y="0"/>
                          <a:ext cx="5811864" cy="4181475"/>
                        </a:xfrm>
                        <a:prstGeom prst="round2DiagRect">
                          <a:avLst>
                            <a:gd name="adj1" fmla="val 6996"/>
                            <a:gd name="adj2" fmla="val 0"/>
                          </a:avLst>
                        </a:prstGeom>
                        <a:noFill/>
                        <a:ln w="25400" cap="flat" cmpd="sng" algn="ctr">
                          <a:solidFill>
                            <a:srgbClr val="59638E"/>
                          </a:solidFill>
                          <a:prstDash val="solid"/>
                        </a:ln>
                        <a:effectLst/>
                      </wps:spPr>
                      <wps:txbx>
                        <w:txbxContent>
                          <w:p w:rsidR="00891EED" w:rsidRDefault="00891EED" w:rsidP="00BA450C">
                            <w:pPr>
                              <w:pStyle w:val="HStandard"/>
                              <w:rPr>
                                <w:sz w:val="18"/>
                                <w:szCs w:val="18"/>
                              </w:rPr>
                            </w:pPr>
                            <w:r>
                              <w:rPr>
                                <w:noProof/>
                                <w:lang w:val="en-GB" w:eastAsia="en-GB"/>
                              </w:rPr>
                              <w:drawing>
                                <wp:inline distT="0" distB="0" distL="0" distR="0" wp14:anchorId="5F57BE73" wp14:editId="443225E2">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891EED" w:rsidRPr="006F10F3" w:rsidRDefault="00891EED" w:rsidP="00BA450C">
                            <w:pPr>
                              <w:pStyle w:val="HStandard"/>
                              <w:rPr>
                                <w:sz w:val="18"/>
                                <w:szCs w:val="18"/>
                              </w:rPr>
                            </w:pPr>
                            <w:r w:rsidRPr="006F10F3">
                              <w:rPr>
                                <w:sz w:val="18"/>
                                <w:szCs w:val="18"/>
                              </w:rPr>
                              <w:t xml:space="preserve">Allen, I.E. en Seaman, C.A. (2007). </w:t>
                            </w:r>
                            <w:hyperlink r:id="rId101" w:history="1">
                              <w:r w:rsidRPr="006F10F3">
                                <w:rPr>
                                  <w:rStyle w:val="Hyperlink"/>
                                  <w:sz w:val="18"/>
                                  <w:szCs w:val="18"/>
                                </w:rPr>
                                <w:t>Likert scales and data analyses</w:t>
                              </w:r>
                            </w:hyperlink>
                            <w:r w:rsidRPr="006F10F3">
                              <w:rPr>
                                <w:sz w:val="18"/>
                                <w:szCs w:val="18"/>
                              </w:rPr>
                              <w:t>. Quality progress, 40(7), blz. 64.</w:t>
                            </w:r>
                          </w:p>
                          <w:p w:rsidR="00891EED" w:rsidRPr="000D7890" w:rsidRDefault="00891EED" w:rsidP="00BA450C">
                            <w:pPr>
                              <w:pStyle w:val="HStandard"/>
                              <w:jc w:val="left"/>
                              <w:rPr>
                                <w:sz w:val="18"/>
                                <w:szCs w:val="18"/>
                                <w:lang w:val="en-US"/>
                              </w:rPr>
                            </w:pPr>
                            <w:r w:rsidRPr="000D7890">
                              <w:rPr>
                                <w:sz w:val="18"/>
                                <w:szCs w:val="18"/>
                                <w:lang w:val="en-US"/>
                              </w:rPr>
                              <w:t>Collier, D., 2011. "</w:t>
                            </w:r>
                            <w:hyperlink r:id="rId102" w:history="1">
                              <w:r w:rsidRPr="000D7890">
                                <w:rPr>
                                  <w:rStyle w:val="Hyperlink"/>
                                  <w:sz w:val="18"/>
                                  <w:szCs w:val="18"/>
                                  <w:lang w:val="en-US"/>
                                </w:rPr>
                                <w:t>Understanding process tracing.</w:t>
                              </w:r>
                            </w:hyperlink>
                            <w:r w:rsidRPr="000D7890">
                              <w:rPr>
                                <w:sz w:val="18"/>
                                <w:szCs w:val="18"/>
                                <w:lang w:val="en-US"/>
                              </w:rPr>
                              <w:t>" PS: Political Science &amp; Politics 44.04: 823-830.</w:t>
                            </w:r>
                          </w:p>
                          <w:p w:rsidR="00891EED" w:rsidRPr="000D7890" w:rsidRDefault="00891EED" w:rsidP="00BA450C">
                            <w:pPr>
                              <w:pStyle w:val="HStandard"/>
                              <w:jc w:val="left"/>
                              <w:rPr>
                                <w:sz w:val="18"/>
                                <w:szCs w:val="18"/>
                                <w:lang w:val="en-US"/>
                              </w:rPr>
                            </w:pPr>
                            <w:r w:rsidRPr="00300AFA">
                              <w:rPr>
                                <w:sz w:val="18"/>
                                <w:szCs w:val="18"/>
                                <w:lang w:val="fr-BE"/>
                              </w:rPr>
                              <w:t xml:space="preserve">Douthwaite, B. en Ashby, J., 2005. </w:t>
                            </w:r>
                            <w:r w:rsidRPr="000D7890">
                              <w:rPr>
                                <w:sz w:val="18"/>
                                <w:szCs w:val="18"/>
                                <w:lang w:val="en-US"/>
                              </w:rPr>
                              <w:t xml:space="preserve">Innovation histories: a method from learning from experience. Institutional Learning and Change Initiative. Geraadpleegd op 15 mei, op: </w:t>
                            </w:r>
                            <w:hyperlink r:id="rId103" w:history="1">
                              <w:r w:rsidRPr="000D7890">
                                <w:rPr>
                                  <w:rStyle w:val="Hyperlink"/>
                                  <w:sz w:val="18"/>
                                  <w:szCs w:val="18"/>
                                  <w:lang w:val="en-US"/>
                                </w:rPr>
                                <w:t>http://ageconsearch.umn.edu/bitstream/52515/2/ILAC_Brief05_Histories.pdf</w:t>
                              </w:r>
                            </w:hyperlink>
                          </w:p>
                          <w:p w:rsidR="00891EED" w:rsidRPr="000D7890" w:rsidRDefault="00891EED" w:rsidP="00BA450C">
                            <w:pPr>
                              <w:pStyle w:val="HStandard"/>
                              <w:jc w:val="left"/>
                              <w:rPr>
                                <w:sz w:val="18"/>
                                <w:szCs w:val="18"/>
                                <w:lang w:val="en-US"/>
                              </w:rPr>
                            </w:pPr>
                            <w:r w:rsidRPr="000D7890">
                              <w:rPr>
                                <w:sz w:val="18"/>
                                <w:szCs w:val="18"/>
                                <w:lang w:val="en-US"/>
                              </w:rPr>
                              <w:t xml:space="preserve">GAO (General Accounts Office) (1987) </w:t>
                            </w:r>
                            <w:hyperlink r:id="rId104" w:history="1">
                              <w:r w:rsidRPr="000D7890">
                                <w:rPr>
                                  <w:rStyle w:val="Hyperlink"/>
                                  <w:sz w:val="18"/>
                                  <w:szCs w:val="18"/>
                                  <w:lang w:val="en-US"/>
                                </w:rPr>
                                <w:t>Case study evaluation.</w:t>
                              </w:r>
                            </w:hyperlink>
                            <w:hyperlink r:id="rId105" w:history="1">
                              <w:r w:rsidRPr="000D7890">
                                <w:rPr>
                                  <w:rStyle w:val="Hyperlink"/>
                                  <w:sz w:val="18"/>
                                  <w:szCs w:val="18"/>
                                  <w:lang w:val="en-US"/>
                                </w:rPr>
                                <w:t xml:space="preserve"> Program Evaluation and Methodology</w:t>
                              </w:r>
                            </w:hyperlink>
                            <w:r w:rsidRPr="000D7890">
                              <w:rPr>
                                <w:sz w:val="18"/>
                                <w:szCs w:val="18"/>
                                <w:lang w:val="en-US"/>
                              </w:rPr>
                              <w:t>. Division, Transfer Paper 9. Washington DC: GAO.</w:t>
                            </w:r>
                          </w:p>
                          <w:p w:rsidR="00891EED" w:rsidRPr="000D7890" w:rsidRDefault="00891EED" w:rsidP="00BA450C">
                            <w:pPr>
                              <w:pStyle w:val="HStandard"/>
                              <w:jc w:val="left"/>
                              <w:rPr>
                                <w:sz w:val="18"/>
                                <w:szCs w:val="18"/>
                                <w:lang w:val="en-US"/>
                              </w:rPr>
                            </w:pPr>
                            <w:r w:rsidRPr="000D7890">
                              <w:rPr>
                                <w:sz w:val="18"/>
                                <w:szCs w:val="18"/>
                                <w:lang w:val="en-US"/>
                              </w:rPr>
                              <w:t xml:space="preserve">Hilton, D.J., 1996. </w:t>
                            </w:r>
                            <w:hyperlink r:id="rId106" w:history="1">
                              <w:r w:rsidRPr="000D7890">
                                <w:rPr>
                                  <w:rStyle w:val="Hyperlink"/>
                                  <w:sz w:val="18"/>
                                  <w:szCs w:val="18"/>
                                  <w:lang w:val="en-US"/>
                                </w:rPr>
                                <w:t>Mental models and causal explanation:</w:t>
                              </w:r>
                            </w:hyperlink>
                            <w:hyperlink r:id="rId107" w:history="1">
                              <w:r w:rsidRPr="000D7890">
                                <w:rPr>
                                  <w:rStyle w:val="Hyperlink"/>
                                  <w:sz w:val="18"/>
                                  <w:szCs w:val="18"/>
                                  <w:lang w:val="en-US"/>
                                </w:rPr>
                                <w:t xml:space="preserve"> Judgments of probable cause and explanatory relevance</w:t>
                              </w:r>
                            </w:hyperlink>
                            <w:r w:rsidRPr="000D7890">
                              <w:rPr>
                                <w:sz w:val="18"/>
                                <w:szCs w:val="18"/>
                                <w:lang w:val="en-US"/>
                              </w:rPr>
                              <w:t>. Thinking &amp; Reasoning, 2(4), blz. 273-308.</w:t>
                            </w:r>
                          </w:p>
                          <w:p w:rsidR="00891EED" w:rsidRPr="000D7890" w:rsidRDefault="00891EED" w:rsidP="00BA450C">
                            <w:pPr>
                              <w:pStyle w:val="HStandard"/>
                              <w:jc w:val="left"/>
                              <w:rPr>
                                <w:sz w:val="18"/>
                                <w:szCs w:val="18"/>
                                <w:lang w:val="en-US"/>
                              </w:rPr>
                            </w:pPr>
                            <w:r w:rsidRPr="000D7890">
                              <w:rPr>
                                <w:sz w:val="18"/>
                                <w:szCs w:val="18"/>
                                <w:lang w:val="en-US"/>
                              </w:rPr>
                              <w:t xml:space="preserve">Mayne, J., 2012. </w:t>
                            </w:r>
                            <w:hyperlink r:id="rId108" w:history="1">
                              <w:r w:rsidRPr="000D7890">
                                <w:rPr>
                                  <w:rStyle w:val="Hyperlink"/>
                                  <w:sz w:val="18"/>
                                  <w:szCs w:val="18"/>
                                  <w:lang w:val="en-US"/>
                                </w:rPr>
                                <w:t>Contribution analysis:</w:t>
                              </w:r>
                            </w:hyperlink>
                            <w:hyperlink r:id="rId109" w:history="1">
                              <w:r w:rsidRPr="000D7890">
                                <w:rPr>
                                  <w:rStyle w:val="Hyperlink"/>
                                  <w:sz w:val="18"/>
                                  <w:szCs w:val="18"/>
                                  <w:lang w:val="en-US"/>
                                </w:rPr>
                                <w:t xml:space="preserve"> Coming of age? </w:t>
                              </w:r>
                            </w:hyperlink>
                            <w:r w:rsidRPr="000D7890">
                              <w:rPr>
                                <w:sz w:val="18"/>
                                <w:szCs w:val="18"/>
                                <w:lang w:val="en-US"/>
                              </w:rPr>
                              <w:t>Evaluation 18.3 (2012): 270-280.</w:t>
                            </w:r>
                          </w:p>
                          <w:p w:rsidR="00891EED" w:rsidRPr="000D7890" w:rsidRDefault="00891EED" w:rsidP="00BA450C">
                            <w:pPr>
                              <w:pStyle w:val="HStandard"/>
                              <w:jc w:val="left"/>
                              <w:rPr>
                                <w:sz w:val="18"/>
                                <w:szCs w:val="18"/>
                                <w:lang w:val="en-US"/>
                              </w:rPr>
                            </w:pPr>
                            <w:r w:rsidRPr="000D7890">
                              <w:rPr>
                                <w:sz w:val="18"/>
                                <w:szCs w:val="18"/>
                                <w:lang w:val="en-US"/>
                              </w:rPr>
                              <w:t xml:space="preserve">Pawson, R., Greenhalgh, T., Harvey, G. en Walshe, K., 2005. </w:t>
                            </w:r>
                            <w:hyperlink r:id="rId110" w:history="1">
                              <w:r w:rsidRPr="000D7890">
                                <w:rPr>
                                  <w:rStyle w:val="Hyperlink"/>
                                  <w:sz w:val="18"/>
                                  <w:szCs w:val="18"/>
                                  <w:lang w:val="en-US"/>
                                </w:rPr>
                                <w:t>Realist review–a new method of systematic review designed for complex policy interventions.</w:t>
                              </w:r>
                            </w:hyperlink>
                            <w:r w:rsidRPr="000D7890">
                              <w:rPr>
                                <w:sz w:val="18"/>
                                <w:szCs w:val="18"/>
                                <w:lang w:val="en-US"/>
                              </w:rPr>
                              <w:t> Journal of health services research &amp; policy, 10 (suppl 1), blz. 21-34.</w:t>
                            </w:r>
                          </w:p>
                          <w:p w:rsidR="00891EED" w:rsidRPr="00BA450C" w:rsidRDefault="00891EED" w:rsidP="00BA450C">
                            <w:pPr>
                              <w:pStyle w:val="HStandard"/>
                              <w:jc w:val="left"/>
                              <w:rPr>
                                <w:sz w:val="18"/>
                                <w:szCs w:val="18"/>
                              </w:rPr>
                            </w:pPr>
                            <w:r w:rsidRPr="000D7890">
                              <w:rPr>
                                <w:sz w:val="18"/>
                                <w:szCs w:val="18"/>
                                <w:lang w:val="en-US"/>
                              </w:rPr>
                              <w:t>Wilson-Grau, R. (2015) </w:t>
                            </w:r>
                            <w:r w:rsidRPr="000D7890">
                              <w:rPr>
                                <w:i/>
                                <w:sz w:val="18"/>
                                <w:szCs w:val="18"/>
                                <w:lang w:val="en-US"/>
                              </w:rPr>
                              <w:t>Outcome Harvesting</w:t>
                            </w:r>
                            <w:r w:rsidRPr="000D7890">
                              <w:rPr>
                                <w:sz w:val="18"/>
                                <w:szCs w:val="18"/>
                                <w:lang w:val="en-US"/>
                              </w:rPr>
                              <w:t xml:space="preserve">. </w:t>
                            </w:r>
                            <w:r>
                              <w:rPr>
                                <w:sz w:val="18"/>
                                <w:szCs w:val="18"/>
                              </w:rPr>
                              <w:t xml:space="preserve">Better Evaluation. </w:t>
                            </w:r>
                            <w:r>
                              <w:t xml:space="preserve">Gedownload van </w:t>
                            </w:r>
                            <w:hyperlink r:id="rId111" w:history="1">
                              <w:r>
                                <w:rPr>
                                  <w:rStyle w:val="Hyperlink"/>
                                  <w:sz w:val="18"/>
                                  <w:szCs w:val="18"/>
                                </w:rPr>
                                <w:t>http://betterevaluation.org/plan/approach/outcome_harvesting</w:t>
                              </w:r>
                            </w:hyperlink>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E2090" id="Rectangle: Diagonal Corners Rounded 582" o:spid="_x0000_s1059" style="position:absolute;left:0;text-align:left;margin-left:-4.5pt;margin-top:25.5pt;width:457.65pt;height:3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864,4181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" adj="-11796480,,5400" path="m292536,l5811864,r,l5811864,3888939v,161563,-130973,292536,-292536,292536l,4181475r,l,292536c,130973,130973,,292536,xe" filled="f" strokecolor="#59638e" strokeweight="2pt">
                <v:stroke joinstyle="miter"/>
                <v:formulas/>
                <v:path arrowok="t" o:connecttype="custom" o:connectlocs="292536,0;5811864,0;5811864,0;5811864,3888939;5519328,4181475;0,4181475;0,4181475;0,292536;292536,0" o:connectangles="0,0,0,0,0,0,0,0,0" textboxrect="0,0,5811864,4181475"/>
                <v:textbox>
                  <w:txbxContent>
                    <w:p w:rsidR="00891EED" w:rsidRDefault="00891EED" w:rsidP="00BA450C">
                      <w:pPr>
                        <w:pStyle w:val="HStandard"/>
                        <w:rPr>
                          <w:sz w:val="18"/>
                          <w:szCs w:val="18"/>
                        </w:rPr>
                      </w:pPr>
                      <w:r>
                        <w:rPr>
                          <w:noProof/>
                          <w:lang w:val="en-GB" w:eastAsia="en-GB"/>
                        </w:rPr>
                        <w:drawing>
                          <wp:inline distT="0" distB="0" distL="0" distR="0" wp14:anchorId="5F57BE73" wp14:editId="443225E2">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891EED" w:rsidRPr="006F10F3" w:rsidRDefault="00891EED" w:rsidP="00BA450C">
                      <w:pPr>
                        <w:pStyle w:val="HStandard"/>
                        <w:rPr>
                          <w:sz w:val="18"/>
                          <w:szCs w:val="18"/>
                        </w:rPr>
                      </w:pPr>
                      <w:r w:rsidRPr="006F10F3">
                        <w:rPr>
                          <w:sz w:val="18"/>
                          <w:szCs w:val="18"/>
                        </w:rPr>
                        <w:t xml:space="preserve">Allen, I.E. en Seaman, C.A. (2007). </w:t>
                      </w:r>
                      <w:hyperlink r:id="rId112" w:history="1">
                        <w:r w:rsidRPr="006F10F3">
                          <w:rPr>
                            <w:rStyle w:val="Hyperlink"/>
                            <w:sz w:val="18"/>
                            <w:szCs w:val="18"/>
                          </w:rPr>
                          <w:t>Likert scales and data analyses</w:t>
                        </w:r>
                      </w:hyperlink>
                      <w:r w:rsidRPr="006F10F3">
                        <w:rPr>
                          <w:sz w:val="18"/>
                          <w:szCs w:val="18"/>
                        </w:rPr>
                        <w:t>. Quality progress, 40(7), blz. 64.</w:t>
                      </w:r>
                    </w:p>
                    <w:p w:rsidR="00891EED" w:rsidRPr="000D7890" w:rsidRDefault="00891EED" w:rsidP="00BA450C">
                      <w:pPr>
                        <w:pStyle w:val="HStandard"/>
                        <w:jc w:val="left"/>
                        <w:rPr>
                          <w:sz w:val="18"/>
                          <w:szCs w:val="18"/>
                          <w:lang w:val="en-US"/>
                        </w:rPr>
                      </w:pPr>
                      <w:r w:rsidRPr="000D7890">
                        <w:rPr>
                          <w:sz w:val="18"/>
                          <w:szCs w:val="18"/>
                          <w:lang w:val="en-US"/>
                        </w:rPr>
                        <w:t>Collier, D., 2011. "</w:t>
                      </w:r>
                      <w:hyperlink r:id="rId113" w:history="1">
                        <w:r w:rsidRPr="000D7890">
                          <w:rPr>
                            <w:rStyle w:val="Hyperlink"/>
                            <w:sz w:val="18"/>
                            <w:szCs w:val="18"/>
                            <w:lang w:val="en-US"/>
                          </w:rPr>
                          <w:t>Understanding process tracing.</w:t>
                        </w:r>
                      </w:hyperlink>
                      <w:r w:rsidRPr="000D7890">
                        <w:rPr>
                          <w:sz w:val="18"/>
                          <w:szCs w:val="18"/>
                          <w:lang w:val="en-US"/>
                        </w:rPr>
                        <w:t>" PS: Political Science &amp; Politics 44.04: 823-830.</w:t>
                      </w:r>
                    </w:p>
                    <w:p w:rsidR="00891EED" w:rsidRPr="000D7890" w:rsidRDefault="00891EED" w:rsidP="00BA450C">
                      <w:pPr>
                        <w:pStyle w:val="HStandard"/>
                        <w:jc w:val="left"/>
                        <w:rPr>
                          <w:sz w:val="18"/>
                          <w:szCs w:val="18"/>
                          <w:lang w:val="en-US"/>
                        </w:rPr>
                      </w:pPr>
                      <w:r w:rsidRPr="00300AFA">
                        <w:rPr>
                          <w:sz w:val="18"/>
                          <w:szCs w:val="18"/>
                          <w:lang w:val="fr-BE"/>
                        </w:rPr>
                        <w:t xml:space="preserve">Douthwaite, B. en Ashby, J., 2005. </w:t>
                      </w:r>
                      <w:r w:rsidRPr="000D7890">
                        <w:rPr>
                          <w:sz w:val="18"/>
                          <w:szCs w:val="18"/>
                          <w:lang w:val="en-US"/>
                        </w:rPr>
                        <w:t xml:space="preserve">Innovation histories: a method from learning from experience. Institutional Learning and Change Initiative. Geraadpleegd op 15 mei, op: </w:t>
                      </w:r>
                      <w:hyperlink r:id="rId114" w:history="1">
                        <w:r w:rsidRPr="000D7890">
                          <w:rPr>
                            <w:rStyle w:val="Hyperlink"/>
                            <w:sz w:val="18"/>
                            <w:szCs w:val="18"/>
                            <w:lang w:val="en-US"/>
                          </w:rPr>
                          <w:t>http://ageconsearch.umn.edu/bitstream/52515/2/ILAC_Brief05_Histories.pdf</w:t>
                        </w:r>
                      </w:hyperlink>
                    </w:p>
                    <w:p w:rsidR="00891EED" w:rsidRPr="000D7890" w:rsidRDefault="00891EED" w:rsidP="00BA450C">
                      <w:pPr>
                        <w:pStyle w:val="HStandard"/>
                        <w:jc w:val="left"/>
                        <w:rPr>
                          <w:sz w:val="18"/>
                          <w:szCs w:val="18"/>
                          <w:lang w:val="en-US"/>
                        </w:rPr>
                      </w:pPr>
                      <w:r w:rsidRPr="000D7890">
                        <w:rPr>
                          <w:sz w:val="18"/>
                          <w:szCs w:val="18"/>
                          <w:lang w:val="en-US"/>
                        </w:rPr>
                        <w:t xml:space="preserve">GAO (General Accounts Office) (1987) </w:t>
                      </w:r>
                      <w:hyperlink r:id="rId115" w:history="1">
                        <w:r w:rsidRPr="000D7890">
                          <w:rPr>
                            <w:rStyle w:val="Hyperlink"/>
                            <w:sz w:val="18"/>
                            <w:szCs w:val="18"/>
                            <w:lang w:val="en-US"/>
                          </w:rPr>
                          <w:t>Case study evaluation.</w:t>
                        </w:r>
                      </w:hyperlink>
                      <w:hyperlink r:id="rId116" w:history="1">
                        <w:r w:rsidRPr="000D7890">
                          <w:rPr>
                            <w:rStyle w:val="Hyperlink"/>
                            <w:sz w:val="18"/>
                            <w:szCs w:val="18"/>
                            <w:lang w:val="en-US"/>
                          </w:rPr>
                          <w:t xml:space="preserve"> Program Evaluation and Methodology</w:t>
                        </w:r>
                      </w:hyperlink>
                      <w:r w:rsidRPr="000D7890">
                        <w:rPr>
                          <w:sz w:val="18"/>
                          <w:szCs w:val="18"/>
                          <w:lang w:val="en-US"/>
                        </w:rPr>
                        <w:t>. Division, Transfer Paper 9. Washington DC: GAO.</w:t>
                      </w:r>
                    </w:p>
                    <w:p w:rsidR="00891EED" w:rsidRPr="000D7890" w:rsidRDefault="00891EED" w:rsidP="00BA450C">
                      <w:pPr>
                        <w:pStyle w:val="HStandard"/>
                        <w:jc w:val="left"/>
                        <w:rPr>
                          <w:sz w:val="18"/>
                          <w:szCs w:val="18"/>
                          <w:lang w:val="en-US"/>
                        </w:rPr>
                      </w:pPr>
                      <w:r w:rsidRPr="000D7890">
                        <w:rPr>
                          <w:sz w:val="18"/>
                          <w:szCs w:val="18"/>
                          <w:lang w:val="en-US"/>
                        </w:rPr>
                        <w:t xml:space="preserve">Hilton, D.J., 1996. </w:t>
                      </w:r>
                      <w:hyperlink r:id="rId117" w:history="1">
                        <w:r w:rsidRPr="000D7890">
                          <w:rPr>
                            <w:rStyle w:val="Hyperlink"/>
                            <w:sz w:val="18"/>
                            <w:szCs w:val="18"/>
                            <w:lang w:val="en-US"/>
                          </w:rPr>
                          <w:t>Mental models and causal explanation:</w:t>
                        </w:r>
                      </w:hyperlink>
                      <w:hyperlink r:id="rId118" w:history="1">
                        <w:r w:rsidRPr="000D7890">
                          <w:rPr>
                            <w:rStyle w:val="Hyperlink"/>
                            <w:sz w:val="18"/>
                            <w:szCs w:val="18"/>
                            <w:lang w:val="en-US"/>
                          </w:rPr>
                          <w:t xml:space="preserve"> Judgments of probable cause and explanatory relevance</w:t>
                        </w:r>
                      </w:hyperlink>
                      <w:r w:rsidRPr="000D7890">
                        <w:rPr>
                          <w:sz w:val="18"/>
                          <w:szCs w:val="18"/>
                          <w:lang w:val="en-US"/>
                        </w:rPr>
                        <w:t>. Thinking &amp; Reasoning, 2(4), blz. 273-308.</w:t>
                      </w:r>
                    </w:p>
                    <w:p w:rsidR="00891EED" w:rsidRPr="000D7890" w:rsidRDefault="00891EED" w:rsidP="00BA450C">
                      <w:pPr>
                        <w:pStyle w:val="HStandard"/>
                        <w:jc w:val="left"/>
                        <w:rPr>
                          <w:sz w:val="18"/>
                          <w:szCs w:val="18"/>
                          <w:lang w:val="en-US"/>
                        </w:rPr>
                      </w:pPr>
                      <w:r w:rsidRPr="000D7890">
                        <w:rPr>
                          <w:sz w:val="18"/>
                          <w:szCs w:val="18"/>
                          <w:lang w:val="en-US"/>
                        </w:rPr>
                        <w:t xml:space="preserve">Mayne, J., 2012. </w:t>
                      </w:r>
                      <w:hyperlink r:id="rId119" w:history="1">
                        <w:r w:rsidRPr="000D7890">
                          <w:rPr>
                            <w:rStyle w:val="Hyperlink"/>
                            <w:sz w:val="18"/>
                            <w:szCs w:val="18"/>
                            <w:lang w:val="en-US"/>
                          </w:rPr>
                          <w:t>Contribution analysis:</w:t>
                        </w:r>
                      </w:hyperlink>
                      <w:hyperlink r:id="rId120" w:history="1">
                        <w:r w:rsidRPr="000D7890">
                          <w:rPr>
                            <w:rStyle w:val="Hyperlink"/>
                            <w:sz w:val="18"/>
                            <w:szCs w:val="18"/>
                            <w:lang w:val="en-US"/>
                          </w:rPr>
                          <w:t xml:space="preserve"> Coming of age? </w:t>
                        </w:r>
                      </w:hyperlink>
                      <w:r w:rsidRPr="000D7890">
                        <w:rPr>
                          <w:sz w:val="18"/>
                          <w:szCs w:val="18"/>
                          <w:lang w:val="en-US"/>
                        </w:rPr>
                        <w:t>Evaluation 18.3 (2012): 270-280.</w:t>
                      </w:r>
                    </w:p>
                    <w:p w:rsidR="00891EED" w:rsidRPr="000D7890" w:rsidRDefault="00891EED" w:rsidP="00BA450C">
                      <w:pPr>
                        <w:pStyle w:val="HStandard"/>
                        <w:jc w:val="left"/>
                        <w:rPr>
                          <w:sz w:val="18"/>
                          <w:szCs w:val="18"/>
                          <w:lang w:val="en-US"/>
                        </w:rPr>
                      </w:pPr>
                      <w:r w:rsidRPr="000D7890">
                        <w:rPr>
                          <w:sz w:val="18"/>
                          <w:szCs w:val="18"/>
                          <w:lang w:val="en-US"/>
                        </w:rPr>
                        <w:t xml:space="preserve">Pawson, R., Greenhalgh, T., Harvey, G. en Walshe, K., 2005. </w:t>
                      </w:r>
                      <w:hyperlink r:id="rId121" w:history="1">
                        <w:r w:rsidRPr="000D7890">
                          <w:rPr>
                            <w:rStyle w:val="Hyperlink"/>
                            <w:sz w:val="18"/>
                            <w:szCs w:val="18"/>
                            <w:lang w:val="en-US"/>
                          </w:rPr>
                          <w:t>Realist review–a new method of systematic review designed for complex policy interventions.</w:t>
                        </w:r>
                      </w:hyperlink>
                      <w:r w:rsidRPr="000D7890">
                        <w:rPr>
                          <w:sz w:val="18"/>
                          <w:szCs w:val="18"/>
                          <w:lang w:val="en-US"/>
                        </w:rPr>
                        <w:t> Journal of health services research &amp; policy, 10 (suppl 1), blz. 21-34.</w:t>
                      </w:r>
                    </w:p>
                    <w:p w:rsidR="00891EED" w:rsidRPr="00BA450C" w:rsidRDefault="00891EED" w:rsidP="00BA450C">
                      <w:pPr>
                        <w:pStyle w:val="HStandard"/>
                        <w:jc w:val="left"/>
                        <w:rPr>
                          <w:sz w:val="18"/>
                          <w:szCs w:val="18"/>
                        </w:rPr>
                      </w:pPr>
                      <w:r w:rsidRPr="000D7890">
                        <w:rPr>
                          <w:sz w:val="18"/>
                          <w:szCs w:val="18"/>
                          <w:lang w:val="en-US"/>
                        </w:rPr>
                        <w:t>Wilson-Grau, R. (2015) </w:t>
                      </w:r>
                      <w:r w:rsidRPr="000D7890">
                        <w:rPr>
                          <w:i/>
                          <w:sz w:val="18"/>
                          <w:szCs w:val="18"/>
                          <w:lang w:val="en-US"/>
                        </w:rPr>
                        <w:t>Outcome Harvesting</w:t>
                      </w:r>
                      <w:r w:rsidRPr="000D7890">
                        <w:rPr>
                          <w:sz w:val="18"/>
                          <w:szCs w:val="18"/>
                          <w:lang w:val="en-US"/>
                        </w:rPr>
                        <w:t xml:space="preserve">. </w:t>
                      </w:r>
                      <w:r>
                        <w:rPr>
                          <w:sz w:val="18"/>
                          <w:szCs w:val="18"/>
                        </w:rPr>
                        <w:t xml:space="preserve">Better Evaluation. </w:t>
                      </w:r>
                      <w:r>
                        <w:t xml:space="preserve">Gedownload van </w:t>
                      </w:r>
                      <w:hyperlink r:id="rId122" w:history="1">
                        <w:r>
                          <w:rPr>
                            <w:rStyle w:val="Hyperlink"/>
                            <w:sz w:val="18"/>
                            <w:szCs w:val="18"/>
                          </w:rPr>
                          <w:t>http://betterevaluation.org/plan/approach/outcome_harvesting</w:t>
                        </w:r>
                      </w:hyperlink>
                      <w:r>
                        <w:rPr>
                          <w:sz w:val="18"/>
                          <w:szCs w:val="18"/>
                        </w:rPr>
                        <w:t>.</w:t>
                      </w:r>
                    </w:p>
                  </w:txbxContent>
                </v:textbox>
              </v:shape>
            </w:pict>
          </mc:Fallback>
        </mc:AlternateContent>
      </w:r>
      <w:r>
        <w:rPr>
          <w:b/>
          <w:color w:val="57825E"/>
          <w:szCs w:val="20"/>
        </w:rPr>
        <w:t>Meer informatie</w:t>
      </w:r>
    </w:p>
    <w:p w:rsidR="00E05D08" w:rsidRDefault="00E05D08" w:rsidP="00E05D08">
      <w:pPr>
        <w:spacing w:after="120" w:line="280" w:lineRule="atLeast"/>
        <w:mirrorIndents/>
        <w:rPr>
          <w:rFonts w:eastAsia="Times New Roman" w:cs="Times New Roman"/>
          <w:szCs w:val="20"/>
          <w:lang w:eastAsia="de-DE"/>
        </w:rPr>
      </w:pPr>
    </w:p>
    <w:p w:rsidR="000E0FE4" w:rsidRDefault="000E0FE4" w:rsidP="0025413B">
      <w:pPr>
        <w:pStyle w:val="HHeading1"/>
        <w:tabs>
          <w:tab w:val="clear" w:pos="567"/>
        </w:tabs>
        <w:sectPr w:rsidR="000E0FE4" w:rsidSect="001F6F07">
          <w:type w:val="continuous"/>
          <w:pgSz w:w="11907" w:h="16840" w:code="9"/>
          <w:pgMar w:top="1440" w:right="1440" w:bottom="1134" w:left="1440" w:header="567" w:footer="1020" w:gutter="0"/>
          <w:cols w:space="708"/>
          <w:titlePg/>
          <w:docGrid w:linePitch="435"/>
        </w:sectPr>
      </w:pPr>
      <w:bookmarkStart w:id="137" w:name="_Toc493151905"/>
      <w:bookmarkStart w:id="138" w:name="_Toc501382136"/>
    </w:p>
    <w:p w:rsidR="00E05D08" w:rsidRPr="00F5230D" w:rsidRDefault="00E05D08" w:rsidP="0025413B">
      <w:pPr>
        <w:pStyle w:val="HHeading1"/>
        <w:tabs>
          <w:tab w:val="clear" w:pos="567"/>
        </w:tabs>
      </w:pPr>
      <w:bookmarkStart w:id="139" w:name="_Toc511656279"/>
      <w:r>
        <w:lastRenderedPageBreak/>
        <w:t>BIJLAGEN</w:t>
      </w:r>
      <w:bookmarkEnd w:id="137"/>
      <w:bookmarkEnd w:id="138"/>
      <w:bookmarkEnd w:id="139"/>
    </w:p>
    <w:p w:rsidR="00E05D08" w:rsidRPr="009414CC" w:rsidRDefault="00E05D08" w:rsidP="0025413B">
      <w:pPr>
        <w:pStyle w:val="HHeading2"/>
        <w:numPr>
          <w:ilvl w:val="1"/>
          <w:numId w:val="119"/>
        </w:numPr>
        <w:ind w:left="567" w:hanging="567"/>
      </w:pPr>
      <w:bookmarkStart w:id="140" w:name="_Toc476063939"/>
      <w:bookmarkStart w:id="141" w:name="_Toc476064206"/>
      <w:bookmarkStart w:id="142" w:name="_Toc476064501"/>
      <w:bookmarkStart w:id="143" w:name="_Toc476064561"/>
      <w:bookmarkStart w:id="144" w:name="_Toc493151906"/>
      <w:bookmarkStart w:id="145" w:name="_Toc501382137"/>
      <w:bookmarkStart w:id="146" w:name="_Toc511656280"/>
      <w:bookmarkEnd w:id="140"/>
      <w:bookmarkEnd w:id="141"/>
      <w:bookmarkEnd w:id="142"/>
      <w:bookmarkEnd w:id="143"/>
      <w:r>
        <w:t>Verklarende woordenlijst</w:t>
      </w:r>
      <w:bookmarkEnd w:id="144"/>
      <w:bookmarkEnd w:id="145"/>
      <w:bookmarkEnd w:id="146"/>
    </w:p>
    <w:p w:rsidR="0025413B" w:rsidRDefault="0025413B" w:rsidP="0025413B">
      <w:pPr>
        <w:rPr>
          <w:rFonts w:eastAsia="Arial" w:cs="Arial"/>
          <w:b/>
          <w:color w:val="57825E"/>
          <w:szCs w:val="20"/>
        </w:rPr>
      </w:pPr>
      <w:r>
        <w:rPr>
          <w:b/>
          <w:color w:val="57825E"/>
          <w:szCs w:val="20"/>
        </w:rPr>
        <w:t>Cluster</w:t>
      </w:r>
    </w:p>
    <w:p w:rsidR="0025413B" w:rsidRDefault="0025413B" w:rsidP="0025413B">
      <w:pPr>
        <w:rPr>
          <w:rFonts w:cs="Arial"/>
          <w:color w:val="404040" w:themeColor="background1" w:themeShade="40"/>
          <w:szCs w:val="20"/>
        </w:rPr>
      </w:pPr>
      <w:r>
        <w:rPr>
          <w:color w:val="404040" w:themeColor="background1" w:themeShade="40"/>
          <w:szCs w:val="20"/>
        </w:rPr>
        <w:t>Groepering van onafhankelijke ondernemingen, waaronder starters, kleine, middelgrote en grote ondernemingen, alsmede adviesorganen en/of onderzoeksorganisaties, die tot doel hebben economische/innovatieve activiteiten te stimuleren door intensieve interactie te bevorderen, faciliteiten te delen en kennis en deskundigheid uit te wisselen, alsook daadwerkelijk bij te dragen aan kennisoverdracht, netwerking en informatieverspreiding tussen de ondernemingen binnen het cluster.</w:t>
      </w:r>
    </w:p>
    <w:p w:rsidR="0025413B" w:rsidRPr="000D7890" w:rsidRDefault="0025413B" w:rsidP="0025413B">
      <w:pPr>
        <w:jc w:val="left"/>
        <w:rPr>
          <w:rFonts w:eastAsia="Times New Roman" w:cs="Arial"/>
          <w:i/>
          <w:color w:val="404040" w:themeColor="background1" w:themeShade="40"/>
          <w:sz w:val="16"/>
          <w:szCs w:val="16"/>
          <w:lang w:val="en-US"/>
        </w:rPr>
      </w:pPr>
      <w:r w:rsidRPr="000D7890">
        <w:rPr>
          <w:i/>
          <w:color w:val="404040" w:themeColor="background1" w:themeShade="40"/>
          <w:sz w:val="16"/>
          <w:szCs w:val="16"/>
          <w:u w:val="single"/>
          <w:lang w:val="en-US"/>
        </w:rPr>
        <w:t>Referentie</w:t>
      </w:r>
      <w:r w:rsidRPr="000D7890">
        <w:rPr>
          <w:i/>
          <w:color w:val="404040" w:themeColor="background1" w:themeShade="40"/>
          <w:sz w:val="16"/>
          <w:szCs w:val="16"/>
          <w:lang w:val="en-US"/>
        </w:rPr>
        <w:t xml:space="preserve">: Richtsnoer "Co-operation measure", november 2014: </w:t>
      </w:r>
      <w:hyperlink r:id="rId123" w:history="1">
        <w:r w:rsidRPr="000D7890">
          <w:rPr>
            <w:rStyle w:val="Hyperlink"/>
            <w:i/>
            <w:szCs w:val="16"/>
            <w:lang w:val="en-US"/>
          </w:rPr>
          <w:t>http://ec.europa.eu/eip/agriculture/sites/agri-eip/files/16_measure_fiche_art_35_co-operation.pdf</w:t>
        </w:r>
      </w:hyperlink>
    </w:p>
    <w:p w:rsidR="0025413B" w:rsidRPr="009125CD" w:rsidRDefault="0025413B" w:rsidP="0025413B">
      <w:pPr>
        <w:rPr>
          <w:rFonts w:eastAsia="Arial" w:cs="Arial"/>
          <w:b/>
          <w:color w:val="57825E"/>
          <w:szCs w:val="20"/>
        </w:rPr>
      </w:pPr>
      <w:r>
        <w:rPr>
          <w:b/>
          <w:color w:val="57825E"/>
          <w:szCs w:val="20"/>
        </w:rPr>
        <w:t>Faciliterend resultaat</w:t>
      </w:r>
    </w:p>
    <w:p w:rsidR="0025413B" w:rsidRDefault="0025413B" w:rsidP="0025413B">
      <w:pPr>
        <w:rPr>
          <w:rFonts w:cs="Arial"/>
          <w:color w:val="404040" w:themeColor="background1" w:themeShade="40"/>
          <w:szCs w:val="20"/>
        </w:rPr>
      </w:pPr>
      <w:r>
        <w:rPr>
          <w:color w:val="404040" w:themeColor="background1" w:themeShade="40"/>
          <w:szCs w:val="20"/>
        </w:rPr>
        <w:t>Resultaat dat verband houdt met de drie innovatietrajecten, zoals: 1) potentieel innovatieve ideeën herkennen en stimuleren; 2) innovatiecapaciteit opbouwen; en 3) een faciliterende omgeving voor innovatie scheppen. Het kan uitgedrukt worden als veranderingen in het aantal en de kwaliteit van nieuwe innovatieve ideeën, veranderingen in de innovatiecapaciteit en veranderingen in de faciliterende omgeving.</w:t>
      </w:r>
    </w:p>
    <w:p w:rsidR="0025413B" w:rsidRPr="005E61D0" w:rsidRDefault="0025413B" w:rsidP="0025413B">
      <w:pPr>
        <w:rPr>
          <w:rFonts w:cs="Arial"/>
          <w:i/>
          <w:color w:val="404040" w:themeColor="background1" w:themeShade="40"/>
          <w:sz w:val="16"/>
          <w:szCs w:val="16"/>
        </w:rPr>
      </w:pPr>
      <w:r>
        <w:rPr>
          <w:i/>
          <w:color w:val="404040" w:themeColor="background1" w:themeShade="40"/>
          <w:sz w:val="16"/>
          <w:szCs w:val="16"/>
          <w:u w:val="single"/>
        </w:rPr>
        <w:t>Referentie</w:t>
      </w:r>
      <w:r>
        <w:rPr>
          <w:i/>
          <w:color w:val="404040" w:themeColor="background1" w:themeShade="40"/>
          <w:sz w:val="16"/>
          <w:szCs w:val="16"/>
        </w:rPr>
        <w:t>: TWG-4.</w:t>
      </w:r>
    </w:p>
    <w:p w:rsidR="0025413B" w:rsidRDefault="0025413B" w:rsidP="0025413B">
      <w:pPr>
        <w:rPr>
          <w:rFonts w:eastAsia="Arial" w:cs="Arial"/>
          <w:b/>
          <w:color w:val="57825E"/>
          <w:szCs w:val="20"/>
        </w:rPr>
      </w:pPr>
      <w:r>
        <w:rPr>
          <w:b/>
          <w:color w:val="57825E"/>
          <w:szCs w:val="20"/>
        </w:rPr>
        <w:t>Europees innovatiepartnerschap</w:t>
      </w:r>
    </w:p>
    <w:p w:rsidR="0025413B" w:rsidRDefault="0025413B" w:rsidP="0025413B">
      <w:pPr>
        <w:rPr>
          <w:rFonts w:cs="Arial"/>
          <w:color w:val="404040" w:themeColor="background1" w:themeShade="40"/>
          <w:szCs w:val="20"/>
        </w:rPr>
      </w:pPr>
      <w:r>
        <w:rPr>
          <w:color w:val="404040" w:themeColor="background1" w:themeShade="40"/>
          <w:szCs w:val="20"/>
        </w:rPr>
        <w:t>Onderdeel van het vlaggenschipinitiatief Innovatie-Unie en EU-benadering van onderzoek en innovatie. Deze benadering gaat uit van uitdagingen, beïnvloedt de hele keten van onderzoek en innovatie, stroomlijnt en vereenvoudigt bestaande instrumenten en initiatieven en stemt ze beter op elkaar af.</w:t>
      </w:r>
    </w:p>
    <w:p w:rsidR="0025413B" w:rsidRPr="00A05F6E" w:rsidRDefault="0025413B" w:rsidP="0025413B">
      <w:pPr>
        <w:rPr>
          <w:rFonts w:eastAsia="Times New Roman" w:cs="Arial"/>
          <w:color w:val="404040" w:themeColor="background1" w:themeShade="40"/>
          <w:szCs w:val="20"/>
        </w:rPr>
      </w:pPr>
      <w:r>
        <w:rPr>
          <w:i/>
          <w:color w:val="404040" w:themeColor="background1" w:themeShade="40"/>
          <w:sz w:val="16"/>
          <w:szCs w:val="16"/>
          <w:u w:val="single"/>
        </w:rPr>
        <w:t>Referentie</w:t>
      </w:r>
      <w:r>
        <w:rPr>
          <w:i/>
          <w:color w:val="404040" w:themeColor="background1" w:themeShade="40"/>
          <w:sz w:val="16"/>
          <w:szCs w:val="16"/>
        </w:rPr>
        <w:t xml:space="preserve">: Mededeling van de Commissie aan het Europees Parlement, de Raad, het Europees Economisch en Sociaal Comité en het Comité van de Regio's Europa 2020. Vlaggenschipinitiatief Innovatie-Unie (2010) </w:t>
      </w:r>
      <w:hyperlink r:id="rId124" w:history="1">
        <w:r>
          <w:rPr>
            <w:rStyle w:val="Hyperlink"/>
            <w:i/>
            <w:szCs w:val="16"/>
          </w:rPr>
          <w:t>http://eur-lex.europa.eu/legal-content/NL/TXT/PDF/?uri=CELEX:52010DC0546&amp;from=NL</w:t>
        </w:r>
      </w:hyperlink>
    </w:p>
    <w:p w:rsidR="0025413B" w:rsidRDefault="0025413B" w:rsidP="000E0FE4">
      <w:pPr>
        <w:jc w:val="left"/>
        <w:rPr>
          <w:rFonts w:eastAsia="Arial" w:cs="Arial"/>
          <w:b/>
          <w:color w:val="57825E"/>
          <w:szCs w:val="20"/>
        </w:rPr>
      </w:pPr>
      <w:r>
        <w:rPr>
          <w:b/>
          <w:color w:val="57825E"/>
          <w:szCs w:val="20"/>
        </w:rPr>
        <w:t>Europees innovatiepartnerschap "landbouwproductiviteit en duurzaamheid" (EIP AGRI)</w:t>
      </w:r>
    </w:p>
    <w:p w:rsidR="0025413B" w:rsidRDefault="0025413B" w:rsidP="0025413B">
      <w:pPr>
        <w:rPr>
          <w:rFonts w:cs="Arial"/>
          <w:szCs w:val="20"/>
        </w:rPr>
      </w:pPr>
      <w:r>
        <w:t xml:space="preserve">Het in 2012 op initiatief van de Europese Commissie opgerichte EIP-AGRI is het </w:t>
      </w:r>
      <w:r>
        <w:t>Europees innovatiepartnerschap dat zich richt op de sectoren landbouw en bosbouw. Het EIP-AGRI brengt innovatie-actoren samen en schept synergieën tussen bestaand beleid. Het overkoepelende doel is om concurrentievermogen en duurzaamheid in deze sectoren te bevorderen en op die manier bij te dragen tot: het waarborgen van een gestage aanvoer van levensmiddelen, voedermiddelen en biomaterialen, en een duurzaam beheer van de essentiële natuurlijke hulpbronnen waarvan de landbouw en bosbouw afhankelijk zijn, door in harmonie met het milieu te werken.</w:t>
      </w:r>
    </w:p>
    <w:p w:rsidR="0025413B" w:rsidRPr="000D7890" w:rsidRDefault="0025413B" w:rsidP="0025413B">
      <w:pPr>
        <w:spacing w:after="120" w:line="280" w:lineRule="atLeast"/>
        <w:jc w:val="left"/>
        <w:rPr>
          <w:rFonts w:cs="Arial"/>
          <w:i/>
          <w:color w:val="404040" w:themeColor="background1" w:themeShade="40"/>
          <w:sz w:val="16"/>
          <w:szCs w:val="16"/>
          <w:lang w:val="en-US"/>
        </w:rPr>
      </w:pPr>
      <w:r w:rsidRPr="000D7890">
        <w:rPr>
          <w:i/>
          <w:color w:val="404040" w:themeColor="background1" w:themeShade="40"/>
          <w:sz w:val="16"/>
          <w:szCs w:val="16"/>
          <w:u w:val="single"/>
          <w:lang w:val="en-US"/>
        </w:rPr>
        <w:t>Referentie</w:t>
      </w:r>
      <w:r w:rsidRPr="000D7890">
        <w:rPr>
          <w:i/>
          <w:color w:val="404040" w:themeColor="background1" w:themeShade="40"/>
          <w:sz w:val="16"/>
          <w:szCs w:val="16"/>
          <w:lang w:val="en-US"/>
        </w:rPr>
        <w:t xml:space="preserve">: Evaluation study of the implementation of the European Innovation Partnership for Agricultural Productivity and Sustainability </w:t>
      </w:r>
      <w:r w:rsidRPr="000D7890">
        <w:rPr>
          <w:i/>
          <w:color w:val="F07E31"/>
          <w:sz w:val="16"/>
          <w:szCs w:val="16"/>
          <w:u w:val="single"/>
          <w:lang w:val="en-US"/>
        </w:rPr>
        <w:t>https://ec.europa.eu/agriculture/external-studies/2016-eip_en</w:t>
      </w:r>
    </w:p>
    <w:p w:rsidR="0025413B" w:rsidRPr="00D5702B" w:rsidRDefault="0025413B" w:rsidP="0025413B">
      <w:pPr>
        <w:jc w:val="left"/>
        <w:rPr>
          <w:rFonts w:eastAsia="Times New Roman" w:cs="Arial"/>
          <w:i/>
          <w:szCs w:val="20"/>
        </w:rPr>
      </w:pPr>
      <w:r>
        <w:rPr>
          <w:i/>
          <w:color w:val="404040" w:themeColor="background1" w:themeShade="40"/>
          <w:sz w:val="16"/>
          <w:szCs w:val="16"/>
        </w:rPr>
        <w:t xml:space="preserve">Mededeling van de Commissie aan het Europees Parlement en de Raad over het Europees innovatiepartnerschap "Productiviteit en duurzaamheid in de landbouw" (2012) </w:t>
      </w:r>
      <w:hyperlink r:id="rId125" w:history="1">
        <w:r>
          <w:rPr>
            <w:rStyle w:val="Hyperlink"/>
            <w:i/>
            <w:szCs w:val="16"/>
          </w:rPr>
          <w:t>http://eur-lex.europa.eu/legal-content/NL/TXT/PDF/?uri=CELEX:52012DC0079&amp;from=NL</w:t>
        </w:r>
      </w:hyperlink>
    </w:p>
    <w:p w:rsidR="0025413B" w:rsidRPr="009125CD" w:rsidRDefault="0025413B" w:rsidP="0025413B">
      <w:pPr>
        <w:rPr>
          <w:rFonts w:eastAsia="Arial" w:cs="Arial"/>
          <w:b/>
          <w:color w:val="57825E"/>
          <w:szCs w:val="20"/>
        </w:rPr>
      </w:pPr>
      <w:r>
        <w:rPr>
          <w:b/>
          <w:color w:val="57825E"/>
          <w:szCs w:val="20"/>
        </w:rPr>
        <w:t>Innovatiecapaciteit</w:t>
      </w:r>
    </w:p>
    <w:p w:rsidR="0025413B" w:rsidRPr="005E61D0" w:rsidRDefault="0025413B" w:rsidP="0025413B">
      <w:pPr>
        <w:rPr>
          <w:rFonts w:cs="Arial"/>
          <w:szCs w:val="20"/>
        </w:rPr>
      </w:pPr>
      <w:r>
        <w:t>"Het voortdurende vermogen om verschillende soorten kennis te combineren en benutten."</w:t>
      </w:r>
    </w:p>
    <w:p w:rsidR="0025413B" w:rsidRPr="000D7890" w:rsidRDefault="0025413B" w:rsidP="0025413B">
      <w:pPr>
        <w:rPr>
          <w:rFonts w:cs="Arial"/>
          <w:i/>
          <w:color w:val="404040" w:themeColor="background1" w:themeShade="40"/>
          <w:sz w:val="16"/>
          <w:szCs w:val="16"/>
          <w:lang w:val="en-US"/>
        </w:rPr>
      </w:pPr>
      <w:r w:rsidRPr="000D7890">
        <w:rPr>
          <w:i/>
          <w:color w:val="404040" w:themeColor="background1" w:themeShade="40"/>
          <w:sz w:val="16"/>
          <w:szCs w:val="16"/>
          <w:u w:val="single"/>
          <w:lang w:val="en-US"/>
        </w:rPr>
        <w:t>Referentie</w:t>
      </w:r>
      <w:r w:rsidRPr="000D7890">
        <w:rPr>
          <w:i/>
          <w:color w:val="404040" w:themeColor="background1" w:themeShade="40"/>
          <w:sz w:val="16"/>
          <w:szCs w:val="16"/>
          <w:lang w:val="en-US"/>
        </w:rPr>
        <w:t xml:space="preserve">: Chuluunbaatar, D. en LeGrand, S., 2015. Enabling the capacity to innovate with a system-wide assessment process. Occasional Papers in Innovation in Family Farming. FAO, Rome. </w:t>
      </w:r>
      <w:r w:rsidRPr="000D7890">
        <w:rPr>
          <w:rStyle w:val="Hyperlink"/>
          <w:i/>
          <w:szCs w:val="16"/>
          <w:lang w:val="en-US"/>
        </w:rPr>
        <w:t>http://www.fao.org/3/a-i5097e.pdf</w:t>
      </w:r>
    </w:p>
    <w:p w:rsidR="0025413B" w:rsidRPr="009125CD" w:rsidRDefault="0025413B" w:rsidP="0025413B">
      <w:pPr>
        <w:rPr>
          <w:rFonts w:eastAsia="Arial" w:cs="Arial"/>
          <w:b/>
          <w:color w:val="57825E"/>
          <w:szCs w:val="20"/>
        </w:rPr>
      </w:pPr>
      <w:r>
        <w:rPr>
          <w:b/>
          <w:color w:val="57825E"/>
          <w:szCs w:val="20"/>
        </w:rPr>
        <w:t xml:space="preserve">Innovatieresultaat </w:t>
      </w:r>
    </w:p>
    <w:p w:rsidR="0025413B" w:rsidRDefault="0025413B" w:rsidP="0025413B">
      <w:pPr>
        <w:rPr>
          <w:rFonts w:cs="Arial"/>
          <w:color w:val="404040" w:themeColor="background1" w:themeShade="40"/>
          <w:szCs w:val="20"/>
        </w:rPr>
      </w:pPr>
      <w:r>
        <w:rPr>
          <w:color w:val="404040" w:themeColor="background1" w:themeShade="40"/>
          <w:szCs w:val="20"/>
        </w:rPr>
        <w:t>Innovatieresultaten vloeien voort uit faciliterende resultaten (bv. nieuwe praktijken, hoger inkomen, invoering van duurzamere landbouwpraktijken).</w:t>
      </w:r>
    </w:p>
    <w:p w:rsidR="0025413B" w:rsidRPr="009125CD" w:rsidRDefault="0025413B" w:rsidP="0025413B">
      <w:pPr>
        <w:rPr>
          <w:rFonts w:cs="Arial"/>
          <w:color w:val="404040" w:themeColor="background1" w:themeShade="40"/>
          <w:szCs w:val="20"/>
        </w:rPr>
      </w:pPr>
      <w:r>
        <w:rPr>
          <w:i/>
          <w:color w:val="404040" w:themeColor="background1" w:themeShade="40"/>
          <w:sz w:val="16"/>
          <w:szCs w:val="16"/>
          <w:u w:val="single"/>
        </w:rPr>
        <w:t>Referentie</w:t>
      </w:r>
      <w:r>
        <w:rPr>
          <w:i/>
          <w:color w:val="404040" w:themeColor="background1" w:themeShade="40"/>
          <w:sz w:val="16"/>
          <w:szCs w:val="16"/>
        </w:rPr>
        <w:t>: TWG-4, bladzijde 11.</w:t>
      </w:r>
    </w:p>
    <w:p w:rsidR="0025413B" w:rsidRDefault="0025413B" w:rsidP="0025413B">
      <w:pPr>
        <w:rPr>
          <w:rFonts w:eastAsia="Arial" w:cs="Arial"/>
          <w:b/>
          <w:color w:val="57825E"/>
          <w:szCs w:val="20"/>
        </w:rPr>
      </w:pPr>
      <w:r>
        <w:rPr>
          <w:b/>
          <w:color w:val="57825E"/>
          <w:szCs w:val="20"/>
        </w:rPr>
        <w:t>Innovatiesteundiensten</w:t>
      </w:r>
    </w:p>
    <w:p w:rsidR="0025413B" w:rsidRDefault="0025413B" w:rsidP="0025413B">
      <w:pPr>
        <w:rPr>
          <w:rFonts w:cs="Arial"/>
          <w:color w:val="404040" w:themeColor="background1" w:themeShade="40"/>
          <w:szCs w:val="20"/>
        </w:rPr>
      </w:pPr>
      <w:r>
        <w:rPr>
          <w:color w:val="404040" w:themeColor="background1" w:themeShade="40"/>
          <w:szCs w:val="20"/>
        </w:rPr>
        <w:t>Innovatiesteundiensten werken op basis van modellen die afgestemd zijn op de lokale omstandigheden en kunnen een belangrijke rol spelen bij het plaatsen van de juiste mensen in projecten, bij het verbinden van landbouwers en adviseurs met onderzoekers en bij het vinden van financieringsmogelijkheden.</w:t>
      </w:r>
    </w:p>
    <w:p w:rsidR="0025413B" w:rsidRPr="009125CD" w:rsidRDefault="0025413B" w:rsidP="0025413B">
      <w:pPr>
        <w:rPr>
          <w:rFonts w:cs="Arial"/>
          <w:color w:val="404040" w:themeColor="background1" w:themeShade="40"/>
          <w:szCs w:val="20"/>
        </w:rPr>
      </w:pPr>
      <w:r>
        <w:rPr>
          <w:i/>
          <w:color w:val="404040" w:themeColor="background1" w:themeShade="40"/>
          <w:sz w:val="16"/>
          <w:szCs w:val="16"/>
          <w:u w:val="single"/>
        </w:rPr>
        <w:t>Referentie</w:t>
      </w:r>
      <w:r>
        <w:rPr>
          <w:i/>
          <w:color w:val="404040" w:themeColor="background1" w:themeShade="40"/>
          <w:sz w:val="16"/>
          <w:szCs w:val="16"/>
        </w:rPr>
        <w:t xml:space="preserve">: Brochure van het EIP-AGRI over innovatiesteundiensten: </w:t>
      </w:r>
      <w:hyperlink r:id="rId126" w:history="1">
        <w:r>
          <w:rPr>
            <w:rStyle w:val="Hyperlink"/>
            <w:i/>
            <w:szCs w:val="16"/>
          </w:rPr>
          <w:t>https://ec.europa.eu/eip/agriculture/en/content/innovation-support-services</w:t>
        </w:r>
      </w:hyperlink>
      <w:r>
        <w:rPr>
          <w:i/>
          <w:color w:val="404040" w:themeColor="background1" w:themeShade="40"/>
          <w:sz w:val="16"/>
          <w:szCs w:val="16"/>
        </w:rPr>
        <w:t>.</w:t>
      </w:r>
    </w:p>
    <w:p w:rsidR="0025413B" w:rsidRPr="009125CD" w:rsidRDefault="0025413B" w:rsidP="0025413B">
      <w:pPr>
        <w:rPr>
          <w:rFonts w:eastAsia="Arial" w:cs="Arial"/>
          <w:b/>
          <w:color w:val="57825E"/>
          <w:szCs w:val="20"/>
        </w:rPr>
      </w:pPr>
      <w:r>
        <w:rPr>
          <w:b/>
          <w:color w:val="57825E"/>
          <w:szCs w:val="20"/>
        </w:rPr>
        <w:t>Innovatiesysteem</w:t>
      </w:r>
    </w:p>
    <w:p w:rsidR="0025413B" w:rsidRDefault="0025413B" w:rsidP="0025413B">
      <w:pPr>
        <w:rPr>
          <w:rFonts w:cs="Arial"/>
          <w:color w:val="404040" w:themeColor="background1" w:themeShade="40"/>
          <w:szCs w:val="20"/>
        </w:rPr>
      </w:pPr>
      <w:r>
        <w:rPr>
          <w:color w:val="404040" w:themeColor="background1" w:themeShade="40"/>
          <w:szCs w:val="20"/>
        </w:rPr>
        <w:lastRenderedPageBreak/>
        <w:t>"De groepen van organisaties en personen die betrokken zijn bij de productie, verspreiding en aanpassing en het gebruik van kennis van sociaal-economisch belang en de institutionele context die ten grondslag ligt aan de manier waarop deze processen plaatsvinden."</w:t>
      </w:r>
    </w:p>
    <w:p w:rsidR="0025413B" w:rsidRDefault="0025413B" w:rsidP="0025413B">
      <w:pPr>
        <w:rPr>
          <w:rFonts w:cs="Arial"/>
          <w:color w:val="404040" w:themeColor="background1" w:themeShade="40"/>
          <w:szCs w:val="20"/>
        </w:rPr>
      </w:pPr>
      <w:r w:rsidRPr="000D7890">
        <w:rPr>
          <w:i/>
          <w:color w:val="404040" w:themeColor="background1" w:themeShade="40"/>
          <w:sz w:val="16"/>
          <w:szCs w:val="16"/>
          <w:u w:val="single"/>
          <w:lang w:val="en-US"/>
        </w:rPr>
        <w:t>Referentie</w:t>
      </w:r>
      <w:r w:rsidRPr="000D7890">
        <w:rPr>
          <w:i/>
          <w:color w:val="404040" w:themeColor="background1" w:themeShade="40"/>
          <w:sz w:val="16"/>
          <w:szCs w:val="16"/>
          <w:lang w:val="en-US"/>
        </w:rPr>
        <w:t xml:space="preserve">: Hall, A., S. Rasheed, N. Clark, en B. Yoganand. 2003. From measuring impact to learning institutional lessons: an innovation system's perspective on improving the management of international agricultural research. </w:t>
      </w:r>
      <w:r>
        <w:rPr>
          <w:i/>
          <w:color w:val="404040" w:themeColor="background1" w:themeShade="40"/>
          <w:sz w:val="16"/>
          <w:szCs w:val="16"/>
        </w:rPr>
        <w:t>Agricultural Systems 78: 213-241.</w:t>
      </w:r>
    </w:p>
    <w:p w:rsidR="0025413B" w:rsidRPr="009125CD" w:rsidRDefault="0025413B" w:rsidP="0025413B">
      <w:pPr>
        <w:rPr>
          <w:rFonts w:eastAsia="Arial" w:cs="Arial"/>
          <w:b/>
          <w:color w:val="57825E"/>
          <w:szCs w:val="20"/>
        </w:rPr>
      </w:pPr>
      <w:r>
        <w:rPr>
          <w:b/>
          <w:color w:val="57825E"/>
          <w:szCs w:val="20"/>
        </w:rPr>
        <w:t>Innovatietraject</w:t>
      </w:r>
    </w:p>
    <w:p w:rsidR="0025413B" w:rsidRDefault="0025413B" w:rsidP="0025413B">
      <w:pPr>
        <w:rPr>
          <w:rFonts w:cs="Arial"/>
          <w:color w:val="404040" w:themeColor="background1" w:themeShade="40"/>
          <w:szCs w:val="20"/>
        </w:rPr>
      </w:pPr>
      <w:r>
        <w:rPr>
          <w:color w:val="404040" w:themeColor="background1" w:themeShade="40"/>
          <w:szCs w:val="20"/>
        </w:rPr>
        <w:t>Een proces door middel waarvan POP-activiteiten output, resultaten en effecten opleveren die bijdragen tot de verwezenlijking van de POP-doelstellingen, waarbij sprake is van een wisselwerking met het innovatiesysteem waarvan ze deel uitmaken.</w:t>
      </w:r>
    </w:p>
    <w:p w:rsidR="0025413B" w:rsidRPr="009125CD" w:rsidRDefault="0025413B" w:rsidP="0025413B">
      <w:pPr>
        <w:rPr>
          <w:rFonts w:eastAsia="Arial" w:cs="Arial"/>
          <w:color w:val="404040" w:themeColor="background1" w:themeShade="40"/>
          <w:szCs w:val="20"/>
        </w:rPr>
      </w:pPr>
      <w:r>
        <w:rPr>
          <w:i/>
          <w:color w:val="404040" w:themeColor="background1" w:themeShade="40"/>
          <w:sz w:val="16"/>
          <w:szCs w:val="16"/>
          <w:u w:val="single"/>
        </w:rPr>
        <w:t>Referentie</w:t>
      </w:r>
      <w:r>
        <w:rPr>
          <w:i/>
          <w:color w:val="404040" w:themeColor="background1" w:themeShade="40"/>
          <w:sz w:val="16"/>
          <w:szCs w:val="16"/>
        </w:rPr>
        <w:t>: TWG-4, bladzijde 5.</w:t>
      </w:r>
    </w:p>
    <w:p w:rsidR="0025413B" w:rsidRDefault="0025413B" w:rsidP="0025413B">
      <w:pPr>
        <w:rPr>
          <w:rFonts w:eastAsia="Arial" w:cs="Arial"/>
          <w:b/>
          <w:color w:val="57825E"/>
          <w:szCs w:val="20"/>
        </w:rPr>
      </w:pPr>
      <w:r>
        <w:rPr>
          <w:b/>
          <w:color w:val="57825E"/>
          <w:szCs w:val="20"/>
        </w:rPr>
        <w:t>Interactieve innovatie</w:t>
      </w:r>
    </w:p>
    <w:p w:rsidR="0025413B" w:rsidRDefault="0025413B" w:rsidP="0025413B">
      <w:pPr>
        <w:rPr>
          <w:rFonts w:cs="Arial"/>
          <w:color w:val="404040" w:themeColor="background1" w:themeShade="40"/>
          <w:szCs w:val="20"/>
        </w:rPr>
      </w:pPr>
      <w:r>
        <w:rPr>
          <w:color w:val="404040" w:themeColor="background1" w:themeShade="40"/>
          <w:szCs w:val="20"/>
        </w:rPr>
        <w:t>Bij interactieve (systeem)innovatie wordt ervan uitgegaan dat de bouwstenen voor innovaties worden aangeleverd door de wetenschap, maar ook door de praktijk en tussenpersonen, waaronder landbouwers, adviesdiensten, ngo's en onderzoekers, die daarbij fungeren als actoren in een proces dat van onderop plaatsvindt. Bij interactieve innovatie wordt ook bestaande (soms impliciete) kennis gebruikt, die niet altijd puur wetenschappelijk is.</w:t>
      </w:r>
    </w:p>
    <w:p w:rsidR="0025413B" w:rsidRPr="000D7890" w:rsidRDefault="0025413B" w:rsidP="0025413B">
      <w:pPr>
        <w:jc w:val="left"/>
        <w:rPr>
          <w:rFonts w:eastAsia="Times New Roman" w:cs="Arial"/>
          <w:color w:val="404040" w:themeColor="background1" w:themeShade="40"/>
          <w:szCs w:val="20"/>
          <w:lang w:val="en-US"/>
        </w:rPr>
      </w:pPr>
      <w:r w:rsidRPr="000D7890">
        <w:rPr>
          <w:i/>
          <w:color w:val="404040" w:themeColor="background1" w:themeShade="40"/>
          <w:sz w:val="16"/>
          <w:szCs w:val="16"/>
          <w:u w:val="single"/>
          <w:lang w:val="en-US"/>
        </w:rPr>
        <w:t>Referentie</w:t>
      </w:r>
      <w:r w:rsidRPr="000D7890">
        <w:rPr>
          <w:i/>
          <w:color w:val="404040" w:themeColor="background1" w:themeShade="40"/>
          <w:sz w:val="16"/>
          <w:szCs w:val="16"/>
          <w:lang w:val="en-US"/>
        </w:rPr>
        <w:t xml:space="preserve">: Guidelines on programming for innovation and the implementation of the EIP for agricultural productivity and sustainability: </w:t>
      </w:r>
      <w:hyperlink r:id="rId127" w:history="1">
        <w:r w:rsidRPr="000D7890">
          <w:rPr>
            <w:rStyle w:val="Hyperlink"/>
            <w:i/>
            <w:szCs w:val="16"/>
            <w:lang w:val="en-US"/>
          </w:rPr>
          <w:t>http://ec.europa.eu/eip/agriculture/sites/agri-eip/files/eip-guidelines-july-2014_en.pdf</w:t>
        </w:r>
      </w:hyperlink>
      <w:r w:rsidRPr="000D7890">
        <w:rPr>
          <w:i/>
          <w:color w:val="404040" w:themeColor="background1" w:themeShade="40"/>
          <w:sz w:val="16"/>
          <w:szCs w:val="16"/>
          <w:lang w:val="en-US"/>
        </w:rPr>
        <w:t>.</w:t>
      </w:r>
    </w:p>
    <w:p w:rsidR="0025413B" w:rsidRDefault="0025413B" w:rsidP="0025413B">
      <w:pPr>
        <w:rPr>
          <w:rFonts w:eastAsia="Arial" w:cs="Arial"/>
          <w:b/>
          <w:color w:val="57825E"/>
          <w:szCs w:val="20"/>
        </w:rPr>
      </w:pPr>
      <w:r>
        <w:rPr>
          <w:b/>
          <w:color w:val="57825E"/>
          <w:szCs w:val="20"/>
        </w:rPr>
        <w:t>Operationele groepen</w:t>
      </w:r>
    </w:p>
    <w:p w:rsidR="0025413B" w:rsidRDefault="0025413B" w:rsidP="0025413B">
      <w:pPr>
        <w:rPr>
          <w:rFonts w:cs="Arial"/>
          <w:color w:val="404040" w:themeColor="background1" w:themeShade="40"/>
          <w:szCs w:val="20"/>
        </w:rPr>
      </w:pPr>
      <w:r>
        <w:rPr>
          <w:color w:val="404040" w:themeColor="background1" w:themeShade="40"/>
          <w:szCs w:val="20"/>
        </w:rPr>
        <w:t>Groepen mensen (zoals landbouwers, onderzoekers en adviseurs) die samen aan een praktisch innovatieproject met concrete doelstellingen werken.</w:t>
      </w:r>
    </w:p>
    <w:p w:rsidR="0025413B" w:rsidRPr="00A05F6E" w:rsidRDefault="0025413B" w:rsidP="0025413B">
      <w:pPr>
        <w:rPr>
          <w:rFonts w:eastAsia="Times New Roman" w:cs="Arial"/>
          <w:color w:val="404040" w:themeColor="background1" w:themeShade="40"/>
          <w:szCs w:val="20"/>
        </w:rPr>
      </w:pPr>
      <w:r>
        <w:rPr>
          <w:i/>
          <w:color w:val="404040" w:themeColor="background1" w:themeShade="40"/>
          <w:sz w:val="16"/>
          <w:szCs w:val="16"/>
          <w:u w:val="single"/>
        </w:rPr>
        <w:t>Referentie</w:t>
      </w:r>
      <w:r>
        <w:rPr>
          <w:i/>
          <w:color w:val="404040" w:themeColor="background1" w:themeShade="40"/>
          <w:sz w:val="16"/>
          <w:szCs w:val="16"/>
        </w:rPr>
        <w:t xml:space="preserve">: Brochure van het EIP-AGRI over innovatiesteundiensten: </w:t>
      </w:r>
      <w:hyperlink r:id="rId128" w:history="1">
        <w:r>
          <w:rPr>
            <w:rStyle w:val="Hyperlink"/>
            <w:i/>
            <w:szCs w:val="16"/>
          </w:rPr>
          <w:t>https://ec.europa.eu/eip/agriculture/en/content/innovation-support-services</w:t>
        </w:r>
      </w:hyperlink>
    </w:p>
    <w:p w:rsidR="0025413B" w:rsidRPr="009125CD" w:rsidRDefault="0025413B" w:rsidP="0025413B">
      <w:pPr>
        <w:rPr>
          <w:rFonts w:eastAsia="Arial" w:cs="Arial"/>
          <w:b/>
          <w:color w:val="57825E"/>
          <w:szCs w:val="20"/>
        </w:rPr>
      </w:pPr>
      <w:r>
        <w:rPr>
          <w:b/>
          <w:color w:val="57825E"/>
          <w:szCs w:val="20"/>
        </w:rPr>
        <w:t xml:space="preserve">Innovatiepotentieel van het POP </w:t>
      </w:r>
    </w:p>
    <w:p w:rsidR="0025413B" w:rsidRDefault="0025413B" w:rsidP="0025413B">
      <w:pPr>
        <w:rPr>
          <w:rFonts w:cs="Arial"/>
          <w:color w:val="404040" w:themeColor="background1" w:themeShade="40"/>
          <w:szCs w:val="20"/>
        </w:rPr>
      </w:pPr>
      <w:r>
        <w:rPr>
          <w:color w:val="404040" w:themeColor="background1" w:themeShade="40"/>
          <w:szCs w:val="20"/>
        </w:rPr>
        <w:t xml:space="preserve">Het innovatiepotentieel van het POP is de mate waarin het POP door zijn specifieke benadering van innovatie in staat is om binnen een gegeven innovatiesysteem of context innovatie te bevorderen en beleidsdoelstellingen in plattelandsgebieden te verwezenlijken. </w:t>
      </w:r>
    </w:p>
    <w:p w:rsidR="0025413B" w:rsidRPr="00A05F6E" w:rsidRDefault="0025413B" w:rsidP="0025413B">
      <w:pPr>
        <w:rPr>
          <w:rFonts w:eastAsia="Arial" w:cs="Arial"/>
          <w:color w:val="404040" w:themeColor="background1" w:themeShade="40"/>
          <w:szCs w:val="20"/>
        </w:rPr>
      </w:pPr>
      <w:r>
        <w:rPr>
          <w:i/>
          <w:color w:val="404040" w:themeColor="background1" w:themeShade="40"/>
          <w:sz w:val="16"/>
          <w:szCs w:val="16"/>
          <w:u w:val="single"/>
        </w:rPr>
        <w:t>Referentie</w:t>
      </w:r>
      <w:r>
        <w:rPr>
          <w:i/>
          <w:color w:val="404040" w:themeColor="background1" w:themeShade="40"/>
          <w:sz w:val="16"/>
          <w:szCs w:val="16"/>
        </w:rPr>
        <w:t>: TWG-4.</w:t>
      </w:r>
    </w:p>
    <w:p w:rsidR="0025413B" w:rsidRPr="009125CD" w:rsidRDefault="0025413B" w:rsidP="0025413B">
      <w:pPr>
        <w:rPr>
          <w:rFonts w:eastAsia="Arial" w:cs="Arial"/>
          <w:b/>
          <w:color w:val="57825E"/>
          <w:szCs w:val="20"/>
        </w:rPr>
      </w:pPr>
      <w:r>
        <w:rPr>
          <w:b/>
          <w:color w:val="57825E"/>
          <w:szCs w:val="20"/>
        </w:rPr>
        <w:t>Sociale innovatie</w:t>
      </w:r>
    </w:p>
    <w:p w:rsidR="0025413B" w:rsidRDefault="0025413B" w:rsidP="0025413B">
      <w:pPr>
        <w:rPr>
          <w:rFonts w:cs="Arial"/>
          <w:color w:val="404040" w:themeColor="background1" w:themeShade="40"/>
          <w:szCs w:val="20"/>
        </w:rPr>
      </w:pPr>
      <w:r>
        <w:rPr>
          <w:color w:val="404040" w:themeColor="background1" w:themeShade="40"/>
          <w:szCs w:val="20"/>
        </w:rPr>
        <w:t>Sociale innovatie kan worden omschreven als de ontwikkeling en implementatie van nieuwe ideeën (producten, diensten en modellen) om tegemoet te komen aan sociale behoeften en nieuwe sociale relaties of samenwerkingen te doen ontstaan.</w:t>
      </w:r>
    </w:p>
    <w:p w:rsidR="0025413B" w:rsidRPr="006F10F3" w:rsidRDefault="0025413B" w:rsidP="0025413B">
      <w:pPr>
        <w:rPr>
          <w:rFonts w:eastAsia="Arial" w:cs="Arial"/>
          <w:color w:val="404040" w:themeColor="background1" w:themeShade="40"/>
          <w:szCs w:val="20"/>
        </w:rPr>
      </w:pPr>
      <w:r w:rsidRPr="006F10F3">
        <w:rPr>
          <w:i/>
          <w:color w:val="404040" w:themeColor="background1" w:themeShade="40"/>
          <w:sz w:val="16"/>
          <w:szCs w:val="16"/>
          <w:u w:val="single"/>
          <w:lang w:val="it-IT"/>
        </w:rPr>
        <w:t>Referentie</w:t>
      </w:r>
      <w:r w:rsidRPr="006F10F3">
        <w:rPr>
          <w:i/>
          <w:color w:val="404040" w:themeColor="background1" w:themeShade="40"/>
          <w:sz w:val="16"/>
          <w:szCs w:val="16"/>
          <w:lang w:val="it-IT"/>
        </w:rPr>
        <w:t xml:space="preserve">: DG REGIO, DG EMPL, DG AGRI enz. </w:t>
      </w:r>
      <w:r w:rsidRPr="006F10F3">
        <w:rPr>
          <w:i/>
          <w:color w:val="404040" w:themeColor="background1" w:themeShade="40"/>
          <w:sz w:val="16"/>
          <w:szCs w:val="16"/>
        </w:rPr>
        <w:t>(2013) Guide to Social Innovation.</w:t>
      </w:r>
    </w:p>
    <w:p w:rsidR="0025413B" w:rsidRPr="009125CD" w:rsidRDefault="0025413B" w:rsidP="0025413B">
      <w:pPr>
        <w:rPr>
          <w:rFonts w:eastAsia="Arial" w:cs="Arial"/>
          <w:b/>
          <w:color w:val="57825E"/>
          <w:szCs w:val="20"/>
        </w:rPr>
      </w:pPr>
      <w:r>
        <w:rPr>
          <w:b/>
          <w:color w:val="57825E"/>
          <w:szCs w:val="20"/>
        </w:rPr>
        <w:t>Thematische en analytische uitwisselingen</w:t>
      </w:r>
    </w:p>
    <w:p w:rsidR="0025413B" w:rsidRDefault="0025413B" w:rsidP="0025413B">
      <w:pPr>
        <w:rPr>
          <w:rFonts w:cs="Arial"/>
          <w:color w:val="404040" w:themeColor="background1" w:themeShade="40"/>
          <w:szCs w:val="20"/>
        </w:rPr>
      </w:pPr>
      <w:r>
        <w:rPr>
          <w:color w:val="404040" w:themeColor="background1" w:themeShade="40"/>
          <w:szCs w:val="20"/>
        </w:rPr>
        <w:t xml:space="preserve">Uitwisselingen kunnen door NPN's op verschillende manieren worden gestimuleerd. De meest algemene vorm van thematische uitwisselingen die door NPN's zijn ontwikkeld, bestaan uit permanente of </w:t>
      </w:r>
      <w:r>
        <w:rPr>
          <w:i/>
          <w:color w:val="404040" w:themeColor="background1" w:themeShade="40"/>
          <w:szCs w:val="20"/>
        </w:rPr>
        <w:t>ad hoc</w:t>
      </w:r>
      <w:r>
        <w:rPr>
          <w:color w:val="404040" w:themeColor="background1" w:themeShade="40"/>
          <w:szCs w:val="20"/>
        </w:rPr>
        <w:t xml:space="preserve"> thematische werkgroepen (TWG's). In de TWG's van het NPN komen verschillende belanghebbenden samen om informatie over gemeenschappelijke thema's te bespreken, analyseren en delen, wat vaak leidt tot aanbevelingen in verband met de implementatie en programmering van het POP.</w:t>
      </w:r>
    </w:p>
    <w:p w:rsidR="0025413B" w:rsidRPr="000D7890" w:rsidRDefault="0025413B" w:rsidP="0025413B">
      <w:pPr>
        <w:jc w:val="left"/>
        <w:rPr>
          <w:rFonts w:eastAsia="Arial" w:cs="Arial"/>
          <w:color w:val="404040" w:themeColor="background1" w:themeShade="40"/>
          <w:szCs w:val="20"/>
          <w:lang w:val="en-US"/>
        </w:rPr>
      </w:pPr>
      <w:r>
        <w:rPr>
          <w:i/>
          <w:color w:val="404040" w:themeColor="background1" w:themeShade="40"/>
          <w:sz w:val="16"/>
          <w:szCs w:val="16"/>
          <w:u w:val="single"/>
        </w:rPr>
        <w:t xml:space="preserve"> </w:t>
      </w:r>
      <w:r w:rsidRPr="000D7890">
        <w:rPr>
          <w:i/>
          <w:color w:val="404040" w:themeColor="background1" w:themeShade="40"/>
          <w:sz w:val="16"/>
          <w:szCs w:val="16"/>
          <w:u w:val="single"/>
          <w:lang w:val="en-US"/>
        </w:rPr>
        <w:t>Referentie</w:t>
      </w:r>
      <w:r w:rsidRPr="000D7890">
        <w:rPr>
          <w:lang w:val="en-US"/>
        </w:rPr>
        <w:t>:</w:t>
      </w:r>
      <w:r w:rsidRPr="000D7890">
        <w:rPr>
          <w:i/>
          <w:color w:val="404040" w:themeColor="background1" w:themeShade="40"/>
          <w:sz w:val="16"/>
          <w:szCs w:val="16"/>
          <w:lang w:val="en-US"/>
        </w:rPr>
        <w:t xml:space="preserve"> NRN guidebook: </w:t>
      </w:r>
      <w:hyperlink r:id="rId129" w:history="1">
        <w:r w:rsidRPr="000D7890">
          <w:rPr>
            <w:rStyle w:val="Hyperlink"/>
            <w:i/>
            <w:szCs w:val="16"/>
            <w:lang w:val="en-US"/>
          </w:rPr>
          <w:t>http://enrd.ec.europa.eu/enrd-static/app_templates/enrd_assets/pdf/guidebook/nrn_handbook_webversion.pdf</w:t>
        </w:r>
      </w:hyperlink>
    </w:p>
    <w:p w:rsidR="0025413B" w:rsidRPr="000D7890" w:rsidRDefault="0025413B" w:rsidP="0025413B">
      <w:pPr>
        <w:rPr>
          <w:rFonts w:cs="Arial"/>
          <w:color w:val="404040" w:themeColor="background1" w:themeShade="40"/>
          <w:szCs w:val="20"/>
          <w:lang w:val="en-US"/>
        </w:rPr>
        <w:sectPr w:rsidR="0025413B" w:rsidRPr="000D7890" w:rsidSect="001F6F07">
          <w:type w:val="continuous"/>
          <w:pgSz w:w="11907" w:h="16840" w:code="9"/>
          <w:pgMar w:top="1440" w:right="1440" w:bottom="1134" w:left="1440" w:header="567" w:footer="1020" w:gutter="0"/>
          <w:cols w:num="2" w:space="708"/>
          <w:titlePg/>
          <w:docGrid w:linePitch="435"/>
        </w:sectPr>
      </w:pPr>
    </w:p>
    <w:p w:rsidR="0025413B" w:rsidRPr="000D7890" w:rsidRDefault="0025413B" w:rsidP="001319A0">
      <w:pPr>
        <w:pStyle w:val="HStandard"/>
        <w:rPr>
          <w:lang w:val="en-US"/>
        </w:rPr>
      </w:pPr>
    </w:p>
    <w:p w:rsidR="00E05D08" w:rsidRPr="00E05D08" w:rsidRDefault="00E05D08" w:rsidP="00E05D08">
      <w:pPr>
        <w:spacing w:before="60" w:after="140" w:line="220" w:lineRule="atLeast"/>
        <w:rPr>
          <w:rFonts w:eastAsia="Times New Roman" w:cs="Times New Roman"/>
          <w:sz w:val="18"/>
          <w:szCs w:val="24"/>
          <w:lang w:val="en-US" w:eastAsia="de-DE"/>
        </w:rPr>
        <w:sectPr w:rsidR="00E05D08" w:rsidRPr="00E05D08" w:rsidSect="00400064">
          <w:endnotePr>
            <w:numFmt w:val="decimal"/>
          </w:endnotePr>
          <w:type w:val="continuous"/>
          <w:pgSz w:w="11907" w:h="16840" w:code="9"/>
          <w:pgMar w:top="1440" w:right="1440" w:bottom="1134" w:left="1440" w:header="567" w:footer="709" w:gutter="0"/>
          <w:cols w:space="708"/>
          <w:noEndnote/>
          <w:titlePg/>
          <w:docGrid w:linePitch="360"/>
        </w:sectPr>
      </w:pPr>
    </w:p>
    <w:p w:rsidR="00E05D08" w:rsidRPr="000A14B3" w:rsidRDefault="00E05D08" w:rsidP="0025413B">
      <w:pPr>
        <w:pStyle w:val="HHeading2"/>
        <w:numPr>
          <w:ilvl w:val="1"/>
          <w:numId w:val="119"/>
        </w:numPr>
        <w:ind w:left="567" w:hanging="567"/>
      </w:pPr>
      <w:bookmarkStart w:id="147" w:name="_Toc493151908"/>
      <w:bookmarkStart w:id="148" w:name="_Toc501382138"/>
      <w:bookmarkStart w:id="149" w:name="_Toc511656281"/>
      <w:r>
        <w:lastRenderedPageBreak/>
        <w:t>Het innovatiepotentieel van het POP vaststellen: stapsgewijze procedure</w:t>
      </w:r>
      <w:bookmarkEnd w:id="147"/>
      <w:bookmarkEnd w:id="148"/>
      <w:bookmarkEnd w:id="149"/>
    </w:p>
    <w:tbl>
      <w:tblPr>
        <w:tblStyle w:val="TableGrid3"/>
        <w:tblW w:w="1487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980"/>
        <w:gridCol w:w="3260"/>
        <w:gridCol w:w="2268"/>
        <w:gridCol w:w="2693"/>
        <w:gridCol w:w="2268"/>
        <w:gridCol w:w="2410"/>
      </w:tblGrid>
      <w:tr w:rsidR="00E05D08" w:rsidRPr="00E05D08" w:rsidTr="00E05D08">
        <w:trPr>
          <w:trHeight w:val="294"/>
        </w:trPr>
        <w:tc>
          <w:tcPr>
            <w:tcW w:w="1980" w:type="dxa"/>
            <w:shd w:val="clear" w:color="auto" w:fill="F07E31"/>
          </w:tcPr>
          <w:p w:rsidR="00E05D08" w:rsidRPr="00E05D08" w:rsidRDefault="00E05D08" w:rsidP="00E05D08">
            <w:pPr>
              <w:tabs>
                <w:tab w:val="right" w:pos="2885"/>
              </w:tabs>
              <w:spacing w:before="120" w:after="120" w:line="280" w:lineRule="atLeast"/>
              <w:jc w:val="center"/>
              <w:rPr>
                <w:rFonts w:cs="Arial"/>
                <w:b/>
                <w:color w:val="FFFFFF"/>
                <w:sz w:val="18"/>
                <w:szCs w:val="18"/>
              </w:rPr>
            </w:pPr>
            <w:r>
              <w:rPr>
                <w:b/>
                <w:color w:val="FFFFFF"/>
                <w:sz w:val="18"/>
                <w:szCs w:val="18"/>
              </w:rPr>
              <w:t>Stappen</w:t>
            </w:r>
          </w:p>
        </w:tc>
        <w:tc>
          <w:tcPr>
            <w:tcW w:w="3260"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 xml:space="preserve">Te beantwoorden kernvragen </w:t>
            </w:r>
          </w:p>
        </w:tc>
        <w:tc>
          <w:tcPr>
            <w:tcW w:w="2268"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Waar in het POP?</w:t>
            </w:r>
          </w:p>
        </w:tc>
        <w:tc>
          <w:tcPr>
            <w:tcW w:w="2693"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Voorbeeld</w:t>
            </w:r>
          </w:p>
        </w:tc>
        <w:tc>
          <w:tcPr>
            <w:tcW w:w="2268"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Risico's van de stap</w:t>
            </w:r>
          </w:p>
        </w:tc>
        <w:tc>
          <w:tcPr>
            <w:tcW w:w="2410"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Oplossingen</w:t>
            </w:r>
          </w:p>
        </w:tc>
      </w:tr>
      <w:tr w:rsidR="00E05D08" w:rsidRPr="00E05D08" w:rsidTr="00E05D08">
        <w:tc>
          <w:tcPr>
            <w:tcW w:w="1980" w:type="dxa"/>
          </w:tcPr>
          <w:p w:rsidR="00E05D08" w:rsidRPr="00F31494" w:rsidRDefault="00E05D08" w:rsidP="00F31494">
            <w:pPr>
              <w:jc w:val="left"/>
              <w:rPr>
                <w:rFonts w:cs="Arial"/>
                <w:color w:val="F07E31"/>
                <w:sz w:val="18"/>
                <w:szCs w:val="18"/>
              </w:rPr>
            </w:pPr>
            <w:r>
              <w:rPr>
                <w:color w:val="F07E31"/>
                <w:sz w:val="18"/>
                <w:szCs w:val="18"/>
              </w:rPr>
              <w:t xml:space="preserve">Stap 1: Verbanden tussen innovatiegerelateerde behoeften en de maatregel/submaatregel vaststellen </w:t>
            </w:r>
          </w:p>
        </w:tc>
        <w:tc>
          <w:tcPr>
            <w:tcW w:w="3260" w:type="dxa"/>
          </w:tcPr>
          <w:p w:rsidR="00E05D08" w:rsidRPr="00E05D08" w:rsidRDefault="00AA5817" w:rsidP="00F31494">
            <w:pPr>
              <w:spacing w:after="120"/>
              <w:jc w:val="left"/>
              <w:rPr>
                <w:rFonts w:cs="Arial"/>
                <w:sz w:val="16"/>
                <w:szCs w:val="16"/>
              </w:rPr>
            </w:pPr>
            <w:r>
              <w:rPr>
                <w:sz w:val="16"/>
                <w:szCs w:val="16"/>
              </w:rPr>
              <w:t>Welke innovatiegerelateerde behoeften zijn er in de behoeftenbeoordeling vastgesteld met betrekking tot de maatregel/submaatregel?</w:t>
            </w:r>
          </w:p>
          <w:p w:rsidR="00E05D08" w:rsidRPr="00E05D08" w:rsidRDefault="00E05D08" w:rsidP="00F31494">
            <w:pPr>
              <w:spacing w:after="120"/>
              <w:jc w:val="left"/>
              <w:rPr>
                <w:rFonts w:cs="Arial"/>
                <w:sz w:val="16"/>
                <w:szCs w:val="16"/>
              </w:rPr>
            </w:pPr>
            <w:r>
              <w:rPr>
                <w:sz w:val="16"/>
                <w:szCs w:val="16"/>
              </w:rPr>
              <w:t>Welk antwoord biedt de maatregel/submaatregel op deze behoeften, rekening houdend met de drie trajecten?</w:t>
            </w:r>
          </w:p>
        </w:tc>
        <w:tc>
          <w:tcPr>
            <w:tcW w:w="2268" w:type="dxa"/>
          </w:tcPr>
          <w:p w:rsidR="00E05D08" w:rsidRPr="00E05D08" w:rsidRDefault="00E05D08" w:rsidP="00F31494">
            <w:pPr>
              <w:jc w:val="left"/>
              <w:rPr>
                <w:rFonts w:cs="Arial"/>
                <w:sz w:val="16"/>
                <w:szCs w:val="16"/>
              </w:rPr>
            </w:pPr>
            <w:r>
              <w:rPr>
                <w:sz w:val="16"/>
                <w:szCs w:val="16"/>
              </w:rPr>
              <w:t>Hoofdstuk 4 – SWOT en behoeftenanalyse</w:t>
            </w:r>
          </w:p>
          <w:p w:rsidR="00E05D08" w:rsidRPr="00E05D08" w:rsidRDefault="00E05D08" w:rsidP="00F31494">
            <w:pPr>
              <w:jc w:val="left"/>
              <w:rPr>
                <w:rFonts w:cs="Arial"/>
                <w:sz w:val="16"/>
                <w:szCs w:val="16"/>
              </w:rPr>
            </w:pPr>
            <w:r>
              <w:rPr>
                <w:sz w:val="16"/>
                <w:szCs w:val="16"/>
              </w:rPr>
              <w:t>Hoofdstuk 5 – Beschrijving van de strategie</w:t>
            </w:r>
          </w:p>
          <w:p w:rsidR="00E05D08" w:rsidRPr="00E05D08" w:rsidRDefault="00E05D08" w:rsidP="00F31494">
            <w:pPr>
              <w:jc w:val="left"/>
              <w:rPr>
                <w:rFonts w:cs="Arial"/>
                <w:sz w:val="16"/>
                <w:szCs w:val="16"/>
              </w:rPr>
            </w:pPr>
            <w:r>
              <w:rPr>
                <w:sz w:val="16"/>
                <w:szCs w:val="16"/>
              </w:rPr>
              <w:t>Hoofdstuk 8 – Beschrijving van de maatregelen en submaatregelen</w:t>
            </w:r>
          </w:p>
        </w:tc>
        <w:tc>
          <w:tcPr>
            <w:tcW w:w="2693" w:type="dxa"/>
          </w:tcPr>
          <w:p w:rsidR="00E05D08" w:rsidRPr="00E05D08" w:rsidRDefault="00E05D08" w:rsidP="00F31494">
            <w:pPr>
              <w:jc w:val="left"/>
              <w:rPr>
                <w:rFonts w:cs="Arial"/>
                <w:sz w:val="16"/>
                <w:szCs w:val="16"/>
              </w:rPr>
            </w:pPr>
            <w:r>
              <w:rPr>
                <w:sz w:val="16"/>
                <w:szCs w:val="16"/>
              </w:rPr>
              <w:t>Behoefte aan verbetering van het O&amp;O- en innovatiesysteem; behoefte aan verbetering van de mechanismen voor kennisoverdracht; behoefte aan bevordering van de innovatiecultuur onder actoren in de agrovoedselsector.</w:t>
            </w:r>
          </w:p>
        </w:tc>
        <w:tc>
          <w:tcPr>
            <w:tcW w:w="2268" w:type="dxa"/>
          </w:tcPr>
          <w:p w:rsidR="00E05D08" w:rsidRPr="00E05D08" w:rsidRDefault="00AA5817" w:rsidP="00963A81">
            <w:pPr>
              <w:jc w:val="left"/>
              <w:rPr>
                <w:rFonts w:cs="Arial"/>
                <w:sz w:val="16"/>
                <w:szCs w:val="16"/>
              </w:rPr>
            </w:pPr>
            <w:r>
              <w:rPr>
                <w:sz w:val="16"/>
                <w:szCs w:val="16"/>
              </w:rPr>
              <w:t xml:space="preserve">De innovatiegerelateerde behoeften zijn niet duidelijk omschreven in de SWOT en behoeftenbeoordeling. </w:t>
            </w:r>
          </w:p>
        </w:tc>
        <w:tc>
          <w:tcPr>
            <w:tcW w:w="2410" w:type="dxa"/>
          </w:tcPr>
          <w:p w:rsidR="00E05D08" w:rsidRPr="00E05D08" w:rsidRDefault="00E05D08" w:rsidP="00F31494">
            <w:pPr>
              <w:jc w:val="left"/>
              <w:rPr>
                <w:rFonts w:cs="Arial"/>
                <w:sz w:val="16"/>
                <w:szCs w:val="16"/>
              </w:rPr>
            </w:pPr>
            <w:r>
              <w:rPr>
                <w:sz w:val="16"/>
                <w:szCs w:val="16"/>
              </w:rPr>
              <w:t>De SWOT en behoeftenbeoordeling herzien met het oog op innovatiegerelateerde behoeften.</w:t>
            </w:r>
          </w:p>
        </w:tc>
      </w:tr>
      <w:tr w:rsidR="00E05D08" w:rsidRPr="00E05D08" w:rsidTr="00E05D08">
        <w:tc>
          <w:tcPr>
            <w:tcW w:w="1980" w:type="dxa"/>
          </w:tcPr>
          <w:p w:rsidR="00E05D08" w:rsidRPr="00F31494" w:rsidRDefault="00AA5817" w:rsidP="00F31494">
            <w:pPr>
              <w:spacing w:after="120"/>
              <w:jc w:val="left"/>
              <w:rPr>
                <w:rFonts w:cs="Arial"/>
                <w:color w:val="F07E31"/>
                <w:sz w:val="18"/>
                <w:szCs w:val="18"/>
              </w:rPr>
            </w:pPr>
            <w:r>
              <w:rPr>
                <w:color w:val="F07E31"/>
                <w:sz w:val="18"/>
                <w:szCs w:val="18"/>
              </w:rPr>
              <w:t>Stap 2: Vaststellen welke delen van de doelstellingen van de maatregel/submaatregel verband houden met innovatie</w:t>
            </w:r>
          </w:p>
        </w:tc>
        <w:tc>
          <w:tcPr>
            <w:tcW w:w="3260" w:type="dxa"/>
          </w:tcPr>
          <w:p w:rsidR="00E05D08" w:rsidRPr="00E05D08" w:rsidRDefault="00E05D08" w:rsidP="00F31494">
            <w:pPr>
              <w:spacing w:after="120"/>
              <w:jc w:val="left"/>
              <w:rPr>
                <w:rFonts w:cs="Arial"/>
                <w:sz w:val="16"/>
                <w:szCs w:val="16"/>
              </w:rPr>
            </w:pPr>
            <w:r>
              <w:rPr>
                <w:sz w:val="16"/>
                <w:szCs w:val="16"/>
              </w:rPr>
              <w:t>In hoeverre sluiten de doelstellingen van de maatregel/submaatregel aan bij innovatiegerelateerde behoeften?</w:t>
            </w:r>
          </w:p>
          <w:p w:rsidR="00E05D08" w:rsidRPr="00E05D08" w:rsidRDefault="00E05D08" w:rsidP="00F31494">
            <w:pPr>
              <w:spacing w:after="120"/>
              <w:jc w:val="left"/>
              <w:rPr>
                <w:rFonts w:cs="Arial"/>
                <w:sz w:val="16"/>
                <w:szCs w:val="16"/>
              </w:rPr>
            </w:pPr>
            <w:r>
              <w:rPr>
                <w:sz w:val="16"/>
                <w:szCs w:val="16"/>
              </w:rPr>
              <w:t>Hoe is/zijn de doelstelling(en) geformuleerd met betrekking tot innovatie?</w:t>
            </w:r>
          </w:p>
        </w:tc>
        <w:tc>
          <w:tcPr>
            <w:tcW w:w="2268" w:type="dxa"/>
          </w:tcPr>
          <w:p w:rsidR="00E05D08" w:rsidRPr="00E05D08" w:rsidRDefault="00E05D08" w:rsidP="00F31494">
            <w:pPr>
              <w:jc w:val="left"/>
              <w:rPr>
                <w:rFonts w:cs="Arial"/>
                <w:sz w:val="16"/>
                <w:szCs w:val="16"/>
              </w:rPr>
            </w:pPr>
            <w:r>
              <w:rPr>
                <w:sz w:val="16"/>
                <w:szCs w:val="16"/>
              </w:rPr>
              <w:t>Hoofdstuk 5 – Beschrijving van de strategie</w:t>
            </w:r>
          </w:p>
          <w:p w:rsidR="00E05D08" w:rsidRPr="00E05D08" w:rsidRDefault="00E05D08" w:rsidP="00F31494">
            <w:pPr>
              <w:jc w:val="left"/>
              <w:rPr>
                <w:rFonts w:cs="Arial"/>
                <w:sz w:val="16"/>
                <w:szCs w:val="16"/>
              </w:rPr>
            </w:pPr>
            <w:r>
              <w:rPr>
                <w:sz w:val="16"/>
                <w:szCs w:val="16"/>
              </w:rPr>
              <w:t>Hoofdstuk 8 – Beschrijving van de maatregelen en submaatregelen</w:t>
            </w:r>
          </w:p>
        </w:tc>
        <w:tc>
          <w:tcPr>
            <w:tcW w:w="2693" w:type="dxa"/>
          </w:tcPr>
          <w:p w:rsidR="00E05D08" w:rsidRPr="00E05D08" w:rsidRDefault="00E05D08" w:rsidP="00F31494">
            <w:pPr>
              <w:jc w:val="left"/>
              <w:rPr>
                <w:rFonts w:cs="Arial"/>
                <w:sz w:val="16"/>
                <w:szCs w:val="16"/>
              </w:rPr>
            </w:pPr>
            <w:r>
              <w:rPr>
                <w:sz w:val="16"/>
                <w:szCs w:val="16"/>
              </w:rPr>
              <w:t>Bevordering van nieuwe technologieën in irrigatiesystemen; invoering van nieuwe kennis op het gebied van gewasbescherming en -verwerking; verbetering van de economische resultaten van plattelandsondernemingen door middel van innovatie.</w:t>
            </w:r>
          </w:p>
        </w:tc>
        <w:tc>
          <w:tcPr>
            <w:tcW w:w="2268" w:type="dxa"/>
          </w:tcPr>
          <w:p w:rsidR="00E05D08" w:rsidRPr="00E05D08" w:rsidRDefault="00AA5817" w:rsidP="00F31494">
            <w:pPr>
              <w:jc w:val="left"/>
              <w:rPr>
                <w:rFonts w:cs="Arial"/>
                <w:sz w:val="16"/>
                <w:szCs w:val="16"/>
              </w:rPr>
            </w:pPr>
            <w:r>
              <w:rPr>
                <w:sz w:val="16"/>
                <w:szCs w:val="16"/>
              </w:rPr>
              <w:t>De innovatiegerelateerde doelstellingen blijken niet uit de algemene beschrijving van de maatregel en submaatregelen.</w:t>
            </w:r>
          </w:p>
        </w:tc>
        <w:tc>
          <w:tcPr>
            <w:tcW w:w="2410" w:type="dxa"/>
          </w:tcPr>
          <w:p w:rsidR="00E05D08" w:rsidRPr="00E05D08" w:rsidRDefault="00E05D08" w:rsidP="00F31494">
            <w:pPr>
              <w:jc w:val="left"/>
              <w:rPr>
                <w:rFonts w:cs="Arial"/>
                <w:sz w:val="16"/>
                <w:szCs w:val="16"/>
              </w:rPr>
            </w:pPr>
            <w:r>
              <w:rPr>
                <w:sz w:val="16"/>
                <w:szCs w:val="16"/>
              </w:rPr>
              <w:t>Alle submaatregelen en de bijbehorende doelstellingen herzien om innovatiegerelateerde doelstellingen op te sporen.</w:t>
            </w:r>
          </w:p>
        </w:tc>
      </w:tr>
      <w:tr w:rsidR="00E05D08" w:rsidRPr="00E05D08" w:rsidTr="00E05D08">
        <w:tc>
          <w:tcPr>
            <w:tcW w:w="1980" w:type="dxa"/>
          </w:tcPr>
          <w:p w:rsidR="00E05D08" w:rsidRPr="00F31494" w:rsidRDefault="00AA5817" w:rsidP="00F31494">
            <w:pPr>
              <w:jc w:val="left"/>
              <w:rPr>
                <w:rFonts w:cs="Arial"/>
                <w:color w:val="F07E31"/>
                <w:sz w:val="18"/>
                <w:szCs w:val="18"/>
              </w:rPr>
            </w:pPr>
            <w:r>
              <w:rPr>
                <w:color w:val="F07E31"/>
                <w:sz w:val="18"/>
                <w:szCs w:val="18"/>
              </w:rPr>
              <w:t>Stap 3: Innovatiegerelateerde selectiecriteria van de maatregel/submaatregel vaststellen</w:t>
            </w:r>
          </w:p>
        </w:tc>
        <w:tc>
          <w:tcPr>
            <w:tcW w:w="3260" w:type="dxa"/>
          </w:tcPr>
          <w:p w:rsidR="00E05D08" w:rsidRPr="00E05D08" w:rsidRDefault="00E05D08" w:rsidP="00F31494">
            <w:pPr>
              <w:spacing w:after="120"/>
              <w:jc w:val="left"/>
              <w:rPr>
                <w:rFonts w:cs="Arial"/>
                <w:sz w:val="16"/>
                <w:szCs w:val="16"/>
              </w:rPr>
            </w:pPr>
            <w:r>
              <w:rPr>
                <w:sz w:val="16"/>
                <w:szCs w:val="16"/>
              </w:rPr>
              <w:t xml:space="preserve">In hoeverre werken de projectselectiecriteria van de maatregel/submaatregel bevordering van innovatie in de hand, rekening houdend met de drie trajecten? </w:t>
            </w:r>
          </w:p>
          <w:p w:rsidR="00E05D08" w:rsidRPr="00E05D08" w:rsidRDefault="00E05D08" w:rsidP="00F31494">
            <w:pPr>
              <w:spacing w:after="120"/>
              <w:jc w:val="left"/>
              <w:rPr>
                <w:rFonts w:cs="Arial"/>
                <w:sz w:val="16"/>
                <w:szCs w:val="16"/>
              </w:rPr>
            </w:pPr>
            <w:r>
              <w:rPr>
                <w:sz w:val="16"/>
                <w:szCs w:val="16"/>
              </w:rPr>
              <w:t>Welke concrete selectiecriteria zijn gunstig voor innovatiebevorderende projecten?</w:t>
            </w:r>
          </w:p>
        </w:tc>
        <w:tc>
          <w:tcPr>
            <w:tcW w:w="2268" w:type="dxa"/>
          </w:tcPr>
          <w:p w:rsidR="00E05D08" w:rsidRPr="00E05D08" w:rsidRDefault="00E05D08" w:rsidP="00F31494">
            <w:pPr>
              <w:jc w:val="left"/>
              <w:rPr>
                <w:rFonts w:cs="Arial"/>
                <w:sz w:val="16"/>
                <w:szCs w:val="16"/>
              </w:rPr>
            </w:pPr>
            <w:r>
              <w:rPr>
                <w:sz w:val="16"/>
                <w:szCs w:val="16"/>
              </w:rPr>
              <w:t>Hoofdstuk 8 – Beschrijving van de maatregelen en submaatregelen</w:t>
            </w:r>
          </w:p>
          <w:p w:rsidR="00E05D08" w:rsidRPr="00E05D08" w:rsidRDefault="00E05D08" w:rsidP="00F31494">
            <w:pPr>
              <w:jc w:val="left"/>
              <w:rPr>
                <w:rFonts w:cs="Arial"/>
                <w:sz w:val="16"/>
                <w:szCs w:val="16"/>
              </w:rPr>
            </w:pPr>
            <w:r>
              <w:rPr>
                <w:sz w:val="16"/>
                <w:szCs w:val="16"/>
              </w:rPr>
              <w:t>Selectiecriteria die tijdens de implementatie zijn ontwikkeld (bron: website van het programma, beheersautoriteit)</w:t>
            </w:r>
          </w:p>
        </w:tc>
        <w:tc>
          <w:tcPr>
            <w:tcW w:w="2693" w:type="dxa"/>
          </w:tcPr>
          <w:p w:rsidR="00E05D08" w:rsidRPr="00E05D08" w:rsidRDefault="00E05D08" w:rsidP="00F31494">
            <w:pPr>
              <w:jc w:val="left"/>
              <w:rPr>
                <w:rFonts w:cs="Arial"/>
                <w:sz w:val="16"/>
                <w:szCs w:val="16"/>
              </w:rPr>
            </w:pPr>
            <w:r>
              <w:rPr>
                <w:sz w:val="16"/>
                <w:szCs w:val="16"/>
              </w:rPr>
              <w:t>Prioriteit geven aan actoren met ervaring in innovatie; prioriteit geven aan concrete acties waarbij onderzoek en praktijk gecombineerd worden; de nadruk leggen op de samenstelling van partnerschappen (bij concrete samenwerkingsacties).</w:t>
            </w:r>
          </w:p>
        </w:tc>
        <w:tc>
          <w:tcPr>
            <w:tcW w:w="2268" w:type="dxa"/>
          </w:tcPr>
          <w:p w:rsidR="00E05D08" w:rsidRPr="00E05D08" w:rsidRDefault="00E05D08" w:rsidP="00F31494">
            <w:pPr>
              <w:jc w:val="left"/>
              <w:rPr>
                <w:rFonts w:cs="Arial"/>
                <w:sz w:val="16"/>
                <w:szCs w:val="16"/>
              </w:rPr>
            </w:pPr>
            <w:r>
              <w:rPr>
                <w:sz w:val="16"/>
                <w:szCs w:val="16"/>
              </w:rPr>
              <w:t xml:space="preserve">In de beschrijving van maatregelen zijn de innovatiegerelateerde projectselectiecriteria niet duidelijk aangegeven, of wordt slechts een algemene formulering gebruikt, zoals "het geselecteerde project is innovatief". </w:t>
            </w:r>
          </w:p>
        </w:tc>
        <w:tc>
          <w:tcPr>
            <w:tcW w:w="2410" w:type="dxa"/>
          </w:tcPr>
          <w:p w:rsidR="00E05D08" w:rsidRPr="00E05D08" w:rsidRDefault="00E05D08" w:rsidP="00F31494">
            <w:pPr>
              <w:jc w:val="left"/>
              <w:rPr>
                <w:rFonts w:cs="Arial"/>
                <w:sz w:val="16"/>
                <w:szCs w:val="16"/>
              </w:rPr>
            </w:pPr>
            <w:r>
              <w:rPr>
                <w:sz w:val="16"/>
                <w:szCs w:val="16"/>
              </w:rPr>
              <w:t>Operationele criteria aangeven die bepalen onder welke voorwaarden het project als innovatief geselecteerd kan worden.</w:t>
            </w:r>
          </w:p>
        </w:tc>
      </w:tr>
      <w:tr w:rsidR="00E05D08" w:rsidRPr="00E05D08" w:rsidTr="00E05D08">
        <w:tc>
          <w:tcPr>
            <w:tcW w:w="1980" w:type="dxa"/>
          </w:tcPr>
          <w:p w:rsidR="00E05D08" w:rsidRPr="00F31494" w:rsidRDefault="00E05D08" w:rsidP="00F31494">
            <w:pPr>
              <w:spacing w:after="120"/>
              <w:jc w:val="left"/>
              <w:rPr>
                <w:rFonts w:cs="Arial"/>
                <w:color w:val="F07E31"/>
                <w:sz w:val="18"/>
                <w:szCs w:val="18"/>
              </w:rPr>
            </w:pPr>
            <w:r>
              <w:rPr>
                <w:color w:val="F07E31"/>
                <w:sz w:val="18"/>
                <w:szCs w:val="18"/>
              </w:rPr>
              <w:t>Stap 4: Belanghebbenden van innovatie bepalen in de beschrijving van de maatregel/submaatregel</w:t>
            </w:r>
          </w:p>
        </w:tc>
        <w:tc>
          <w:tcPr>
            <w:tcW w:w="3260" w:type="dxa"/>
          </w:tcPr>
          <w:p w:rsidR="00E05D08" w:rsidRPr="00E05D08" w:rsidRDefault="00E05D08" w:rsidP="00F31494">
            <w:pPr>
              <w:spacing w:after="120"/>
              <w:jc w:val="left"/>
              <w:rPr>
                <w:rFonts w:cs="Arial"/>
                <w:sz w:val="16"/>
                <w:szCs w:val="16"/>
              </w:rPr>
            </w:pPr>
            <w:r>
              <w:rPr>
                <w:sz w:val="16"/>
                <w:szCs w:val="16"/>
              </w:rPr>
              <w:t>Welke begunstigden worden geacht innovatie te bevorderen via de drie trajecten?</w:t>
            </w:r>
          </w:p>
          <w:p w:rsidR="00E05D08" w:rsidRPr="00E05D08" w:rsidRDefault="00E05D08" w:rsidP="00F31494">
            <w:pPr>
              <w:spacing w:after="120"/>
              <w:jc w:val="left"/>
              <w:rPr>
                <w:rFonts w:cs="Arial"/>
                <w:sz w:val="16"/>
                <w:szCs w:val="16"/>
              </w:rPr>
            </w:pPr>
            <w:r>
              <w:rPr>
                <w:sz w:val="16"/>
                <w:szCs w:val="16"/>
              </w:rPr>
              <w:t>Welke andere innovatiebelanghebbenden zijn bij de implementatie van de maatregel betrokken?</w:t>
            </w:r>
          </w:p>
        </w:tc>
        <w:tc>
          <w:tcPr>
            <w:tcW w:w="2268" w:type="dxa"/>
          </w:tcPr>
          <w:p w:rsidR="00E05D08" w:rsidRPr="00E05D08" w:rsidRDefault="00E05D08" w:rsidP="00F31494">
            <w:pPr>
              <w:jc w:val="left"/>
              <w:rPr>
                <w:rFonts w:cs="Arial"/>
                <w:sz w:val="16"/>
                <w:szCs w:val="16"/>
              </w:rPr>
            </w:pPr>
            <w:r>
              <w:rPr>
                <w:sz w:val="16"/>
                <w:szCs w:val="16"/>
              </w:rPr>
              <w:t>Hoofdstuk 8 – Beschrijving van de maatregelen en submaatregelen</w:t>
            </w:r>
          </w:p>
        </w:tc>
        <w:tc>
          <w:tcPr>
            <w:tcW w:w="2693" w:type="dxa"/>
          </w:tcPr>
          <w:p w:rsidR="00E05D08" w:rsidRPr="00E05D08" w:rsidRDefault="00E05D08" w:rsidP="00F31494">
            <w:pPr>
              <w:jc w:val="left"/>
              <w:rPr>
                <w:rFonts w:cs="Arial"/>
                <w:sz w:val="16"/>
                <w:szCs w:val="16"/>
              </w:rPr>
            </w:pPr>
            <w:r>
              <w:rPr>
                <w:sz w:val="16"/>
                <w:szCs w:val="16"/>
              </w:rPr>
              <w:t>O&amp;O-centra</w:t>
            </w:r>
          </w:p>
          <w:p w:rsidR="00E05D08" w:rsidRPr="00E05D08" w:rsidRDefault="00E05D08" w:rsidP="00F31494">
            <w:pPr>
              <w:jc w:val="left"/>
              <w:rPr>
                <w:rFonts w:cs="Arial"/>
                <w:sz w:val="16"/>
                <w:szCs w:val="16"/>
              </w:rPr>
            </w:pPr>
            <w:r>
              <w:rPr>
                <w:sz w:val="16"/>
                <w:szCs w:val="16"/>
              </w:rPr>
              <w:t>Technologie-instellingen</w:t>
            </w:r>
          </w:p>
          <w:p w:rsidR="00E05D08" w:rsidRPr="00E05D08" w:rsidRDefault="00E05D08" w:rsidP="00F31494">
            <w:pPr>
              <w:jc w:val="left"/>
              <w:rPr>
                <w:rFonts w:cs="Arial"/>
                <w:sz w:val="16"/>
                <w:szCs w:val="16"/>
              </w:rPr>
            </w:pPr>
            <w:r>
              <w:rPr>
                <w:sz w:val="16"/>
                <w:szCs w:val="16"/>
              </w:rPr>
              <w:t>Innovatieafdelingen van overheidsinstellingen</w:t>
            </w:r>
          </w:p>
          <w:p w:rsidR="00E05D08" w:rsidRPr="000D7890" w:rsidRDefault="00E05D08" w:rsidP="00F31494">
            <w:pPr>
              <w:jc w:val="left"/>
              <w:rPr>
                <w:rFonts w:cs="Arial"/>
                <w:sz w:val="16"/>
                <w:szCs w:val="16"/>
                <w:lang w:val="nl-BE"/>
              </w:rPr>
            </w:pPr>
          </w:p>
          <w:p w:rsidR="00E05D08" w:rsidRPr="000D7890" w:rsidRDefault="00E05D08" w:rsidP="00F31494">
            <w:pPr>
              <w:jc w:val="left"/>
              <w:rPr>
                <w:rFonts w:cs="Arial"/>
                <w:sz w:val="16"/>
                <w:szCs w:val="16"/>
                <w:lang w:val="nl-BE"/>
              </w:rPr>
            </w:pPr>
          </w:p>
        </w:tc>
        <w:tc>
          <w:tcPr>
            <w:tcW w:w="2268" w:type="dxa"/>
          </w:tcPr>
          <w:p w:rsidR="00E05D08" w:rsidRPr="00E05D08" w:rsidRDefault="00AA5817" w:rsidP="00F31494">
            <w:pPr>
              <w:jc w:val="left"/>
              <w:rPr>
                <w:rFonts w:cs="Arial"/>
                <w:sz w:val="16"/>
                <w:szCs w:val="16"/>
              </w:rPr>
            </w:pPr>
            <w:r>
              <w:rPr>
                <w:sz w:val="16"/>
                <w:szCs w:val="16"/>
              </w:rPr>
              <w:t>Innovatiegerelateerde belanghebbenden zijn mogelijk niet duidelijk omschreven in het concept van de maatregel.</w:t>
            </w:r>
          </w:p>
        </w:tc>
        <w:tc>
          <w:tcPr>
            <w:tcW w:w="2410" w:type="dxa"/>
          </w:tcPr>
          <w:p w:rsidR="00E05D08" w:rsidRPr="00E05D08" w:rsidRDefault="00E05D08" w:rsidP="00F31494">
            <w:pPr>
              <w:jc w:val="left"/>
              <w:rPr>
                <w:rFonts w:cs="Arial"/>
                <w:sz w:val="16"/>
                <w:szCs w:val="16"/>
              </w:rPr>
            </w:pPr>
            <w:r>
              <w:rPr>
                <w:sz w:val="16"/>
                <w:szCs w:val="16"/>
              </w:rPr>
              <w:t xml:space="preserve">De beoordelaar moet nagaan of innovatiegerelateerde belanghebbenden bij de implementatie van de maatregel en submaatregelen zijn betrokken. </w:t>
            </w:r>
          </w:p>
        </w:tc>
      </w:tr>
      <w:tr w:rsidR="00E05D08" w:rsidRPr="00E05D08" w:rsidTr="00E05D08">
        <w:tc>
          <w:tcPr>
            <w:tcW w:w="1980" w:type="dxa"/>
          </w:tcPr>
          <w:p w:rsidR="00E05D08" w:rsidRPr="00F31494" w:rsidRDefault="00AA5817" w:rsidP="00F31494">
            <w:pPr>
              <w:spacing w:after="120"/>
              <w:jc w:val="left"/>
              <w:rPr>
                <w:rFonts w:cs="Arial"/>
                <w:color w:val="F07E31"/>
                <w:sz w:val="18"/>
                <w:szCs w:val="18"/>
              </w:rPr>
            </w:pPr>
            <w:r>
              <w:rPr>
                <w:color w:val="F07E31"/>
                <w:sz w:val="18"/>
                <w:szCs w:val="18"/>
              </w:rPr>
              <w:t>Stap 5: Innovatiegerelateerde concrete acties, kosten en budgetten bepalen in de beschrijving van de maatregel/submaatre</w:t>
            </w:r>
            <w:r>
              <w:rPr>
                <w:color w:val="F07E31"/>
                <w:sz w:val="18"/>
                <w:szCs w:val="18"/>
              </w:rPr>
              <w:lastRenderedPageBreak/>
              <w:t>gel</w:t>
            </w:r>
          </w:p>
        </w:tc>
        <w:tc>
          <w:tcPr>
            <w:tcW w:w="3260" w:type="dxa"/>
          </w:tcPr>
          <w:p w:rsidR="00E05D08" w:rsidRPr="00E05D08" w:rsidRDefault="00E05D08" w:rsidP="00F31494">
            <w:pPr>
              <w:spacing w:after="120"/>
              <w:jc w:val="left"/>
              <w:rPr>
                <w:rFonts w:cs="Arial"/>
                <w:sz w:val="16"/>
                <w:szCs w:val="16"/>
              </w:rPr>
            </w:pPr>
            <w:r>
              <w:rPr>
                <w:sz w:val="16"/>
                <w:szCs w:val="16"/>
              </w:rPr>
              <w:lastRenderedPageBreak/>
              <w:t xml:space="preserve">Welke subsidiabele concrete acties en kosten ondersteunen innovatie? </w:t>
            </w:r>
          </w:p>
          <w:p w:rsidR="00E05D08" w:rsidRPr="00E05D08" w:rsidRDefault="00E05D08" w:rsidP="00963A81">
            <w:pPr>
              <w:spacing w:after="120"/>
              <w:jc w:val="left"/>
              <w:rPr>
                <w:rFonts w:cs="Arial"/>
                <w:sz w:val="16"/>
                <w:szCs w:val="16"/>
              </w:rPr>
            </w:pPr>
            <w:r>
              <w:rPr>
                <w:sz w:val="16"/>
                <w:szCs w:val="16"/>
              </w:rPr>
              <w:t>Welk budget is er voor concrete acties en kosten die innovatie ondersteunen?</w:t>
            </w:r>
          </w:p>
        </w:tc>
        <w:tc>
          <w:tcPr>
            <w:tcW w:w="2268" w:type="dxa"/>
          </w:tcPr>
          <w:p w:rsidR="00E05D08" w:rsidRPr="00E05D08" w:rsidRDefault="00E05D08" w:rsidP="00F31494">
            <w:pPr>
              <w:jc w:val="left"/>
              <w:rPr>
                <w:rFonts w:cs="Arial"/>
                <w:sz w:val="16"/>
                <w:szCs w:val="16"/>
              </w:rPr>
            </w:pPr>
            <w:r>
              <w:rPr>
                <w:sz w:val="16"/>
                <w:szCs w:val="16"/>
              </w:rPr>
              <w:t>Hoofdstuk 8 – Beschrijving van de maatregelen en submaatregelen</w:t>
            </w:r>
          </w:p>
          <w:p w:rsidR="00E05D08" w:rsidRPr="00E05D08" w:rsidRDefault="00E05D08" w:rsidP="00F31494">
            <w:pPr>
              <w:jc w:val="left"/>
              <w:rPr>
                <w:rFonts w:cs="Arial"/>
                <w:sz w:val="16"/>
                <w:szCs w:val="16"/>
              </w:rPr>
            </w:pPr>
            <w:r>
              <w:rPr>
                <w:sz w:val="16"/>
                <w:szCs w:val="16"/>
              </w:rPr>
              <w:t>Voorzieningssystemen die tijdens de implementatie zijn ontwikkeld (bronnen: website van het programma, beheersautoriteit)</w:t>
            </w:r>
          </w:p>
          <w:p w:rsidR="00E05D08" w:rsidRPr="000D7890" w:rsidRDefault="00E05D08" w:rsidP="00F31494">
            <w:pPr>
              <w:jc w:val="left"/>
              <w:rPr>
                <w:rFonts w:cs="Arial"/>
                <w:sz w:val="16"/>
                <w:szCs w:val="16"/>
                <w:lang w:val="nl-BE"/>
              </w:rPr>
            </w:pPr>
          </w:p>
          <w:p w:rsidR="00E05D08" w:rsidRPr="00E05D08" w:rsidRDefault="00E05D08" w:rsidP="00F31494">
            <w:pPr>
              <w:jc w:val="left"/>
              <w:rPr>
                <w:rFonts w:cs="Arial"/>
                <w:sz w:val="16"/>
                <w:szCs w:val="16"/>
              </w:rPr>
            </w:pPr>
            <w:r>
              <w:rPr>
                <w:sz w:val="16"/>
                <w:szCs w:val="16"/>
              </w:rPr>
              <w:t xml:space="preserve">Hoofdstuk 10 Financieringsplan – budget per maatregel </w:t>
            </w:r>
          </w:p>
        </w:tc>
        <w:tc>
          <w:tcPr>
            <w:tcW w:w="2693" w:type="dxa"/>
          </w:tcPr>
          <w:p w:rsidR="00E05D08" w:rsidRPr="00E05D08" w:rsidRDefault="00E05D08" w:rsidP="00F31494">
            <w:pPr>
              <w:jc w:val="left"/>
              <w:rPr>
                <w:rFonts w:cs="Arial"/>
                <w:sz w:val="16"/>
                <w:szCs w:val="16"/>
              </w:rPr>
            </w:pPr>
            <w:r>
              <w:rPr>
                <w:sz w:val="16"/>
                <w:szCs w:val="16"/>
              </w:rPr>
              <w:lastRenderedPageBreak/>
              <w:t xml:space="preserve">Inzet van innovatiebemiddelaars om operationele groepen op te richten; instelling van stuurgroepen om innovatie te monitoren; administratieve kwesties bij innovatiebevorderende interventies; </w:t>
            </w:r>
            <w:r>
              <w:rPr>
                <w:sz w:val="16"/>
                <w:szCs w:val="16"/>
              </w:rPr>
              <w:lastRenderedPageBreak/>
              <w:t xml:space="preserve">bewustmakingsevenementen in het kader van innovatie. </w:t>
            </w:r>
          </w:p>
        </w:tc>
        <w:tc>
          <w:tcPr>
            <w:tcW w:w="2268" w:type="dxa"/>
          </w:tcPr>
          <w:p w:rsidR="00E05D08" w:rsidRPr="00E05D08" w:rsidRDefault="00E05D08" w:rsidP="00F31494">
            <w:pPr>
              <w:jc w:val="left"/>
              <w:rPr>
                <w:rFonts w:cs="Arial"/>
                <w:sz w:val="16"/>
                <w:szCs w:val="16"/>
              </w:rPr>
            </w:pPr>
            <w:r>
              <w:rPr>
                <w:sz w:val="16"/>
                <w:szCs w:val="16"/>
              </w:rPr>
              <w:lastRenderedPageBreak/>
              <w:t>Gebrek aan bewijsmateriaal met betrekking tot innovatiegerelateerde instrumenten en ondersteuning.</w:t>
            </w:r>
          </w:p>
        </w:tc>
        <w:tc>
          <w:tcPr>
            <w:tcW w:w="2410" w:type="dxa"/>
          </w:tcPr>
          <w:p w:rsidR="00E05D08" w:rsidRPr="00E05D08" w:rsidRDefault="00E05D08" w:rsidP="00F31494">
            <w:pPr>
              <w:jc w:val="left"/>
              <w:rPr>
                <w:rFonts w:cs="Arial"/>
                <w:sz w:val="16"/>
                <w:szCs w:val="16"/>
              </w:rPr>
            </w:pPr>
            <w:r>
              <w:rPr>
                <w:sz w:val="16"/>
                <w:szCs w:val="16"/>
              </w:rPr>
              <w:t>Aanvullende informatie over de implementatie van de maatregel en submaatregelen uit het JUV of van de beheersautoriteit analyseren.</w:t>
            </w:r>
          </w:p>
        </w:tc>
      </w:tr>
    </w:tbl>
    <w:p w:rsidR="00863DB0" w:rsidRDefault="00863DB0" w:rsidP="00E05D08">
      <w:pPr>
        <w:spacing w:before="120" w:after="120" w:line="280" w:lineRule="atLeast"/>
        <w:mirrorIndents/>
        <w:rPr>
          <w:rFonts w:eastAsia="Times New Roman" w:cs="Times New Roman"/>
          <w:szCs w:val="20"/>
          <w:lang w:eastAsia="de-DE"/>
        </w:rPr>
        <w:sectPr w:rsidR="00863DB0" w:rsidSect="001F6F07">
          <w:endnotePr>
            <w:numFmt w:val="decimal"/>
          </w:endnotePr>
          <w:pgSz w:w="16840" w:h="11907" w:orient="landscape" w:code="9"/>
          <w:pgMar w:top="1440" w:right="1440" w:bottom="1440" w:left="1134" w:header="567" w:footer="1020" w:gutter="0"/>
          <w:cols w:space="708"/>
          <w:noEndnote/>
          <w:titlePg/>
          <w:docGrid w:linePitch="435"/>
        </w:sectPr>
      </w:pPr>
    </w:p>
    <w:p w:rsidR="003F6AF1" w:rsidRDefault="003F6AF1">
      <w:pPr>
        <w:jc w:val="left"/>
        <w:rPr>
          <w:rFonts w:eastAsia="Times New Roman" w:cs="Times New Roman"/>
          <w:szCs w:val="20"/>
          <w:lang w:eastAsia="de-DE"/>
        </w:rPr>
      </w:pPr>
    </w:p>
    <w:p w:rsidR="00E05D08" w:rsidRPr="00E05D08" w:rsidRDefault="00E05D08" w:rsidP="00690E70">
      <w:pPr>
        <w:spacing w:after="0" w:line="240" w:lineRule="auto"/>
        <w:jc w:val="left"/>
        <w:rPr>
          <w:rFonts w:eastAsia="Times New Roman" w:cs="Times New Roman"/>
          <w:szCs w:val="20"/>
        </w:rPr>
      </w:pPr>
    </w:p>
    <w:bookmarkEnd w:id="0"/>
    <w:p w:rsidR="00E16522" w:rsidRDefault="00E16522"/>
    <w:sectPr w:rsidR="00E16522" w:rsidSect="00055039">
      <w:headerReference w:type="default" r:id="rId130"/>
      <w:endnotePr>
        <w:numFmt w:val="decimal"/>
      </w:endnotePr>
      <w:pgSz w:w="11906" w:h="16838" w:code="9"/>
      <w:pgMar w:top="1440" w:right="1440" w:bottom="1134" w:left="1440" w:header="567" w:footer="1021"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57BE" w:rsidRDefault="008957BE" w:rsidP="00E05D08">
      <w:pPr>
        <w:spacing w:after="0" w:line="240" w:lineRule="auto"/>
      </w:pPr>
      <w:r>
        <w:separator/>
      </w:r>
    </w:p>
  </w:endnote>
  <w:endnote w:type="continuationSeparator" w:id="0">
    <w:p w:rsidR="008957BE" w:rsidRDefault="008957BE" w:rsidP="00E05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LT Pro">
    <w:altName w:val="Segoe Script"/>
    <w:charset w:val="00"/>
    <w:family w:val="swiss"/>
    <w:pitch w:val="variable"/>
    <w:sig w:usb0="00000001" w:usb1="5000204A" w:usb2="00000000" w:usb3="00000000" w:csb0="00000097"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EED" w:rsidRDefault="00891EED">
    <w:pPr>
      <w:pStyle w:val="Footer"/>
    </w:pPr>
    <w:r>
      <w:t xml:space="preserve">pagina </w:t>
    </w:r>
    <w:r w:rsidRPr="00E05D08">
      <w:rPr>
        <w:rStyle w:val="PageNumber"/>
      </w:rPr>
      <w:fldChar w:fldCharType="begin"/>
    </w:r>
    <w:r w:rsidRPr="00E05D08">
      <w:rPr>
        <w:rStyle w:val="PageNumber"/>
      </w:rPr>
      <w:instrText xml:space="preserve"> PAGE </w:instrText>
    </w:r>
    <w:r w:rsidRPr="00E05D08">
      <w:rPr>
        <w:rStyle w:val="PageNumber"/>
      </w:rPr>
      <w:fldChar w:fldCharType="separate"/>
    </w:r>
    <w:r>
      <w:rPr>
        <w:rStyle w:val="PageNumber"/>
        <w:noProof/>
      </w:rPr>
      <w:t>87</w:t>
    </w:r>
    <w:r w:rsidRPr="00E05D08">
      <w:rPr>
        <w:rStyle w:val="PageNumber"/>
      </w:rPr>
      <w:fldChar w:fldCharType="end"/>
    </w:r>
    <w:r>
      <w:rPr>
        <w:rStyle w:val="PageNumber"/>
      </w:rPr>
      <w:tab/>
    </w:r>
    <w:r>
      <w:rPr>
        <w:noProof/>
        <w:lang w:val="en-GB" w:eastAsia="en-GB"/>
      </w:rPr>
      <w:drawing>
        <wp:inline distT="0" distB="0" distL="0" distR="0" wp14:anchorId="079E03A8" wp14:editId="53FF048B">
          <wp:extent cx="971550" cy="247650"/>
          <wp:effectExtent l="19050" t="0" r="0" b="0"/>
          <wp:docPr id="33"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EED" w:rsidRPr="00611706" w:rsidRDefault="00891EED" w:rsidP="00E16522">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5226613"/>
      <w:docPartObj>
        <w:docPartGallery w:val="Page Numbers (Bottom of Page)"/>
        <w:docPartUnique/>
      </w:docPartObj>
    </w:sdtPr>
    <w:sdtEndPr>
      <w:rPr>
        <w:noProof/>
        <w:sz w:val="18"/>
        <w:szCs w:val="18"/>
      </w:rPr>
    </w:sdtEndPr>
    <w:sdtContent>
      <w:p w:rsidR="00891EED" w:rsidRPr="00611706" w:rsidRDefault="008957BE">
        <w:pPr>
          <w:pStyle w:val="Footer"/>
          <w:rPr>
            <w:sz w:val="18"/>
            <w:szCs w:val="18"/>
          </w:rPr>
        </w:pPr>
      </w:p>
    </w:sdtContent>
  </w:sdt>
  <w:p w:rsidR="00891EED" w:rsidRPr="006D33F1" w:rsidRDefault="00891EED" w:rsidP="00E165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EED" w:rsidRPr="00431FF5" w:rsidRDefault="00891EED" w:rsidP="00431FF5">
    <w:pPr>
      <w:pStyle w:val="Footer"/>
      <w:spacing w:before="240"/>
      <w:rPr>
        <w:rStyle w:val="PageNumber"/>
        <w:rFonts w:eastAsiaTheme="majorEastAsia"/>
        <w:noProof/>
        <w:color w:val="373737"/>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EED" w:rsidRPr="00150D5B" w:rsidRDefault="00891EED" w:rsidP="00E165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9832943"/>
      <w:docPartObj>
        <w:docPartGallery w:val="Page Numbers (Bottom of Page)"/>
        <w:docPartUnique/>
      </w:docPartObj>
    </w:sdtPr>
    <w:sdtEndPr>
      <w:rPr>
        <w:rStyle w:val="PageNumber"/>
        <w:rFonts w:eastAsiaTheme="majorEastAsia"/>
        <w:color w:val="808080"/>
        <w:sz w:val="18"/>
        <w:szCs w:val="18"/>
      </w:rPr>
    </w:sdtEndPr>
    <w:sdtContent>
      <w:p w:rsidR="00891EED" w:rsidRDefault="00891EED">
        <w:pPr>
          <w:pStyle w:val="Footer"/>
          <w:spacing w:before="240"/>
          <w:rPr>
            <w:rStyle w:val="PageNumber"/>
            <w:rFonts w:eastAsiaTheme="majorEastAsia"/>
            <w:noProof/>
            <w:color w:val="373737"/>
            <w:szCs w:val="18"/>
          </w:rPr>
        </w:pPr>
        <w:r w:rsidRPr="00431FF5">
          <w:rPr>
            <w:rStyle w:val="PageNumber"/>
            <w:rFonts w:eastAsiaTheme="majorEastAsia"/>
            <w:color w:val="373737"/>
            <w:szCs w:val="18"/>
          </w:rPr>
          <w:fldChar w:fldCharType="begin"/>
        </w:r>
        <w:r w:rsidRPr="00431FF5">
          <w:rPr>
            <w:rStyle w:val="PageNumber"/>
            <w:rFonts w:eastAsiaTheme="majorEastAsia"/>
            <w:color w:val="373737"/>
            <w:szCs w:val="18"/>
          </w:rPr>
          <w:instrText xml:space="preserve"> PAGE   \* MERGEFORMAT </w:instrText>
        </w:r>
        <w:r w:rsidRPr="00431FF5">
          <w:rPr>
            <w:rStyle w:val="PageNumber"/>
            <w:rFonts w:eastAsiaTheme="majorEastAsia"/>
            <w:color w:val="373737"/>
            <w:szCs w:val="18"/>
          </w:rPr>
          <w:fldChar w:fldCharType="separate"/>
        </w:r>
        <w:r w:rsidR="009317D8">
          <w:rPr>
            <w:rStyle w:val="PageNumber"/>
            <w:rFonts w:eastAsiaTheme="majorEastAsia"/>
            <w:noProof/>
            <w:color w:val="373737"/>
            <w:szCs w:val="18"/>
          </w:rPr>
          <w:t>23</w:t>
        </w:r>
        <w:r w:rsidRPr="00431FF5">
          <w:rPr>
            <w:rStyle w:val="PageNumber"/>
            <w:rFonts w:eastAsiaTheme="majorEastAsia"/>
            <w:color w:val="373737"/>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EED" w:rsidRDefault="00891EED">
    <w:pPr>
      <w:pStyle w:val="Footer"/>
    </w:pPr>
    <w:r>
      <w:t xml:space="preserve">pagina </w:t>
    </w: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noProof/>
      </w:rPr>
      <w:t>87</w:t>
    </w:r>
    <w:r>
      <w:rPr>
        <w:rStyle w:val="PageNumber"/>
        <w:rFonts w:eastAsiaTheme="majorEastAsia"/>
      </w:rPr>
      <w:fldChar w:fldCharType="end"/>
    </w:r>
    <w:r>
      <w:rPr>
        <w:rStyle w:val="PageNumber"/>
      </w:rPr>
      <w:tab/>
    </w:r>
    <w:r>
      <w:rPr>
        <w:noProof/>
        <w:lang w:val="en-GB" w:eastAsia="en-GB"/>
      </w:rPr>
      <w:drawing>
        <wp:inline distT="0" distB="0" distL="0" distR="0" wp14:anchorId="66B3C3E5" wp14:editId="196F1B22">
          <wp:extent cx="971550" cy="247650"/>
          <wp:effectExtent l="19050" t="0" r="0" b="0"/>
          <wp:docPr id="708"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EED" w:rsidRPr="00611706" w:rsidRDefault="00891EED" w:rsidP="00485923">
    <w:pPr>
      <w:pStyle w:val="Footer"/>
      <w:spacing w:before="240"/>
      <w:rPr>
        <w:sz w:val="18"/>
        <w:szCs w:val="18"/>
      </w:rPr>
    </w:pPr>
    <w:r w:rsidRPr="00611706">
      <w:rPr>
        <w:rStyle w:val="PageNumber"/>
        <w:rFonts w:eastAsiaTheme="majorEastAsia"/>
        <w:color w:val="373737"/>
        <w:szCs w:val="18"/>
      </w:rPr>
      <w:fldChar w:fldCharType="begin"/>
    </w:r>
    <w:r w:rsidRPr="00611706">
      <w:rPr>
        <w:rStyle w:val="PageNumber"/>
        <w:rFonts w:eastAsiaTheme="majorEastAsia"/>
        <w:color w:val="373737"/>
        <w:szCs w:val="18"/>
      </w:rPr>
      <w:instrText xml:space="preserve"> PAGE </w:instrText>
    </w:r>
    <w:r w:rsidRPr="00611706">
      <w:rPr>
        <w:rStyle w:val="PageNumber"/>
        <w:rFonts w:eastAsiaTheme="majorEastAsia"/>
        <w:color w:val="373737"/>
        <w:szCs w:val="18"/>
      </w:rPr>
      <w:fldChar w:fldCharType="separate"/>
    </w:r>
    <w:r w:rsidR="009317D8">
      <w:rPr>
        <w:rStyle w:val="PageNumber"/>
        <w:rFonts w:eastAsiaTheme="majorEastAsia"/>
        <w:noProof/>
        <w:color w:val="373737"/>
        <w:szCs w:val="18"/>
      </w:rPr>
      <w:t>26</w:t>
    </w:r>
    <w:r w:rsidRPr="00611706">
      <w:rPr>
        <w:rStyle w:val="PageNumber"/>
        <w:rFonts w:eastAsiaTheme="majorEastAsia"/>
        <w:color w:val="373737"/>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653537"/>
      <w:docPartObj>
        <w:docPartGallery w:val="Page Numbers (Bottom of Page)"/>
        <w:docPartUnique/>
      </w:docPartObj>
    </w:sdtPr>
    <w:sdtEndPr>
      <w:rPr>
        <w:noProof/>
        <w:sz w:val="18"/>
        <w:szCs w:val="18"/>
      </w:rPr>
    </w:sdtEndPr>
    <w:sdtContent>
      <w:p w:rsidR="00891EED" w:rsidRDefault="00891EED">
        <w:pPr>
          <w:pStyle w:val="Footer"/>
          <w:rPr>
            <w:sz w:val="18"/>
            <w:szCs w:val="18"/>
          </w:rPr>
        </w:pPr>
        <w:r w:rsidRPr="00611706">
          <w:rPr>
            <w:sz w:val="18"/>
            <w:szCs w:val="18"/>
          </w:rPr>
          <w:fldChar w:fldCharType="begin"/>
        </w:r>
        <w:r w:rsidRPr="00611706">
          <w:rPr>
            <w:sz w:val="18"/>
            <w:szCs w:val="18"/>
          </w:rPr>
          <w:instrText xml:space="preserve"> PAGE   \* MERGEFORMAT </w:instrText>
        </w:r>
        <w:r w:rsidRPr="00611706">
          <w:rPr>
            <w:sz w:val="18"/>
            <w:szCs w:val="18"/>
          </w:rPr>
          <w:fldChar w:fldCharType="separate"/>
        </w:r>
        <w:r w:rsidR="009317D8">
          <w:rPr>
            <w:noProof/>
            <w:sz w:val="18"/>
            <w:szCs w:val="18"/>
          </w:rPr>
          <w:t>24</w:t>
        </w:r>
        <w:r w:rsidRPr="00611706">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57BE" w:rsidRPr="00CE2990" w:rsidRDefault="008957BE" w:rsidP="00E05D08">
      <w:pPr>
        <w:spacing w:after="0" w:line="240" w:lineRule="auto"/>
        <w:rPr>
          <w:color w:val="F07E31"/>
        </w:rPr>
      </w:pPr>
      <w:r>
        <w:rPr>
          <w:color w:val="F07E31"/>
        </w:rPr>
        <w:separator/>
      </w:r>
    </w:p>
  </w:footnote>
  <w:footnote w:type="continuationSeparator" w:id="0">
    <w:p w:rsidR="008957BE" w:rsidRDefault="008957BE" w:rsidP="00E05D08">
      <w:pPr>
        <w:spacing w:after="0" w:line="240" w:lineRule="auto"/>
      </w:pPr>
      <w:r>
        <w:continuationSeparator/>
      </w:r>
    </w:p>
  </w:footnote>
  <w:footnote w:id="1">
    <w:p w:rsidR="00891EED" w:rsidRPr="00194986" w:rsidRDefault="00891EED" w:rsidP="00E05D08">
      <w:pPr>
        <w:pStyle w:val="FootnoteText"/>
      </w:pPr>
      <w:r>
        <w:rPr>
          <w:rStyle w:val="FootnoteReference"/>
          <w:rFonts w:cs="Arial"/>
        </w:rPr>
        <w:footnoteRef/>
      </w:r>
      <w:r>
        <w:t xml:space="preserve">De andere twee horizontale doelstellingen zijn milieu en klimaatmitigatie en -adaptatie. </w:t>
      </w:r>
    </w:p>
  </w:footnote>
  <w:footnote w:id="2">
    <w:p w:rsidR="00891EED" w:rsidRPr="00194986" w:rsidRDefault="00891EED" w:rsidP="00E05D08">
      <w:pPr>
        <w:pStyle w:val="FootnoteText"/>
      </w:pPr>
      <w:r>
        <w:rPr>
          <w:rStyle w:val="FootnoteReference"/>
          <w:rFonts w:cs="Arial"/>
        </w:rPr>
        <w:footnoteRef/>
      </w:r>
      <w:r>
        <w:t xml:space="preserve"> Art. 8, lid 1, onder c), v), van Verordening (EU) nr. 1305/2013 en bijlage I, deel I.5, onder c), van Verordening (EU) nr. 808/2014.</w:t>
      </w:r>
    </w:p>
  </w:footnote>
  <w:footnote w:id="3">
    <w:p w:rsidR="00891EED" w:rsidRPr="006F10F3" w:rsidRDefault="00891EED" w:rsidP="00E05D08">
      <w:pPr>
        <w:pStyle w:val="FootnoteText"/>
        <w:rPr>
          <w:lang w:val="en-GB"/>
        </w:rPr>
      </w:pPr>
      <w:r>
        <w:rPr>
          <w:rStyle w:val="FootnoteReference"/>
          <w:rFonts w:cs="Arial"/>
        </w:rPr>
        <w:footnoteRef/>
      </w:r>
      <w:r w:rsidRPr="006F10F3">
        <w:rPr>
          <w:lang w:val="en-GB"/>
        </w:rPr>
        <w:t xml:space="preserve"> Artikel 68 van Verordening (EU) nr. 1305/2013</w:t>
      </w:r>
      <w:r>
        <w:rPr>
          <w:lang w:val="en-GB"/>
        </w:rPr>
        <w:t>.</w:t>
      </w:r>
    </w:p>
  </w:footnote>
  <w:footnote w:id="4">
    <w:p w:rsidR="00891EED" w:rsidRPr="000D7890" w:rsidRDefault="00891EED" w:rsidP="000E1D4B">
      <w:pPr>
        <w:pStyle w:val="FootnoteText"/>
        <w:rPr>
          <w:lang w:val="en-US"/>
        </w:rPr>
      </w:pPr>
      <w:r>
        <w:rPr>
          <w:rStyle w:val="FootnoteReference"/>
          <w:sz w:val="12"/>
          <w:szCs w:val="12"/>
        </w:rPr>
        <w:footnoteRef/>
      </w:r>
      <w:r w:rsidRPr="000D7890">
        <w:rPr>
          <w:lang w:val="en-US"/>
        </w:rPr>
        <w:t xml:space="preserve"> Guidelines on programming for innovation and the implementation of the EIP for agricultural productivity and sustainability</w:t>
      </w:r>
      <w:r w:rsidRPr="000D7890">
        <w:rPr>
          <w:lang w:val="en-US"/>
        </w:rPr>
        <w:cr/>
      </w:r>
      <w:r w:rsidRPr="000D7890">
        <w:rPr>
          <w:rStyle w:val="Hyperlink"/>
          <w:lang w:val="en-US"/>
        </w:rPr>
        <w:t>https://ec.europa.eu/eip/agriculture/sites/agri-eip/files/pb_guidelines_eip_implementation_2014_en.pdf</w:t>
      </w:r>
    </w:p>
  </w:footnote>
  <w:footnote w:id="5">
    <w:p w:rsidR="00891EED" w:rsidRPr="000D7890" w:rsidRDefault="00891EED" w:rsidP="00F74459">
      <w:pPr>
        <w:pStyle w:val="FootnoteText"/>
        <w:rPr>
          <w:rFonts w:eastAsia="Calibri"/>
          <w:lang w:val="en-US"/>
        </w:rPr>
      </w:pPr>
      <w:r>
        <w:rPr>
          <w:rStyle w:val="FootnoteReference"/>
        </w:rPr>
        <w:footnoteRef/>
      </w:r>
      <w:r w:rsidRPr="000D7890">
        <w:rPr>
          <w:lang w:val="en-US"/>
        </w:rPr>
        <w:t xml:space="preserve"> Guidelines on programming for innovation and the implementation of the EIP for agricultural productivity and sustainability</w:t>
      </w:r>
      <w:r w:rsidRPr="000D7890">
        <w:rPr>
          <w:lang w:val="en-US"/>
        </w:rPr>
        <w:cr/>
      </w:r>
      <w:hyperlink r:id="rId1" w:history="1">
        <w:r w:rsidRPr="000D7890">
          <w:rPr>
            <w:rStyle w:val="Hyperlink"/>
            <w:lang w:val="en-US"/>
          </w:rPr>
          <w:t>https://ec.europa.eu/eip/agriculture/sites/agri-eip/files/pb_guidelines_eip_implementation_2014_en.pdf</w:t>
        </w:r>
      </w:hyperlink>
    </w:p>
  </w:footnote>
  <w:footnote w:id="6">
    <w:p w:rsidR="00891EED" w:rsidRPr="008F676D" w:rsidRDefault="00891EED" w:rsidP="00F74459">
      <w:pPr>
        <w:pStyle w:val="FootnoteText"/>
      </w:pPr>
      <w:r>
        <w:rPr>
          <w:rStyle w:val="FootnoteReference"/>
        </w:rPr>
        <w:footnoteRef/>
      </w:r>
      <w:r>
        <w:t xml:space="preserve"> Horizon 2020 onderschrijft het concept van de onderzoeksaanpak met meerdere actoren, waarbij landbouwers, adviseurs en andere beroepsbeoefenaars in samenwerking met onderzoekers oplossingen bedenken of innovatieve kansen scheppen om het onderzoek en de innovaties op de behoeften van de landbouwpraktijk toe te spitsen, zie H2020 WP 2018-2020 bladzijde 8-9 voor de vereisten voor projecten met meerdere actoren (</w:t>
      </w:r>
      <w:hyperlink r:id="rId2" w:history="1">
        <w:r>
          <w:rPr>
            <w:rStyle w:val="Hyperlink"/>
          </w:rPr>
          <w:t>http://ec.europa.eu/research/participants/data/ref/h2020/wp/2018-2020/main/h2020-wp1820-food_en.pdf</w:t>
        </w:r>
      </w:hyperlink>
      <w:r>
        <w:t>) en de EIP-brochure over de aanpak met meerdere actoren (</w:t>
      </w:r>
      <w:hyperlink r:id="rId3" w:history="1">
        <w:r>
          <w:rPr>
            <w:rStyle w:val="Hyperlink"/>
          </w:rPr>
          <w:t>https://ec.europa.eu/eip/agriculture/sites/agri-eip/files/eip-agri_brochure_multi-actor_projects_2017_en_web.pdf</w:t>
        </w:r>
      </w:hyperlink>
      <w:r>
        <w:t>)</w:t>
      </w:r>
    </w:p>
  </w:footnote>
  <w:footnote w:id="7">
    <w:p w:rsidR="00891EED" w:rsidRDefault="00891EED" w:rsidP="00F74459">
      <w:pPr>
        <w:pStyle w:val="FootnoteText"/>
      </w:pPr>
      <w:r>
        <w:rPr>
          <w:rStyle w:val="FootnoteReference"/>
        </w:rPr>
        <w:footnoteRef/>
      </w:r>
      <w:r>
        <w:t xml:space="preserve"> Rapporten van het Permanent Comité voor onderzoek in de landbouw (PCOL) van de strategische werkgroep (SWG) over kennis- en innovatiesystemen in de landbouw (Agriculture knowledge and innovation systems - AKIS):</w:t>
      </w:r>
    </w:p>
    <w:p w:rsidR="00891EED" w:rsidRPr="000D7890" w:rsidRDefault="00891EED" w:rsidP="00F74459">
      <w:pPr>
        <w:pStyle w:val="FootnoteText"/>
        <w:rPr>
          <w:lang w:val="en-US"/>
        </w:rPr>
      </w:pPr>
      <w:r w:rsidRPr="000D7890">
        <w:rPr>
          <w:lang w:val="en-US"/>
        </w:rPr>
        <w:t>- Agricultural Knowledge and Innovation Systems Towards 2020 – an orientation paper on linking innovation and research</w:t>
      </w:r>
    </w:p>
    <w:p w:rsidR="00891EED" w:rsidRDefault="008957BE" w:rsidP="00F74459">
      <w:pPr>
        <w:pStyle w:val="FootnoteText"/>
      </w:pPr>
      <w:hyperlink r:id="rId4" w:history="1">
        <w:r w:rsidR="00891EED">
          <w:rPr>
            <w:rStyle w:val="Hyperlink"/>
          </w:rPr>
          <w:t xml:space="preserve">http://www.gppq.fct.pt/h2020/_docs/brochuras/bioeco/agricultural-knowledge-innovation-systems-towards-2020_en.pdf </w:t>
        </w:r>
      </w:hyperlink>
      <w:r w:rsidR="00891EED">
        <w:t>(inzake de opbouw van de aanpak met meerdere actoren)</w:t>
      </w:r>
    </w:p>
    <w:p w:rsidR="00891EED" w:rsidRPr="000D7890" w:rsidRDefault="00891EED" w:rsidP="00F74459">
      <w:pPr>
        <w:pStyle w:val="FootnoteText"/>
        <w:rPr>
          <w:lang w:val="en-US"/>
        </w:rPr>
      </w:pPr>
      <w:r w:rsidRPr="000D7890">
        <w:rPr>
          <w:lang w:val="en-US"/>
        </w:rPr>
        <w:t xml:space="preserve">- Agricultural Knowledge and Innovation Systems towards the Future - A Foresight paper, </w:t>
      </w:r>
      <w:hyperlink r:id="rId5" w:anchor="view=fit&amp;pagemode=none" w:history="1">
        <w:r w:rsidRPr="000D7890">
          <w:rPr>
            <w:rStyle w:val="Hyperlink"/>
            <w:lang w:val="en-US"/>
          </w:rPr>
          <w:t>https://ec.europa.eu/research/scar/pdf/akis-3_end_report.pdf#view=fit&amp;pagemode=none</w:t>
        </w:r>
      </w:hyperlink>
      <w:r w:rsidRPr="000D7890">
        <w:rPr>
          <w:rStyle w:val="Hyperlink"/>
          <w:lang w:val="en-US"/>
        </w:rPr>
        <w:t xml:space="preserve"> </w:t>
      </w:r>
    </w:p>
  </w:footnote>
  <w:footnote w:id="8">
    <w:p w:rsidR="00891EED" w:rsidRPr="00B13D00" w:rsidRDefault="00891EED" w:rsidP="00F74459">
      <w:pPr>
        <w:pStyle w:val="FootnoteText"/>
      </w:pPr>
      <w:r>
        <w:rPr>
          <w:rStyle w:val="FootnoteReference"/>
          <w:color w:val="373737"/>
        </w:rPr>
        <w:footnoteRef/>
      </w:r>
      <w:r>
        <w:t xml:space="preserve"> Schot en Geels (2008) voor meer informatie over sociaal-technische niches. </w:t>
      </w:r>
    </w:p>
  </w:footnote>
  <w:footnote w:id="9">
    <w:p w:rsidR="00F71AC0" w:rsidRPr="000D7890" w:rsidRDefault="00F71AC0" w:rsidP="00F71AC0">
      <w:pPr>
        <w:pStyle w:val="FootnoteText"/>
        <w:rPr>
          <w:lang w:val="en-US"/>
        </w:rPr>
      </w:pPr>
      <w:r>
        <w:rPr>
          <w:szCs w:val="16"/>
          <w:vertAlign w:val="superscript"/>
          <w:lang w:val="en-IE"/>
        </w:rPr>
        <w:footnoteRef/>
      </w:r>
      <w:r w:rsidRPr="006F10F3">
        <w:t xml:space="preserve"> ENPO (2013). Towards Successful Innovation Brokerage: Insights for the 2007-2013 Rural Development Programmes en Leeuwis C, Schut M, Waters-Bayer A, Mur R, Atta-Krah K and Douthwaite B. 2014. </w:t>
      </w:r>
      <w:r w:rsidRPr="000D7890">
        <w:rPr>
          <w:lang w:val="en-US"/>
        </w:rPr>
        <w:t>Capacity to innovate from a system CGIAR research program perspective. Penang, Malaysia: CGIAR Research Program on Aquatic Agricultural Systems. Program Brief: AAS-2014-29.</w:t>
      </w:r>
    </w:p>
  </w:footnote>
  <w:footnote w:id="10">
    <w:p w:rsidR="00F71AC0" w:rsidRPr="00F74459" w:rsidRDefault="00F71AC0" w:rsidP="00F71AC0">
      <w:pPr>
        <w:pStyle w:val="FootnoteText"/>
      </w:pPr>
      <w:r>
        <w:rPr>
          <w:szCs w:val="16"/>
          <w:vertAlign w:val="superscript"/>
          <w:lang w:val="en-IE"/>
        </w:rPr>
        <w:footnoteRef/>
      </w:r>
      <w:r>
        <w:t xml:space="preserve"> ENPO (2013) omschrijft innovatiebemiddeling als een cruciale systeemcapaciteit, namelijk de aanwezigheid (en activiteit) van actoren die verandering nastreven en creatief, proactief, gemotiveerd, onpartijdig, transparant en zich van de innovatiecontext bewust zijn.</w:t>
      </w:r>
    </w:p>
  </w:footnote>
  <w:footnote w:id="11">
    <w:p w:rsidR="00F71AC0" w:rsidRPr="006F10F3" w:rsidRDefault="00F71AC0" w:rsidP="00F71AC0">
      <w:pPr>
        <w:pStyle w:val="FootnoteText"/>
      </w:pPr>
      <w:r>
        <w:rPr>
          <w:szCs w:val="16"/>
          <w:vertAlign w:val="superscript"/>
          <w:lang w:val="en-IE"/>
        </w:rPr>
        <w:footnoteRef/>
      </w:r>
      <w:r w:rsidRPr="006F10F3">
        <w:t xml:space="preserve"> Douthwaite en Hoffecker (verwacht) en Nemes en Augustyn (2017).</w:t>
      </w:r>
    </w:p>
  </w:footnote>
  <w:footnote w:id="12">
    <w:p w:rsidR="00891EED" w:rsidRPr="006F10F3" w:rsidRDefault="00891EED" w:rsidP="00E05D08">
      <w:pPr>
        <w:pStyle w:val="FootnoteText"/>
      </w:pPr>
      <w:r>
        <w:rPr>
          <w:vertAlign w:val="superscript"/>
        </w:rPr>
        <w:footnoteRef/>
      </w:r>
      <w:r w:rsidRPr="006F10F3">
        <w:t xml:space="preserve"> ENPO (2013). Towards Successful Innovation Brokerage: Insights for the 2007-2013 Rural Development Programmes</w:t>
      </w:r>
    </w:p>
  </w:footnote>
  <w:footnote w:id="13">
    <w:p w:rsidR="00891EED" w:rsidRPr="00690E70" w:rsidRDefault="00891EED" w:rsidP="004508D0">
      <w:pPr>
        <w:pStyle w:val="FootnoteText"/>
        <w:rPr>
          <w:rStyle w:val="Hyperlink"/>
        </w:rPr>
      </w:pPr>
      <w:r>
        <w:rPr>
          <w:rStyle w:val="FootnoteReference"/>
        </w:rPr>
        <w:footnoteRef/>
      </w:r>
      <w:r w:rsidRPr="000D7890">
        <w:rPr>
          <w:lang w:val="en-US"/>
        </w:rPr>
        <w:t xml:space="preserve"> EIP AGRI (2016) Workshop on Cities and Food: Connecting Consumers and Producers. </w:t>
      </w:r>
      <w:r>
        <w:t xml:space="preserve">Beschikbaar op: </w:t>
      </w:r>
      <w:hyperlink r:id="rId6" w:history="1">
        <w:r>
          <w:rPr>
            <w:rStyle w:val="Hyperlink"/>
          </w:rPr>
          <w:t>https://ec.europa.eu/eip/agriculture/sites/agri-eip/files/eip-agri_factsheet_cities_and_food_en_web.pdf</w:t>
        </w:r>
      </w:hyperlink>
    </w:p>
  </w:footnote>
  <w:footnote w:id="14">
    <w:p w:rsidR="00891EED" w:rsidRPr="000D7890" w:rsidRDefault="00891EED" w:rsidP="00E05D08">
      <w:pPr>
        <w:pStyle w:val="FootnoteText"/>
        <w:rPr>
          <w:lang w:val="en-US"/>
        </w:rPr>
      </w:pPr>
      <w:r>
        <w:rPr>
          <w:rStyle w:val="FootnoteReference"/>
        </w:rPr>
        <w:footnoteRef/>
      </w:r>
      <w:r w:rsidRPr="006F10F3">
        <w:rPr>
          <w:lang w:val="en-GB"/>
        </w:rPr>
        <w:t xml:space="preserve"> Senge, P. M., &amp; Sterman, J. D. (1992). </w:t>
      </w:r>
      <w:r w:rsidRPr="000D7890">
        <w:rPr>
          <w:lang w:val="en-US"/>
        </w:rPr>
        <w:t>Systems thinking and organisational learning: Acting locally and thinking globally in the organisation of the future. European journal of operational research, 59(1), 137-150.</w:t>
      </w:r>
    </w:p>
  </w:footnote>
  <w:footnote w:id="15">
    <w:p w:rsidR="00891EED" w:rsidRPr="00554BBB" w:rsidRDefault="00891EED" w:rsidP="00E05D08">
      <w:pPr>
        <w:pStyle w:val="FootnoteText"/>
      </w:pPr>
      <w:r>
        <w:rPr>
          <w:rStyle w:val="FootnoteReference"/>
        </w:rPr>
        <w:footnoteRef/>
      </w:r>
      <w:r w:rsidRPr="000D7890">
        <w:rPr>
          <w:rFonts w:asciiTheme="minorHAnsi" w:hAnsiTheme="minorHAnsi"/>
          <w:color w:val="auto"/>
          <w:sz w:val="22"/>
          <w:szCs w:val="22"/>
          <w:lang w:val="en-US"/>
        </w:rPr>
        <w:t xml:space="preserve"> </w:t>
      </w:r>
      <w:r w:rsidRPr="000D7890">
        <w:rPr>
          <w:lang w:val="en-US"/>
        </w:rPr>
        <w:t xml:space="preserve">Pawson, R. (2013). </w:t>
      </w:r>
      <w:r w:rsidRPr="000D7890">
        <w:rPr>
          <w:i/>
          <w:iCs/>
          <w:lang w:val="en-US"/>
        </w:rPr>
        <w:t>The science of evaluation: A realist manifesto</w:t>
      </w:r>
      <w:r w:rsidRPr="000D7890">
        <w:rPr>
          <w:lang w:val="en-US"/>
        </w:rPr>
        <w:t xml:space="preserve">. </w:t>
      </w:r>
      <w:r>
        <w:t>Londen, VK: Sage Publications</w:t>
      </w:r>
    </w:p>
  </w:footnote>
  <w:footnote w:id="16">
    <w:p w:rsidR="00891EED" w:rsidRPr="00B13D00" w:rsidRDefault="00891EED" w:rsidP="00E05D08">
      <w:pPr>
        <w:pStyle w:val="FootnoteText"/>
      </w:pPr>
      <w:r>
        <w:rPr>
          <w:rStyle w:val="FootnoteReference"/>
        </w:rPr>
        <w:footnoteRef/>
      </w:r>
      <w:r>
        <w:t xml:space="preserve"> Horizon 2020 is het grootste onderzoeks- en innovatieprogra</w:t>
      </w:r>
      <w:bookmarkStart w:id="22" w:name="_GoBack"/>
      <w:bookmarkEnd w:id="22"/>
      <w:r>
        <w:t>mma van de EU. Het heeft als doel om onderzoek en innovatie in alle sectoren, met inbegrip van landbouw en bosbouw, te koppelen om te komen tot slimme, duurzame en inclusieve groei en banen. Veel ander EU-beleid dat gericht is op innovatie en ontwikkeling van vaardigheden kan eveneens bijdragen aan landbouwkundig onderzoek en innovatie (cohesiebeleid, COSME, ERASMUS, LIFE+).</w:t>
      </w:r>
    </w:p>
  </w:footnote>
  <w:footnote w:id="17">
    <w:p w:rsidR="00891EED" w:rsidRPr="00B13D00" w:rsidRDefault="00891EED" w:rsidP="00E05D08">
      <w:pPr>
        <w:pStyle w:val="FootnoteText"/>
      </w:pPr>
      <w:r>
        <w:rPr>
          <w:rStyle w:val="FootnoteReference"/>
          <w:rFonts w:cs="Helvetica"/>
          <w:szCs w:val="16"/>
        </w:rPr>
        <w:footnoteRef/>
      </w:r>
      <w:r>
        <w:t xml:space="preserve"> Het beoogt in te gaan op grote maatschappelijke uitdagingen zoals klimaatverandering en efficiënt gebruik van hulpbronnen en de verbindingen in de innovatieketen te versterken (</w:t>
      </w:r>
      <w:hyperlink r:id="rId7" w:history="1">
        <w:r>
          <w:rPr>
            <w:rStyle w:val="Hyperlink"/>
          </w:rPr>
          <w:t>http://ec.europa.eu/europe2020/europe-2020-in-a-nutshell/flagship-initiatives/index_en.htm</w:t>
        </w:r>
      </w:hyperlink>
      <w:r>
        <w:t xml:space="preserve">). </w:t>
      </w:r>
    </w:p>
  </w:footnote>
  <w:footnote w:id="18">
    <w:p w:rsidR="00891EED" w:rsidRPr="00275EE5" w:rsidRDefault="00891EED" w:rsidP="00E05D08">
      <w:pPr>
        <w:pStyle w:val="FootnoteText"/>
      </w:pPr>
      <w:r>
        <w:rPr>
          <w:rStyle w:val="FootnoteReference"/>
        </w:rPr>
        <w:footnoteRef/>
      </w:r>
      <w:r>
        <w:t xml:space="preserve"> </w:t>
      </w:r>
      <w:hyperlink r:id="rId8" w:history="1">
        <w:r>
          <w:rPr>
            <w:rStyle w:val="Hyperlink"/>
          </w:rPr>
          <w:t>http://ec.europa.eu/europe2020/europe-2020-in-a-nutshell/targets/index_en.htm</w:t>
        </w:r>
      </w:hyperlink>
      <w:r>
        <w:t xml:space="preserve"> </w:t>
      </w:r>
    </w:p>
  </w:footnote>
  <w:footnote w:id="19">
    <w:p w:rsidR="007428EA" w:rsidRPr="00171202" w:rsidRDefault="007428EA" w:rsidP="007428EA">
      <w:pPr>
        <w:pStyle w:val="FootnoteText"/>
      </w:pPr>
      <w:r>
        <w:rPr>
          <w:rStyle w:val="FootnoteReference"/>
        </w:rPr>
        <w:footnoteRef/>
      </w:r>
      <w:r>
        <w:t xml:space="preserve"> </w:t>
      </w:r>
      <w:r w:rsidR="009317D8" w:rsidRPr="009317D8">
        <w:t>Art. 5 van Verordening 1305/2013</w:t>
      </w:r>
    </w:p>
  </w:footnote>
  <w:footnote w:id="20">
    <w:p w:rsidR="007428EA" w:rsidRPr="007428EA" w:rsidRDefault="007428EA">
      <w:pPr>
        <w:pStyle w:val="FootnoteText"/>
        <w:rPr>
          <w:lang w:val="en-GB"/>
        </w:rPr>
      </w:pPr>
      <w:r>
        <w:rPr>
          <w:rStyle w:val="FootnoteReference"/>
        </w:rPr>
        <w:footnoteRef/>
      </w:r>
      <w:r>
        <w:t xml:space="preserve"> </w:t>
      </w:r>
      <w:r w:rsidR="009317D8">
        <w:t>Art. 8, lid 1, onder c), v), van Verordening 1305/2013</w:t>
      </w:r>
    </w:p>
  </w:footnote>
  <w:footnote w:id="21">
    <w:p w:rsidR="00891EED" w:rsidRPr="00171202" w:rsidRDefault="00891EED" w:rsidP="00E05D08">
      <w:pPr>
        <w:pStyle w:val="FootnoteText"/>
      </w:pPr>
      <w:r>
        <w:rPr>
          <w:rStyle w:val="FootnoteReference"/>
          <w:i/>
        </w:rPr>
        <w:footnoteRef/>
      </w:r>
      <w:r>
        <w:t xml:space="preserve"> </w:t>
      </w:r>
      <w:r>
        <w:t>Art. 8, lid 1, onder b), van Verordening 1305/2013</w:t>
      </w:r>
    </w:p>
  </w:footnote>
  <w:footnote w:id="22">
    <w:p w:rsidR="00891EED" w:rsidRPr="000D7890" w:rsidRDefault="00891EED" w:rsidP="00E05D08">
      <w:pPr>
        <w:pStyle w:val="FootnoteText"/>
        <w:rPr>
          <w:lang w:val="en-US"/>
        </w:rPr>
      </w:pPr>
      <w:r>
        <w:rPr>
          <w:rStyle w:val="FootnoteReference"/>
          <w:i/>
        </w:rPr>
        <w:footnoteRef/>
      </w:r>
      <w:r w:rsidRPr="000D7890">
        <w:rPr>
          <w:lang w:val="en-US"/>
        </w:rPr>
        <w:t xml:space="preserve"> Art. 5 van Verordening 1305/2013</w:t>
      </w:r>
    </w:p>
  </w:footnote>
  <w:footnote w:id="23">
    <w:p w:rsidR="00891EED" w:rsidRPr="000D7890" w:rsidRDefault="00891EED" w:rsidP="00D461AB">
      <w:pPr>
        <w:pStyle w:val="FootnoteText"/>
        <w:rPr>
          <w:lang w:val="en-US"/>
        </w:rPr>
      </w:pPr>
      <w:r>
        <w:rPr>
          <w:rStyle w:val="FootnoteReference"/>
        </w:rPr>
        <w:footnoteRef/>
      </w:r>
      <w:r w:rsidRPr="000D7890">
        <w:rPr>
          <w:lang w:val="en-US"/>
        </w:rPr>
        <w:t xml:space="preserve"> Guidelines on programming for innovation and the implementation of the EIP for agricultural productivity and sustainability, paragraaf 8.2 bladzijde 13</w:t>
      </w:r>
    </w:p>
  </w:footnote>
  <w:footnote w:id="24">
    <w:p w:rsidR="00891EED" w:rsidRPr="000D7890" w:rsidRDefault="00891EED" w:rsidP="00E05D08">
      <w:pPr>
        <w:pStyle w:val="FootnoteText"/>
        <w:rPr>
          <w:lang w:val="en-US"/>
        </w:rPr>
      </w:pPr>
      <w:r>
        <w:rPr>
          <w:rStyle w:val="FootnoteReference"/>
        </w:rPr>
        <w:footnoteRef/>
      </w:r>
      <w:r w:rsidRPr="000D7890">
        <w:rPr>
          <w:lang w:val="en-US"/>
        </w:rPr>
        <w:t xml:space="preserve"> Verordening (EU) nr. 1303/2013, bijlage 1, deel 5 van Verordening (EU) nr. 808/2014, en Guidelines on programming for innovation and the implementation of the EIP for agricultural productivity and sustainability (2014, blz. 10)</w:t>
      </w:r>
    </w:p>
  </w:footnote>
  <w:footnote w:id="25">
    <w:p w:rsidR="00891EED" w:rsidRPr="006F10F3" w:rsidRDefault="00891EED" w:rsidP="00E05D08">
      <w:pPr>
        <w:pStyle w:val="FootnoteText"/>
        <w:rPr>
          <w:lang w:val="en-US"/>
        </w:rPr>
      </w:pPr>
      <w:r>
        <w:rPr>
          <w:rStyle w:val="FootnoteReference"/>
        </w:rPr>
        <w:footnoteRef/>
      </w:r>
      <w:r w:rsidRPr="006F10F3">
        <w:rPr>
          <w:lang w:val="en-US"/>
        </w:rPr>
        <w:t xml:space="preserve"> Art. 27 van Verordening (EU) nr. 1303/2013 en bijlage 1, deel 5 van Verordening (EU) nr. 808/2014.</w:t>
      </w:r>
    </w:p>
  </w:footnote>
  <w:footnote w:id="26">
    <w:p w:rsidR="00891EED" w:rsidRPr="006F10F3" w:rsidRDefault="00891EED" w:rsidP="00E05D08">
      <w:pPr>
        <w:pStyle w:val="FootnoteText"/>
        <w:rPr>
          <w:lang w:val="en-US"/>
        </w:rPr>
      </w:pPr>
      <w:r>
        <w:rPr>
          <w:rStyle w:val="FootnoteReference"/>
        </w:rPr>
        <w:footnoteRef/>
      </w:r>
      <w:r w:rsidRPr="006F10F3">
        <w:rPr>
          <w:lang w:val="en-US"/>
        </w:rPr>
        <w:t xml:space="preserve"> Art. 32-34 van Verordening (EU) nr. 1303/2013 en bijlage 1, deel 5 van Verordening (EU) nr. 808/2014.</w:t>
      </w:r>
    </w:p>
  </w:footnote>
  <w:footnote w:id="27">
    <w:p w:rsidR="00891EED" w:rsidRPr="006F10F3" w:rsidRDefault="00891EED" w:rsidP="00E05D08">
      <w:pPr>
        <w:pStyle w:val="FootnoteText"/>
        <w:rPr>
          <w:lang w:val="en-US"/>
        </w:rPr>
      </w:pPr>
      <w:r>
        <w:rPr>
          <w:rStyle w:val="FootnoteReference"/>
        </w:rPr>
        <w:footnoteRef/>
      </w:r>
      <w:r w:rsidRPr="006F10F3">
        <w:rPr>
          <w:lang w:val="en-US"/>
        </w:rPr>
        <w:t xml:space="preserve"> Artikel 53 van Verordening (EU) nr. 1305/2013</w:t>
      </w:r>
    </w:p>
  </w:footnote>
  <w:footnote w:id="28">
    <w:p w:rsidR="00891EED" w:rsidRPr="006F10F3" w:rsidRDefault="00891EED" w:rsidP="00E05D08">
      <w:pPr>
        <w:pStyle w:val="FootnoteText"/>
        <w:rPr>
          <w:lang w:val="en-US"/>
        </w:rPr>
      </w:pPr>
      <w:r>
        <w:rPr>
          <w:rStyle w:val="FootnoteReference"/>
        </w:rPr>
        <w:footnoteRef/>
      </w:r>
      <w:r w:rsidRPr="006F10F3">
        <w:rPr>
          <w:lang w:val="en-US"/>
        </w:rPr>
        <w:t xml:space="preserve"> Art. 54, onder d), van Verordening (EU) nr. 1305/2013</w:t>
      </w:r>
    </w:p>
  </w:footnote>
  <w:footnote w:id="29">
    <w:p w:rsidR="00891EED" w:rsidRPr="000D7890" w:rsidRDefault="00891EED" w:rsidP="00E05D08">
      <w:pPr>
        <w:pStyle w:val="FootnoteText"/>
        <w:rPr>
          <w:lang w:val="en-US"/>
        </w:rPr>
      </w:pPr>
      <w:r>
        <w:rPr>
          <w:rStyle w:val="FootnoteReference"/>
        </w:rPr>
        <w:footnoteRef/>
      </w:r>
      <w:r w:rsidRPr="000D7890">
        <w:rPr>
          <w:lang w:val="en-US"/>
        </w:rPr>
        <w:t xml:space="preserve"> Guidelines on programming for innovation and the implementation of the EIP for agricultural productivity and sustainability (2014, blz. 13)</w:t>
      </w:r>
    </w:p>
  </w:footnote>
  <w:footnote w:id="30">
    <w:p w:rsidR="00891EED" w:rsidRPr="00171202" w:rsidRDefault="00891EED" w:rsidP="00E05D08">
      <w:pPr>
        <w:pStyle w:val="FootnoteText"/>
      </w:pPr>
      <w:r>
        <w:rPr>
          <w:rStyle w:val="FootnoteReference"/>
        </w:rPr>
        <w:footnoteRef/>
      </w:r>
      <w:r>
        <w:t xml:space="preserve"> Art. 54, lid 3, onder b), iv), van Verordening (EU) nr. 1305/2013</w:t>
      </w:r>
    </w:p>
  </w:footnote>
  <w:footnote w:id="31">
    <w:p w:rsidR="00891EED" w:rsidRPr="00171202" w:rsidRDefault="00891EED" w:rsidP="00E05D08">
      <w:pPr>
        <w:pStyle w:val="FootnoteText"/>
      </w:pPr>
      <w:r>
        <w:rPr>
          <w:rStyle w:val="FootnoteReference"/>
        </w:rPr>
        <w:footnoteRef/>
      </w:r>
      <w:r>
        <w:t xml:space="preserve"> Bijlage I, deel 1, punt 9.3, onder a), van Verordening (EU) nr. 808/2014</w:t>
      </w:r>
    </w:p>
  </w:footnote>
  <w:footnote w:id="32">
    <w:p w:rsidR="00891EED" w:rsidRPr="00171202" w:rsidRDefault="00891EED" w:rsidP="00E05D08">
      <w:pPr>
        <w:pStyle w:val="FootnoteText"/>
      </w:pPr>
      <w:r>
        <w:rPr>
          <w:rStyle w:val="FootnoteReference"/>
        </w:rPr>
        <w:footnoteRef/>
      </w:r>
      <w:r>
        <w:t xml:space="preserve"> Bijlage VII, punt 2, van Verordening (EU) nr. 808/2014</w:t>
      </w:r>
    </w:p>
  </w:footnote>
  <w:footnote w:id="33">
    <w:p w:rsidR="00891EED" w:rsidRPr="005F1B3E" w:rsidRDefault="00891EED" w:rsidP="00E05D08">
      <w:pPr>
        <w:pStyle w:val="FootnoteText"/>
      </w:pPr>
      <w:r>
        <w:rPr>
          <w:rStyle w:val="FootnoteReference"/>
        </w:rPr>
        <w:footnoteRef/>
      </w:r>
      <w:r>
        <w:t xml:space="preserve"> Bijlage IV bij Verordening (EU) nr. 808/2014</w:t>
      </w:r>
    </w:p>
  </w:footnote>
  <w:footnote w:id="34">
    <w:p w:rsidR="00891EED" w:rsidRPr="00E14E11" w:rsidRDefault="00891EED" w:rsidP="00E05D08">
      <w:pPr>
        <w:pStyle w:val="FootnoteText"/>
      </w:pPr>
      <w:r>
        <w:rPr>
          <w:rStyle w:val="FootnoteReference"/>
        </w:rPr>
        <w:footnoteRef/>
      </w:r>
      <w:r>
        <w:t>Zie EIP-seminar over kennissystemen en interactieve innovatie:</w:t>
      </w:r>
      <w:r>
        <w:rPr>
          <w:rStyle w:val="Hyperlink"/>
        </w:rPr>
        <w:t xml:space="preserve"> </w:t>
      </w:r>
      <w:hyperlink r:id="rId9" w:history="1">
        <w:r>
          <w:rPr>
            <w:rStyle w:val="Hyperlink"/>
          </w:rPr>
          <w:t>https://ec.europa.eu/eip/agriculture/sites/agri-eip/files/field_event_attachments/sem-knowledge-20151203-pres02-inge_van_oost.pdf</w:t>
        </w:r>
      </w:hyperlink>
    </w:p>
  </w:footnote>
  <w:footnote w:id="35">
    <w:p w:rsidR="00891EED" w:rsidRPr="006F10F3" w:rsidRDefault="00891EED" w:rsidP="00E05D08">
      <w:pPr>
        <w:pStyle w:val="FootnoteText"/>
      </w:pPr>
      <w:r>
        <w:rPr>
          <w:rStyle w:val="FootnoteReference"/>
        </w:rPr>
        <w:footnoteRef/>
      </w:r>
      <w:r w:rsidRPr="006F10F3">
        <w:t xml:space="preserve"> Meer informatie wordt gegeven in richtsnoeren: Assessment of RDP results: how to prepare for reporting on evaluation findings in 2017, </w:t>
      </w:r>
      <w:hyperlink r:id="rId10" w:history="1">
        <w:r w:rsidRPr="006F10F3">
          <w:rPr>
            <w:rStyle w:val="Hyperlink"/>
          </w:rPr>
          <w:t>https://enrd.ec.europa.eu/evaluation/publications/guidelines-assessment-rdp-results-how-prepare-reporting-evaluation-2017_en</w:t>
        </w:r>
      </w:hyperlink>
    </w:p>
  </w:footnote>
  <w:footnote w:id="36">
    <w:p w:rsidR="00891EED" w:rsidRPr="006F10F3" w:rsidRDefault="00891EED" w:rsidP="00E05D08">
      <w:pPr>
        <w:pStyle w:val="FootnoteText"/>
        <w:rPr>
          <w:lang w:val="da-DK"/>
        </w:rPr>
      </w:pPr>
      <w:r>
        <w:rPr>
          <w:rStyle w:val="FootnoteReference"/>
        </w:rPr>
        <w:footnoteRef/>
      </w:r>
      <w:r w:rsidRPr="006F10F3">
        <w:rPr>
          <w:lang w:val="da-DK"/>
        </w:rPr>
        <w:t xml:space="preserve"> Art. 66 van Verordening (EU) nr. 1305/2013 en art. 15 en bijlage VII van Verordening (EU) nr. 808/2014</w:t>
      </w:r>
    </w:p>
  </w:footnote>
  <w:footnote w:id="37">
    <w:p w:rsidR="00891EED" w:rsidRPr="000D7890" w:rsidRDefault="00891EED" w:rsidP="00804433">
      <w:pPr>
        <w:pStyle w:val="FootnoteText"/>
        <w:rPr>
          <w:lang w:val="en-US"/>
        </w:rPr>
      </w:pPr>
      <w:r>
        <w:rPr>
          <w:rStyle w:val="FootnoteReference"/>
        </w:rPr>
        <w:footnoteRef/>
      </w:r>
      <w:r w:rsidRPr="000D7890">
        <w:rPr>
          <w:lang w:val="en-US"/>
        </w:rPr>
        <w:t xml:space="preserve"> Zie de richtsnoeren "Assessment of RDP results: How to prepare for reporting on evaluation in 2017", Evaluatiehelpdesk, september 2016, </w:t>
      </w:r>
      <w:hyperlink r:id="rId11" w:history="1">
        <w:r w:rsidRPr="000D7890">
          <w:rPr>
            <w:rStyle w:val="Hyperlink"/>
            <w:lang w:val="en-US"/>
          </w:rPr>
          <w:t>https://enrd.ec.europa.eu/evaluation/publications/guidelines-assessment-rdp-results-how-prepare-reporting-evaluation-2017_en</w:t>
        </w:r>
      </w:hyperlink>
    </w:p>
  </w:footnote>
  <w:footnote w:id="38">
    <w:p w:rsidR="00891EED" w:rsidRPr="00626C0C" w:rsidRDefault="00891EED" w:rsidP="00583AC8">
      <w:pPr>
        <w:pStyle w:val="FootnoteText"/>
      </w:pPr>
      <w:r>
        <w:rPr>
          <w:rStyle w:val="FootnoteReference"/>
        </w:rPr>
        <w:footnoteRef/>
      </w:r>
      <w:r>
        <w:t xml:space="preserve"> Link naar Zweedse evaluatiesecretariaat: </w:t>
      </w:r>
      <w:hyperlink r:id="rId12" w:history="1">
        <w:r>
          <w:rPr>
            <w:rStyle w:val="Hyperlink"/>
          </w:rPr>
          <w:t>https://www.jordbruksverket.se/utvardering</w:t>
        </w:r>
      </w:hyperlink>
    </w:p>
  </w:footnote>
  <w:footnote w:id="39">
    <w:p w:rsidR="00891EED" w:rsidRPr="00171202" w:rsidRDefault="00891EED" w:rsidP="00804433">
      <w:pPr>
        <w:pStyle w:val="FootnoteText"/>
      </w:pPr>
      <w:r>
        <w:rPr>
          <w:rStyle w:val="FootnoteReference"/>
        </w:rPr>
        <w:footnoteRef/>
      </w:r>
      <w:r>
        <w:t xml:space="preserve"> Bijlage VII, punt 7, van Verordening (EU) nr. 808/2014</w:t>
      </w:r>
    </w:p>
  </w:footnote>
  <w:footnote w:id="40">
    <w:p w:rsidR="00891EED" w:rsidRPr="00171202" w:rsidRDefault="00891EED" w:rsidP="00804433">
      <w:pPr>
        <w:pStyle w:val="FootnoteText"/>
      </w:pPr>
      <w:r>
        <w:rPr>
          <w:rStyle w:val="FootnoteReference"/>
        </w:rPr>
        <w:footnoteRef/>
      </w:r>
      <w:r>
        <w:t xml:space="preserve"> Bijlage IV, punt 2.3 en 4, van Verordening (EU) nr. 808/2014</w:t>
      </w:r>
    </w:p>
  </w:footnote>
  <w:footnote w:id="41">
    <w:p w:rsidR="00891EED" w:rsidRPr="006F10F3" w:rsidRDefault="00891EED" w:rsidP="00E05D08">
      <w:pPr>
        <w:pStyle w:val="FootnoteText"/>
      </w:pPr>
      <w:r>
        <w:rPr>
          <w:rStyle w:val="FootnoteReference"/>
        </w:rPr>
        <w:footnoteRef/>
      </w:r>
      <w:r w:rsidRPr="006F10F3">
        <w:t xml:space="preserve"> Beoordelingscriteria uit het werkdocument: Common evaluation questions for Rural Development Programmes 2014-2020,</w:t>
      </w:r>
      <w:r w:rsidRPr="006F10F3">
        <w:rPr>
          <w:rStyle w:val="Hyperlink"/>
        </w:rPr>
        <w:t xml:space="preserve"> </w:t>
      </w:r>
      <w:hyperlink r:id="rId13" w:history="1">
        <w:r w:rsidRPr="006F10F3">
          <w:rPr>
            <w:rStyle w:val="Hyperlink"/>
          </w:rPr>
          <w:t>https://enrd.ec.europa.eu/evaluation/publications/working-document-common-evaluation-questions-rural-development-programmes_en</w:t>
        </w:r>
      </w:hyperlink>
    </w:p>
  </w:footnote>
  <w:footnote w:id="42">
    <w:p w:rsidR="00891EED" w:rsidRPr="00171202" w:rsidRDefault="00891EED" w:rsidP="00E05D08">
      <w:pPr>
        <w:pStyle w:val="FootnoteText"/>
      </w:pPr>
      <w:r>
        <w:rPr>
          <w:rStyle w:val="FootnoteReference"/>
        </w:rPr>
        <w:footnoteRef/>
      </w:r>
      <w:r>
        <w:t xml:space="preserve"> Bijlage IV van Verordening (EU) nr. 808/2014</w:t>
      </w:r>
    </w:p>
  </w:footnote>
  <w:footnote w:id="43">
    <w:p w:rsidR="00891EED" w:rsidRPr="00091F73" w:rsidRDefault="00891EED" w:rsidP="00E05D08">
      <w:pPr>
        <w:pStyle w:val="FootnoteText"/>
      </w:pPr>
      <w:r>
        <w:rPr>
          <w:rStyle w:val="FootnoteReference"/>
        </w:rPr>
        <w:footnoteRef/>
      </w:r>
      <w:r>
        <w:t xml:space="preserve"> Aanvullende beoordelingscriteria worden in de lidstaten ontwikkeld, naast de beoordelingscriteria die zijn aangegeven in het werkdocument: Common evaluation questions for Rural Development Programmes 2014-2020 </w:t>
      </w:r>
    </w:p>
  </w:footnote>
  <w:footnote w:id="44">
    <w:p w:rsidR="00891EED" w:rsidRPr="00091F73" w:rsidRDefault="00891EED" w:rsidP="00E05D08">
      <w:pPr>
        <w:pStyle w:val="FootnoteText"/>
      </w:pPr>
      <w:r>
        <w:rPr>
          <w:rStyle w:val="FootnoteReference"/>
        </w:rPr>
        <w:footnoteRef/>
      </w:r>
      <w:r>
        <w:t xml:space="preserve"> Aanvullende indicatoren zijn die welke in de lidstaten in aanvulling op gemeenschappelijke indicatoren zijn uitgewerkt als de gemeenschappelijke indicatoren niet volstaan om evaluatievragen volgens de beoordelingscriteria te beantwoorden. Meer informatie wordt gegeven in de richtsnoeren: Assessment of RDP results: how to prepare for reporting on evaluation findings in 2017, </w:t>
      </w:r>
      <w:hyperlink r:id="rId14" w:history="1">
        <w:r>
          <w:rPr>
            <w:rStyle w:val="Hyperlink"/>
          </w:rPr>
          <w:t>https://enrd.ec.europa.eu/evaluation/publications/guidelines-assessment-rdp-results-how-prepare-reporting-evaluation-2017_en</w:t>
        </w:r>
      </w:hyperlink>
    </w:p>
    <w:p w:rsidR="00891EED" w:rsidRPr="00091F73" w:rsidRDefault="00891EED" w:rsidP="00F74459">
      <w:pPr>
        <w:pStyle w:val="FootnoteText"/>
        <w:rPr>
          <w:lang w:val="sk-SK"/>
        </w:rPr>
      </w:pPr>
    </w:p>
  </w:footnote>
  <w:footnote w:id="45">
    <w:p w:rsidR="00891EED" w:rsidRPr="00576A73" w:rsidRDefault="00891EED">
      <w:pPr>
        <w:pStyle w:val="FootnoteText"/>
        <w:rPr>
          <w:sz w:val="12"/>
          <w:szCs w:val="12"/>
        </w:rPr>
      </w:pPr>
      <w:r>
        <w:rPr>
          <w:rStyle w:val="FootnoteReference"/>
          <w:szCs w:val="16"/>
        </w:rPr>
        <w:footnoteRef/>
      </w:r>
      <w:r>
        <w:rPr>
          <w:sz w:val="12"/>
          <w:szCs w:val="12"/>
        </w:rPr>
        <w:t xml:space="preserve"> </w:t>
      </w:r>
      <w:r>
        <w:t>Art. 15, lid 4, onder a) tot en met g)</w:t>
      </w:r>
    </w:p>
  </w:footnote>
  <w:footnote w:id="46">
    <w:p w:rsidR="00891EED" w:rsidRPr="00401F29" w:rsidRDefault="00891EED" w:rsidP="00E05D08">
      <w:pPr>
        <w:pStyle w:val="FootnoteText"/>
        <w:rPr>
          <w:rStyle w:val="Hyperlink"/>
        </w:rPr>
      </w:pPr>
      <w:r>
        <w:rPr>
          <w:rStyle w:val="FootnoteReference"/>
        </w:rPr>
        <w:footnoteRef/>
      </w:r>
      <w:r>
        <w:t xml:space="preserve"> Zie:</w:t>
      </w:r>
      <w:r>
        <w:rPr>
          <w:rStyle w:val="Hyperlink"/>
        </w:rPr>
        <w:t xml:space="preserve"> </w:t>
      </w:r>
      <w:hyperlink r:id="rId15" w:history="1">
        <w:r>
          <w:rPr>
            <w:rStyle w:val="Hyperlink"/>
          </w:rPr>
          <w:t>http://ec.europa.eu/europe2020/targets/eu-targets/index_en.htm</w:t>
        </w:r>
      </w:hyperlink>
    </w:p>
  </w:footnote>
  <w:footnote w:id="47">
    <w:p w:rsidR="00891EED" w:rsidRPr="00401F29" w:rsidRDefault="00891EED" w:rsidP="00C3092C">
      <w:pPr>
        <w:pStyle w:val="FootnoteText"/>
      </w:pPr>
      <w:r>
        <w:rPr>
          <w:vertAlign w:val="superscript"/>
        </w:rPr>
        <w:footnoteRef/>
      </w:r>
      <w:r>
        <w:t xml:space="preserve"> Werkdocument: Common evaluation questions for RDPs 2014-2020, </w:t>
      </w:r>
      <w:hyperlink r:id="rId16" w:history="1">
        <w:r>
          <w:rPr>
            <w:rStyle w:val="Hyperlink"/>
          </w:rPr>
          <w:t>http://enrd.ec.europa.eu/evaluation/publications/working-document-common-evaluation-questions-rural-development-programmes_en</w:t>
        </w:r>
      </w:hyperlink>
    </w:p>
  </w:footnote>
  <w:footnote w:id="48">
    <w:p w:rsidR="00891EED" w:rsidRPr="00401F29" w:rsidRDefault="00891EED" w:rsidP="00E05D08">
      <w:pPr>
        <w:pStyle w:val="FootnoteText"/>
      </w:pPr>
      <w:r>
        <w:rPr>
          <w:rStyle w:val="FootnoteReference"/>
        </w:rPr>
        <w:footnoteRef/>
      </w:r>
      <w:r>
        <w:t xml:space="preserve"> Deze artikelen maken deel uit van Verordening (EU) 1305/2013</w:t>
      </w:r>
    </w:p>
  </w:footnote>
  <w:footnote w:id="49">
    <w:p w:rsidR="00891EED" w:rsidRPr="00401F29" w:rsidRDefault="00891EED" w:rsidP="00E05D08">
      <w:pPr>
        <w:pStyle w:val="FootnoteText"/>
      </w:pPr>
      <w:r>
        <w:rPr>
          <w:rStyle w:val="FootnoteReference"/>
        </w:rPr>
        <w:footnoteRef/>
      </w:r>
      <w:r>
        <w:t xml:space="preserve"> Art.  15, lid 4, onder c), van Verordening (EU) nr. 1305/2013</w:t>
      </w:r>
    </w:p>
  </w:footnote>
  <w:footnote w:id="50">
    <w:p w:rsidR="00891EED" w:rsidRPr="00401F29" w:rsidRDefault="00891EED" w:rsidP="00E05D08">
      <w:pPr>
        <w:pStyle w:val="FootnoteText"/>
      </w:pPr>
      <w:r>
        <w:rPr>
          <w:rStyle w:val="FootnoteReference"/>
        </w:rPr>
        <w:footnoteRef/>
      </w:r>
      <w:r>
        <w:t xml:space="preserve"> Artikel 32 van Verordening (EU) nr. 1303/2013</w:t>
      </w:r>
    </w:p>
  </w:footnote>
  <w:footnote w:id="51">
    <w:p w:rsidR="00891EED" w:rsidRPr="00C3092C" w:rsidRDefault="00891EED" w:rsidP="00C3092C">
      <w:pPr>
        <w:pStyle w:val="FootnoteText"/>
      </w:pPr>
      <w:r>
        <w:rPr>
          <w:rStyle w:val="FootnoteReference"/>
        </w:rPr>
        <w:footnoteRef/>
      </w:r>
      <w:r>
        <w:t xml:space="preserve"> Art.  35, lid 2, onder b), van Verordening (EU) nr. 1305/2013</w:t>
      </w:r>
    </w:p>
  </w:footnote>
  <w:footnote w:id="52">
    <w:p w:rsidR="00891EED" w:rsidRPr="0026694F" w:rsidRDefault="00891EED" w:rsidP="00E05D08">
      <w:pPr>
        <w:pStyle w:val="FootnoteText"/>
        <w:rPr>
          <w:color w:val="373737"/>
        </w:rPr>
      </w:pPr>
      <w:r>
        <w:rPr>
          <w:rStyle w:val="FootnoteReference"/>
        </w:rPr>
        <w:footnoteRef/>
      </w:r>
      <w:r>
        <w:t xml:space="preserve"> Artikel 35 van Verordening (EU) nr. 1305/2013. Bijlage I van richtsnoer "Co-operation measure" (versie van november 2014) bevat een lijst met alle submaatregelen van de samenwerkingsmaatregel. </w:t>
      </w:r>
      <w:hyperlink r:id="rId17" w:history="1">
        <w:r>
          <w:rPr>
            <w:rStyle w:val="Hyperlink"/>
          </w:rPr>
          <w:t>https://ec.europa.eu/eip/agriculture/sites/agri-eip/files/16_measure_fiche_art_35_co-operation.pdf</w:t>
        </w:r>
      </w:hyperlink>
    </w:p>
  </w:footnote>
  <w:footnote w:id="53">
    <w:p w:rsidR="00891EED" w:rsidRPr="00401F29" w:rsidRDefault="00891EED" w:rsidP="00E05D08">
      <w:pPr>
        <w:pStyle w:val="FootnoteText"/>
      </w:pPr>
      <w:r>
        <w:rPr>
          <w:rStyle w:val="FootnoteReference"/>
        </w:rPr>
        <w:footnoteRef/>
      </w:r>
      <w:r>
        <w:t xml:space="preserve"> Artikel 35, lid 1, van Verordening (EU) nr. 1305/2013</w:t>
      </w:r>
    </w:p>
  </w:footnote>
  <w:footnote w:id="54">
    <w:p w:rsidR="00FA5493" w:rsidRPr="00AB16BB" w:rsidRDefault="00FA5493" w:rsidP="00FA5493">
      <w:pPr>
        <w:pStyle w:val="FootnoteText"/>
        <w:rPr>
          <w:sz w:val="12"/>
          <w:szCs w:val="12"/>
        </w:rPr>
      </w:pPr>
      <w:r>
        <w:rPr>
          <w:rStyle w:val="FootnoteReference"/>
          <w:szCs w:val="16"/>
        </w:rPr>
        <w:footnoteRef/>
      </w:r>
      <w:r>
        <w:t xml:space="preserve">Presentatie van programmeervoorbeelden in verband met prioriteiten P4 en P5 van het Elfpo. Beschikbaar op: </w:t>
      </w:r>
      <w:hyperlink r:id="rId18" w:history="1">
        <w:r>
          <w:rPr>
            <w:rStyle w:val="Hyperlink"/>
          </w:rPr>
          <w:t>http://enrd.ec.europa.eu/sites/enrd/files/w10_m16_finland_karlsson.pdf</w:t>
        </w:r>
      </w:hyperlink>
      <w:r>
        <w:rPr>
          <w:sz w:val="12"/>
          <w:szCs w:val="12"/>
        </w:rPr>
        <w:t xml:space="preserve"> </w:t>
      </w:r>
    </w:p>
  </w:footnote>
  <w:footnote w:id="55">
    <w:p w:rsidR="00FA5493" w:rsidRPr="00A45935" w:rsidRDefault="00FA5493" w:rsidP="00FA5493">
      <w:pPr>
        <w:pStyle w:val="FootnoteText"/>
        <w:rPr>
          <w:szCs w:val="16"/>
        </w:rPr>
      </w:pPr>
      <w:r>
        <w:rPr>
          <w:rStyle w:val="FootnoteReference"/>
          <w:szCs w:val="16"/>
        </w:rPr>
        <w:footnoteRef/>
      </w:r>
      <w:r>
        <w:rPr>
          <w:rStyle w:val="Hyperlink"/>
        </w:rPr>
        <w:t xml:space="preserve"> </w:t>
      </w:r>
      <w:hyperlink r:id="rId19" w:history="1">
        <w:r>
          <w:rPr>
            <w:rStyle w:val="Hyperlink"/>
          </w:rPr>
          <w:t>https://ec.europa.eu/eip/agriculture/en/content/innovative-stable-reducing-ammonia-emissions</w:t>
        </w:r>
      </w:hyperlink>
    </w:p>
  </w:footnote>
  <w:footnote w:id="56">
    <w:p w:rsidR="00FA5493" w:rsidRDefault="00FA5493" w:rsidP="00FA5493">
      <w:pPr>
        <w:pStyle w:val="FootnoteText"/>
      </w:pPr>
      <w:r>
        <w:rPr>
          <w:rStyle w:val="FootnoteReference"/>
          <w:szCs w:val="16"/>
        </w:rPr>
        <w:footnoteRef/>
      </w:r>
      <w:r>
        <w:t xml:space="preserve"> Presentatie van programmeervoorbeelden in verband met prioriteiten P4 en P5 van het Elfpo. Beschikbaar op: </w:t>
      </w:r>
      <w:hyperlink r:id="rId20" w:history="1">
        <w:r>
          <w:rPr>
            <w:rStyle w:val="Hyperlink"/>
          </w:rPr>
          <w:t>http://enrd.ec.europa.eu/sites/enrd/files/w10_m16.5_hesse_de_vonkutzleben.pdf</w:t>
        </w:r>
      </w:hyperlink>
    </w:p>
  </w:footnote>
  <w:footnote w:id="57">
    <w:p w:rsidR="00891EED" w:rsidRPr="00401F29" w:rsidRDefault="00891EED" w:rsidP="00E05D08">
      <w:pPr>
        <w:pStyle w:val="FootnoteText"/>
      </w:pPr>
      <w:r>
        <w:rPr>
          <w:rStyle w:val="FootnoteReference"/>
        </w:rPr>
        <w:footnoteRef/>
      </w:r>
      <w:r>
        <w:t xml:space="preserve"> Artikel 54, lid 2, van Verordening (EU) nr. 1305/2013.</w:t>
      </w:r>
    </w:p>
  </w:footnote>
  <w:footnote w:id="58">
    <w:p w:rsidR="00891EED" w:rsidRPr="002D11C3" w:rsidRDefault="00891EED" w:rsidP="00E05D08">
      <w:pPr>
        <w:pStyle w:val="FootnoteText"/>
      </w:pPr>
      <w:r>
        <w:rPr>
          <w:rStyle w:val="FootnoteReference"/>
        </w:rPr>
        <w:footnoteRef/>
      </w:r>
      <w:r>
        <w:t xml:space="preserve"> De leidraad ter beantwoording van CEQ nr. 21 is ook opgenomen in bijlage 11 van de richtsnoeren "Assessment of RDP results: how to prepare for reporting on evaluation in 2017", waarin alle doelstellingen die verband houden met het NPN in aanmerking zijn genomen ter beantwoording van de CEQ, </w:t>
      </w:r>
      <w:hyperlink r:id="rId21" w:history="1">
        <w:r>
          <w:rPr>
            <w:rStyle w:val="Hyperlink"/>
          </w:rPr>
          <w:t>https://enrd.ec.europa.eu/evaluation/publications/guidelines-assessment-rdp-results-how-prepare-reporting-evaluation-2017_en</w:t>
        </w:r>
      </w:hyperlink>
    </w:p>
  </w:footnote>
  <w:footnote w:id="59">
    <w:p w:rsidR="00891EED" w:rsidRPr="006F10F3" w:rsidRDefault="00891EED" w:rsidP="00E05D08">
      <w:pPr>
        <w:pStyle w:val="FootnoteText"/>
        <w:rPr>
          <w:lang w:val="nn-NO"/>
        </w:rPr>
      </w:pPr>
      <w:r>
        <w:rPr>
          <w:rStyle w:val="FootnoteReference"/>
        </w:rPr>
        <w:footnoteRef/>
      </w:r>
      <w:r w:rsidRPr="006F10F3">
        <w:rPr>
          <w:lang w:val="nn-NO"/>
        </w:rPr>
        <w:t xml:space="preserve"> Artikel 54 van Verordening (EG) nr. 1305/2013</w:t>
      </w:r>
    </w:p>
  </w:footnote>
  <w:footnote w:id="60">
    <w:p w:rsidR="00891EED" w:rsidRPr="00401F29" w:rsidRDefault="00891EED" w:rsidP="00E05D08">
      <w:pPr>
        <w:pStyle w:val="FootnoteText"/>
      </w:pPr>
      <w:r>
        <w:rPr>
          <w:rStyle w:val="FootnoteReference"/>
        </w:rPr>
        <w:footnoteRef/>
      </w:r>
      <w:r>
        <w:t xml:space="preserve"> Artikel 54, lid 3, onder b), van Verordening (EU) nr. 1305/2013</w:t>
      </w:r>
    </w:p>
  </w:footnote>
  <w:footnote w:id="61">
    <w:p w:rsidR="00891EED" w:rsidRPr="00401F29" w:rsidRDefault="00891EED" w:rsidP="00E05D08">
      <w:pPr>
        <w:pStyle w:val="FootnoteText"/>
      </w:pPr>
      <w:r>
        <w:rPr>
          <w:rStyle w:val="FootnoteReference"/>
        </w:rPr>
        <w:footnoteRef/>
      </w:r>
      <w:r>
        <w:t xml:space="preserve"> Artikel 8, lid 1, onder c), v), van Verordening (EU) nr. 1305/2013 en bijlage I, deel I, punt 5, onder c) en e), van Verordening (EU) nr. 808/2014</w:t>
      </w:r>
    </w:p>
  </w:footnote>
  <w:footnote w:id="62">
    <w:p w:rsidR="00891EED" w:rsidRPr="00401F29" w:rsidRDefault="00891EED" w:rsidP="00E05D08">
      <w:pPr>
        <w:pStyle w:val="FootnoteText"/>
      </w:pPr>
      <w:r>
        <w:rPr>
          <w:rStyle w:val="FootnoteReference"/>
        </w:rPr>
        <w:footnoteRef/>
      </w:r>
      <w:r>
        <w:t xml:space="preserve"> Artikel 54 van Verordening (EU) nr. 1305/2013.</w:t>
      </w:r>
    </w:p>
  </w:footnote>
  <w:footnote w:id="63">
    <w:p w:rsidR="00891EED" w:rsidRPr="00401F29" w:rsidRDefault="00891EED" w:rsidP="00E05D08">
      <w:pPr>
        <w:pStyle w:val="FootnoteText"/>
        <w:rPr>
          <w:rStyle w:val="Hyperlink"/>
        </w:rPr>
      </w:pPr>
      <w:r>
        <w:rPr>
          <w:rStyle w:val="FootnoteReference"/>
        </w:rPr>
        <w:footnoteRef/>
      </w:r>
      <w:r>
        <w:t xml:space="preserve"> Werkdocument van de evaluatiehelpdesk: Common Evaluation questions for RDPs 2014-2020, beschikbaar op: </w:t>
      </w:r>
      <w:hyperlink r:id="rId22" w:history="1">
        <w:r>
          <w:rPr>
            <w:rStyle w:val="Hyperlink"/>
          </w:rPr>
          <w:t>http://enrd.ec.europa.eu/evaluation/publications/working-document-common-evaluation-questions-rural-development-programmes_en</w:t>
        </w:r>
      </w:hyperlink>
    </w:p>
  </w:footnote>
  <w:footnote w:id="64">
    <w:p w:rsidR="00891EED" w:rsidRPr="00401F29" w:rsidRDefault="00891EED" w:rsidP="00E05D08">
      <w:pPr>
        <w:pStyle w:val="FootnoteText"/>
      </w:pPr>
      <w:r>
        <w:rPr>
          <w:rStyle w:val="FootnoteReference"/>
        </w:rPr>
        <w:footnoteRef/>
      </w:r>
      <w:r>
        <w:t xml:space="preserve"> Idem</w:t>
      </w:r>
    </w:p>
  </w:footnote>
  <w:footnote w:id="65">
    <w:p w:rsidR="00891EED" w:rsidRPr="00401F29" w:rsidRDefault="00891EED" w:rsidP="00E05D08">
      <w:pPr>
        <w:pStyle w:val="FootnoteText"/>
      </w:pPr>
      <w:r>
        <w:rPr>
          <w:rStyle w:val="FootnoteReference"/>
        </w:rPr>
        <w:footnoteRef/>
      </w:r>
      <w:r>
        <w:t xml:space="preserve"> Allen en Seaman (2007)</w:t>
      </w:r>
    </w:p>
  </w:footnote>
  <w:footnote w:id="66">
    <w:p w:rsidR="00891EED" w:rsidRPr="00401F29" w:rsidRDefault="00891EED" w:rsidP="00E05D08">
      <w:pPr>
        <w:pStyle w:val="FootnoteText"/>
      </w:pPr>
      <w:r>
        <w:rPr>
          <w:rStyle w:val="FootnoteReference"/>
        </w:rPr>
        <w:footnoteRef/>
      </w:r>
      <w:r>
        <w:t xml:space="preserve"> Evaluatiehelpdesk, richtsnoeren Evaluation of NRNs 2014-2020, 2016, paragraaf 3.1.3 en deel III. </w:t>
      </w:r>
      <w:r>
        <w:rPr>
          <w:rStyle w:val="Hyperlink"/>
        </w:rPr>
        <w:t>https://enrd.ec.europa.eu/evaluation/publications/guidelines-evaluation-national-rural-networks-</w:t>
      </w:r>
      <w:hyperlink r:id="rId23" w:history="1">
        <w:r>
          <w:rPr>
            <w:rStyle w:val="Hyperlink"/>
          </w:rPr>
          <w:t>2014</w:t>
        </w:r>
      </w:hyperlink>
      <w:r>
        <w:rPr>
          <w:rStyle w:val="Hyperlink"/>
        </w:rPr>
        <w:t>-</w:t>
      </w:r>
      <w:hyperlink r:id="rId24" w:history="1">
        <w:r>
          <w:rPr>
            <w:rStyle w:val="Hyperlink"/>
          </w:rPr>
          <w:t>2020</w:t>
        </w:r>
      </w:hyperlink>
      <w:r>
        <w:rPr>
          <w:rStyle w:val="Hyperlink"/>
        </w:rPr>
        <w:t>_en</w:t>
      </w:r>
    </w:p>
  </w:footnote>
  <w:footnote w:id="67">
    <w:p w:rsidR="00891EED" w:rsidRPr="00401F29" w:rsidRDefault="00891EED" w:rsidP="00E05D08">
      <w:pPr>
        <w:pStyle w:val="FootnoteText"/>
        <w:rPr>
          <w:rStyle w:val="Hyperlink"/>
        </w:rPr>
      </w:pPr>
      <w:r>
        <w:rPr>
          <w:rStyle w:val="FootnoteReference"/>
        </w:rPr>
        <w:footnoteRef/>
      </w:r>
      <w:r>
        <w:t xml:space="preserve"> Voorbeeld van Italiaans NPN:</w:t>
      </w:r>
      <w:r>
        <w:rPr>
          <w:rFonts w:ascii="Helvetica" w:hAnsi="Helvetica"/>
          <w:szCs w:val="16"/>
        </w:rPr>
        <w:t xml:space="preserve"> </w:t>
      </w:r>
      <w:hyperlink r:id="rId25" w:history="1">
        <w:r>
          <w:rPr>
            <w:rStyle w:val="Hyperlink"/>
          </w:rPr>
          <w:t>http://www.reterurale.it/flex/cm/pages/ServeBLOB.php/L/IT/IDPagina/16281</w:t>
        </w:r>
      </w:hyperlink>
    </w:p>
    <w:p w:rsidR="00891EED" w:rsidRPr="00F743D3" w:rsidRDefault="00891EED" w:rsidP="00F74459">
      <w:pPr>
        <w:pStyle w:val="FootnoteText"/>
        <w:rPr>
          <w:lang w:val="sk-SK"/>
        </w:rPr>
      </w:pPr>
    </w:p>
  </w:footnote>
  <w:footnote w:id="68">
    <w:p w:rsidR="00891EED" w:rsidRPr="000D7890" w:rsidRDefault="00891EED" w:rsidP="00E05D08">
      <w:pPr>
        <w:pStyle w:val="FootnoteText"/>
        <w:rPr>
          <w:lang w:val="en-US"/>
        </w:rPr>
      </w:pPr>
      <w:r>
        <w:rPr>
          <w:rStyle w:val="FootnoteReference"/>
        </w:rPr>
        <w:footnoteRef/>
      </w:r>
      <w:r w:rsidRPr="000D7890">
        <w:rPr>
          <w:lang w:val="en-US"/>
        </w:rPr>
        <w:t xml:space="preserve"> EUROPE 2020, A strategy for smart, sustainable and inclusive growth, </w:t>
      </w:r>
      <w:hyperlink r:id="rId26" w:history="1">
        <w:r w:rsidRPr="000D7890">
          <w:rPr>
            <w:rStyle w:val="Hyperlink"/>
            <w:lang w:val="en-US"/>
          </w:rPr>
          <w:t>http://eur-lex.europa.eu/legal-content/nl/ALL/?uri=CELEX%3A52010DC2020</w:t>
        </w:r>
      </w:hyperlink>
    </w:p>
  </w:footnote>
  <w:footnote w:id="69">
    <w:p w:rsidR="00891EED" w:rsidRPr="000D7890" w:rsidRDefault="00891EED" w:rsidP="00E05D08">
      <w:pPr>
        <w:pStyle w:val="FootnoteText"/>
        <w:rPr>
          <w:rFonts w:cs="Helvetica"/>
          <w:color w:val="373737"/>
          <w:szCs w:val="18"/>
          <w:lang w:val="en-US"/>
        </w:rPr>
      </w:pPr>
      <w:r>
        <w:rPr>
          <w:rStyle w:val="FootnoteReference"/>
          <w:rFonts w:cs="Helvetica"/>
          <w:szCs w:val="18"/>
        </w:rPr>
        <w:footnoteRef/>
      </w:r>
      <w:r w:rsidRPr="000D7890">
        <w:rPr>
          <w:color w:val="373737"/>
          <w:szCs w:val="18"/>
          <w:lang w:val="en-US"/>
        </w:rPr>
        <w:t xml:space="preserve"> </w:t>
      </w:r>
      <w:hyperlink r:id="rId27" w:history="1">
        <w:r w:rsidRPr="000D7890">
          <w:rPr>
            <w:rStyle w:val="Hyperlink"/>
            <w:lang w:val="en-US"/>
          </w:rPr>
          <w:t>http://ec.europa.eu/europe2020/targets/eu-targets/index_nl.htm</w:t>
        </w:r>
      </w:hyperlink>
    </w:p>
  </w:footnote>
  <w:footnote w:id="70">
    <w:p w:rsidR="00891EED" w:rsidRPr="000D7890" w:rsidRDefault="00891EED" w:rsidP="00E05D08">
      <w:pPr>
        <w:pStyle w:val="FootnoteText"/>
        <w:rPr>
          <w:lang w:val="en-US"/>
        </w:rPr>
      </w:pPr>
      <w:r>
        <w:rPr>
          <w:rStyle w:val="FootnoteReference"/>
        </w:rPr>
        <w:footnoteRef/>
      </w:r>
      <w:r w:rsidRPr="000D7890">
        <w:rPr>
          <w:lang w:val="en-US"/>
        </w:rPr>
        <w:t xml:space="preserve"> </w:t>
      </w:r>
      <w:hyperlink r:id="rId28" w:history="1">
        <w:r w:rsidRPr="000D7890">
          <w:rPr>
            <w:rStyle w:val="Hyperlink"/>
            <w:lang w:val="en-US"/>
          </w:rPr>
          <w:t>http://ec.europa.eu/eurostat/statistics-explained/index.php/R_%26_D_expenditure</w:t>
        </w:r>
      </w:hyperlink>
    </w:p>
  </w:footnote>
  <w:footnote w:id="71">
    <w:p w:rsidR="00891EED" w:rsidRPr="000D7890" w:rsidRDefault="00891EED" w:rsidP="00E05D08">
      <w:pPr>
        <w:pStyle w:val="FootnoteText"/>
        <w:rPr>
          <w:rFonts w:cs="Helvetica"/>
          <w:color w:val="373737"/>
          <w:szCs w:val="18"/>
          <w:lang w:val="en-US"/>
        </w:rPr>
      </w:pPr>
      <w:r>
        <w:rPr>
          <w:rStyle w:val="FootnoteReference"/>
          <w:rFonts w:cs="Helvetica"/>
          <w:szCs w:val="18"/>
        </w:rPr>
        <w:footnoteRef/>
      </w:r>
      <w:r w:rsidRPr="000D7890">
        <w:rPr>
          <w:color w:val="373737"/>
          <w:szCs w:val="18"/>
          <w:lang w:val="en-US"/>
        </w:rPr>
        <w:t xml:space="preserve"> </w:t>
      </w:r>
      <w:hyperlink r:id="rId29" w:history="1">
        <w:r w:rsidRPr="000D7890">
          <w:rPr>
            <w:rStyle w:val="Hyperlink"/>
            <w:lang w:val="en-US"/>
          </w:rPr>
          <w:t>http://www.oecd.org/publications/frascati-manual-2015-9789264239012-en.htm</w:t>
        </w:r>
      </w:hyperlink>
    </w:p>
  </w:footnote>
  <w:footnote w:id="72">
    <w:p w:rsidR="00891EED" w:rsidRPr="00300AFA" w:rsidRDefault="00891EED" w:rsidP="00E05D08">
      <w:pPr>
        <w:pStyle w:val="FootnoteText"/>
        <w:rPr>
          <w:lang w:val="fr-BE"/>
        </w:rPr>
      </w:pPr>
      <w:r>
        <w:rPr>
          <w:rStyle w:val="FootnoteReference"/>
          <w:rFonts w:cs="Helvetica"/>
          <w:szCs w:val="18"/>
        </w:rPr>
        <w:footnoteRef/>
      </w:r>
      <w:r w:rsidRPr="00300AFA">
        <w:rPr>
          <w:color w:val="373737"/>
          <w:szCs w:val="18"/>
          <w:lang w:val="fr-BE"/>
        </w:rPr>
        <w:t xml:space="preserve"> </w:t>
      </w:r>
      <w:r w:rsidRPr="00300AFA">
        <w:rPr>
          <w:lang w:val="fr-BE"/>
        </w:rPr>
        <w:t>Besluit nr. 1608/2003/EG van het Europees Parlement en de Raad, Verordening (EU) nr. 753/2004 en Verordening (EU) nr. 995/2012</w:t>
      </w:r>
    </w:p>
  </w:footnote>
  <w:footnote w:id="73">
    <w:p w:rsidR="00891EED" w:rsidRPr="00300AFA" w:rsidRDefault="00891EED" w:rsidP="00E05D08">
      <w:pPr>
        <w:pStyle w:val="FootnoteText"/>
        <w:rPr>
          <w:lang w:val="fr-BE"/>
        </w:rPr>
      </w:pPr>
      <w:r>
        <w:rPr>
          <w:rStyle w:val="FootnoteReference"/>
        </w:rPr>
        <w:footnoteRef/>
      </w:r>
      <w:r w:rsidRPr="00300AFA">
        <w:rPr>
          <w:lang w:val="fr-BE"/>
        </w:rPr>
        <w:t xml:space="preserve"> </w:t>
      </w:r>
      <w:hyperlink r:id="rId30" w:history="1">
        <w:r w:rsidRPr="00300AFA">
          <w:rPr>
            <w:rStyle w:val="Hyperlink"/>
            <w:lang w:val="fr-BE"/>
          </w:rPr>
          <w:t>http://ec.europa.eu/eurostat/statistics-explained/index.php/Glossary:Gross_domestic_expenditure_on_R_%26_D_(GERD)</w:t>
        </w:r>
      </w:hyperlink>
    </w:p>
  </w:footnote>
  <w:footnote w:id="74">
    <w:p w:rsidR="00891EED" w:rsidRPr="0026694F" w:rsidRDefault="00891EED" w:rsidP="00E05D08">
      <w:pPr>
        <w:pStyle w:val="FootnoteText"/>
        <w:rPr>
          <w:rFonts w:ascii="Helvetica" w:hAnsi="Helvetica" w:cs="Helvetica"/>
          <w:szCs w:val="16"/>
        </w:rPr>
      </w:pPr>
      <w:r>
        <w:rPr>
          <w:rStyle w:val="FootnoteReference"/>
          <w:rFonts w:cs="Arial"/>
          <w:szCs w:val="16"/>
        </w:rPr>
        <w:footnoteRef/>
      </w:r>
      <w:r>
        <w:rPr>
          <w:rFonts w:ascii="Helvetica" w:hAnsi="Helvetica"/>
          <w:szCs w:val="16"/>
        </w:rPr>
        <w:t xml:space="preserve"> </w:t>
      </w:r>
      <w:bookmarkStart w:id="126" w:name="_Hlk500419553"/>
      <w:r>
        <w:rPr>
          <w:rFonts w:ascii="Helvetica" w:hAnsi="Helvetica"/>
          <w:szCs w:val="16"/>
        </w:rPr>
        <w:t xml:space="preserve">In Duitsland bleek uit een onderzoek naar de evaluaties vooraf, waarbij (onder meer) de relevantie van POP's voor het bereiken van de doelstellingen van EU 2020 werd onderzocht, dat de bijdrage van de POP's aan de kerndoelstelling van 3 % zeer laag wordt ingeschat. In verschillende Länder leveren de uitgaven slechts een geringe bijdrage aan de O&amp;O-uitgaven. </w:t>
      </w:r>
    </w:p>
    <w:bookmarkEnd w:id="126"/>
    <w:p w:rsidR="00891EED" w:rsidRPr="00E05D08" w:rsidRDefault="00891EED" w:rsidP="00F74459">
      <w:pPr>
        <w:pStyle w:val="FootnoteText"/>
        <w:rPr>
          <w:rFonts w:ascii="Calibri" w:hAnsi="Calibri"/>
          <w:lang w:val="sk-SK"/>
        </w:rPr>
      </w:pPr>
    </w:p>
  </w:footnote>
  <w:footnote w:id="75">
    <w:p w:rsidR="00891EED" w:rsidRPr="000D7890" w:rsidRDefault="00891EED" w:rsidP="00E05D08">
      <w:pPr>
        <w:pStyle w:val="FootnoteText"/>
        <w:rPr>
          <w:rFonts w:cs="Helvetica"/>
          <w:color w:val="373737"/>
          <w:lang w:val="sk-SK"/>
        </w:rPr>
      </w:pPr>
      <w:r>
        <w:rPr>
          <w:rStyle w:val="FootnoteReference"/>
          <w:rFonts w:cs="Helvetica"/>
        </w:rPr>
        <w:footnoteRef/>
      </w:r>
      <w:r w:rsidRPr="000D7890">
        <w:rPr>
          <w:lang w:val="sk-SK"/>
        </w:rPr>
        <w:t xml:space="preserve"> Werkdocument Common evaluation questions for RDPs 2014-2020, </w:t>
      </w:r>
      <w:hyperlink r:id="rId31" w:history="1">
        <w:r w:rsidRPr="000D7890">
          <w:rPr>
            <w:rStyle w:val="Hyperlink"/>
            <w:lang w:val="sk-SK"/>
          </w:rPr>
          <w:t>http://enrd.ec.europa.eu/evaluation/publications/working-document-common-evaluation-questions-rural-development-programmes_en</w:t>
        </w:r>
      </w:hyperlink>
    </w:p>
  </w:footnote>
  <w:footnote w:id="76">
    <w:p w:rsidR="00891EED" w:rsidRPr="00014A2E" w:rsidRDefault="00891EED" w:rsidP="00E05D08">
      <w:pPr>
        <w:pStyle w:val="FootnoteText"/>
      </w:pPr>
      <w:r>
        <w:rPr>
          <w:rStyle w:val="FootnoteReference"/>
        </w:rPr>
        <w:footnoteRef/>
      </w:r>
      <w:r>
        <w:t xml:space="preserve"> Artikel 8, lid 1, onder c), v), van Verordening (EU) nr. 1305/2013 en bijlage I, deel I, punt 5, onder c) en e), van Verordening (EU) nr. 808/2014</w:t>
      </w:r>
    </w:p>
  </w:footnote>
  <w:footnote w:id="77">
    <w:p w:rsidR="00891EED" w:rsidRPr="001D68A9" w:rsidRDefault="00891EED" w:rsidP="00E05D08">
      <w:pPr>
        <w:pStyle w:val="FootnoteText"/>
      </w:pPr>
      <w:r>
        <w:rPr>
          <w:rStyle w:val="FootnoteReference"/>
        </w:rPr>
        <w:footnoteRef/>
      </w:r>
      <w:r>
        <w:t xml:space="preserve"> </w:t>
      </w:r>
      <w:hyperlink r:id="rId32" w:history="1">
        <w:r>
          <w:rPr>
            <w:rStyle w:val="Hyperlink"/>
          </w:rPr>
          <w:t>http://www.analytictech.com/networks/whatis.htm</w:t>
        </w:r>
      </w:hyperlink>
    </w:p>
  </w:footnote>
  <w:footnote w:id="78">
    <w:p w:rsidR="00891EED" w:rsidRPr="00401F29" w:rsidRDefault="00891EED" w:rsidP="00E05D08">
      <w:pPr>
        <w:pStyle w:val="FootnoteText"/>
      </w:pPr>
      <w:r>
        <w:rPr>
          <w:rStyle w:val="FootnoteReference"/>
        </w:rPr>
        <w:footnoteRef/>
      </w:r>
      <w:r>
        <w:t xml:space="preserve"> Wilson-Grau, 2015 </w:t>
      </w:r>
    </w:p>
  </w:footnote>
  <w:footnote w:id="79">
    <w:p w:rsidR="00891EED" w:rsidRPr="00401F29" w:rsidRDefault="00891EED" w:rsidP="00E05D08">
      <w:pPr>
        <w:pStyle w:val="FootnoteText"/>
      </w:pPr>
      <w:r>
        <w:rPr>
          <w:rStyle w:val="FootnoteReference"/>
        </w:rPr>
        <w:footnoteRef/>
      </w:r>
      <w:r>
        <w:t xml:space="preserve"> Een casestudy is een methode om inzicht in een complexe zaak te verwerven door die zaak in zijn geheel en binnen de context ervan uitgebreid te beschrijven en te analyseren (GAO, 1990, blz. 15).</w:t>
      </w:r>
    </w:p>
  </w:footnote>
  <w:footnote w:id="80">
    <w:p w:rsidR="00891EED" w:rsidRPr="00401F29" w:rsidRDefault="00891EED" w:rsidP="00E05D08">
      <w:pPr>
        <w:pStyle w:val="FootnoteText"/>
      </w:pPr>
      <w:r>
        <w:rPr>
          <w:rStyle w:val="FootnoteReference"/>
        </w:rPr>
        <w:footnoteRef/>
      </w:r>
      <w:r>
        <w:rPr>
          <w:rStyle w:val="FootnoteReference"/>
        </w:rPr>
        <w:t xml:space="preserve"> </w:t>
      </w:r>
      <w:r>
        <w:t>Procestracering is een gevalsgebonden wijze van oorzakelijk redeneren waarbij de nadruk ligt op het gebruik van aanwijzingen in een zaak (waarneming van het oorzakelijk proces) om verschillende alternatieve verklaringen tegen elkaar af te wegen. Zie voor meer informatie</w:t>
      </w:r>
      <w:r>
        <w:rPr>
          <w:color w:val="373737"/>
          <w:szCs w:val="16"/>
          <w:shd w:val="clear" w:color="auto" w:fill="FFFFFF"/>
        </w:rPr>
        <w:t xml:space="preserve"> </w:t>
      </w:r>
      <w:hyperlink r:id="rId33" w:history="1">
        <w:r>
          <w:rPr>
            <w:rStyle w:val="Hyperlink"/>
            <w:szCs w:val="16"/>
            <w:shd w:val="clear" w:color="auto" w:fill="FFFFFF"/>
          </w:rPr>
          <w:t xml:space="preserve"> http://www.betterevaluation.org/en/evaluation-options/processtracing</w:t>
        </w:r>
      </w:hyperlink>
      <w:r>
        <w:rPr>
          <w:color w:val="373737"/>
          <w:szCs w:val="16"/>
        </w:rPr>
        <w:t>,</w:t>
      </w:r>
      <w:r>
        <w:t xml:space="preserve"> of Collier 2011, zie de literatuuropgave.</w:t>
      </w:r>
    </w:p>
  </w:footnote>
  <w:footnote w:id="81">
    <w:p w:rsidR="00891EED" w:rsidRPr="00401F29" w:rsidRDefault="00891EED" w:rsidP="00E05D08">
      <w:pPr>
        <w:pStyle w:val="FootnoteText"/>
      </w:pPr>
      <w:r>
        <w:rPr>
          <w:rStyle w:val="FootnoteReference"/>
        </w:rPr>
        <w:footnoteRef/>
      </w:r>
      <w:r>
        <w:t xml:space="preserve"> "Het opstellen van een "innovatiegeschiedenis" is een methode om een innovatieproces vast te leggen en erover na te denken. Personen die bij de innovatie betrokken zijn geweest, stellen gezamenlijk een gedetailleerd schriftelijk verslag op (soms aangeduid als "leergeschiedenis") op basis van hun herinneringen en beschikbare documenten." Zie voor meer informatie </w:t>
      </w:r>
      <w:hyperlink r:id="rId34" w:history="1">
        <w:r>
          <w:rPr>
            <w:rStyle w:val="Hyperlink"/>
          </w:rPr>
          <w:t>http://www.betterevaluation.org/en/resources/tools/innovation_history/innovation_timeline</w:t>
        </w:r>
      </w:hyperlink>
      <w:r>
        <w:t xml:space="preserve">, of Douthwaite en Ashby, 2005, zie de literatuuropgave. </w:t>
      </w:r>
    </w:p>
  </w:footnote>
  <w:footnote w:id="82">
    <w:p w:rsidR="00891EED" w:rsidRPr="00A847F8" w:rsidRDefault="00891EED" w:rsidP="00A847F8">
      <w:pPr>
        <w:pStyle w:val="FootnoteText"/>
      </w:pPr>
      <w:r>
        <w:rPr>
          <w:rStyle w:val="FootnoteReference"/>
        </w:rPr>
        <w:footnoteRef/>
      </w:r>
      <w:r>
        <w:t xml:space="preserve"> Mayne, 2012, zie de literatuuropgave.</w:t>
      </w:r>
    </w:p>
  </w:footnote>
  <w:footnote w:id="83">
    <w:p w:rsidR="00891EED" w:rsidRPr="00A847F8" w:rsidRDefault="00891EED" w:rsidP="00A847F8">
      <w:pPr>
        <w:pStyle w:val="FootnoteText"/>
      </w:pPr>
      <w:r>
        <w:rPr>
          <w:rStyle w:val="FootnoteReference"/>
        </w:rPr>
        <w:footnoteRef/>
      </w:r>
      <w:r>
        <w:t xml:space="preserve"> Hilton, 1996, zie de literatuuropgave.</w:t>
      </w:r>
    </w:p>
  </w:footnote>
  <w:footnote w:id="84">
    <w:p w:rsidR="00891EED" w:rsidRDefault="00891EED" w:rsidP="00A847F8">
      <w:pPr>
        <w:pStyle w:val="FootnoteText"/>
      </w:pPr>
      <w:r>
        <w:rPr>
          <w:rStyle w:val="FootnoteReference"/>
        </w:rPr>
        <w:footnoteRef/>
      </w:r>
      <w:r>
        <w:t xml:space="preserve"> Pawson et al., 2005, zie de literatuuropgave.</w:t>
      </w:r>
    </w:p>
  </w:footnote>
  <w:footnote w:id="85">
    <w:p w:rsidR="00891EED" w:rsidRDefault="00891EED" w:rsidP="00BA450C">
      <w:pPr>
        <w:pStyle w:val="FootnoteText"/>
      </w:pPr>
      <w:r>
        <w:rPr>
          <w:rStyle w:val="FootnoteReference"/>
          <w:szCs w:val="16"/>
        </w:rPr>
        <w:footnoteRef/>
      </w:r>
      <w:r>
        <w:t xml:space="preserve"> </w:t>
      </w:r>
      <w:hyperlink r:id="rId35" w:history="1">
        <w:r>
          <w:rPr>
            <w:rStyle w:val="Hyperlink"/>
          </w:rPr>
          <w:t>http://www.socialresearchmethods.net/kb/scallik.php</w:t>
        </w:r>
      </w:hyperlink>
      <w:r>
        <w:rPr>
          <w:color w:val="373737"/>
          <w:szCs w:val="16"/>
        </w:rPr>
        <w:t xml:space="preserve">, </w:t>
      </w:r>
      <w:r>
        <w:t>en Allen en Seaman (2007</w:t>
      </w:r>
      <w:r>
        <w:rPr>
          <w:color w:val="373737"/>
          <w:szCs w:val="1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EED" w:rsidRDefault="00891EED" w:rsidP="00400064">
    <w:pPr>
      <w:pStyle w:val="Header"/>
      <w:tabs>
        <w:tab w:val="clear" w:pos="4513"/>
        <w:tab w:val="clear" w:pos="9026"/>
      </w:tabs>
      <w:jc w:val="right"/>
    </w:pPr>
    <w:r>
      <w:t>Richtsnoeren: Evaluatie van innovatie in plattelandsontwikkelingsprogramma's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EED" w:rsidRPr="00400064" w:rsidRDefault="00891EED" w:rsidP="0025413B">
    <w:pPr>
      <w:jc w:val="right"/>
      <w:rPr>
        <w:color w:val="F07E31"/>
        <w:sz w:val="18"/>
        <w:szCs w:val="18"/>
      </w:rPr>
    </w:pPr>
    <w:r>
      <w:rPr>
        <w:color w:val="F07E31"/>
        <w:sz w:val="18"/>
        <w:szCs w:val="18"/>
      </w:rPr>
      <w:t>Richtsnoeren: Evaluatie van innovatie in plattelandsontwikkelingsprogramma's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EED" w:rsidRPr="00400064" w:rsidRDefault="00891EED" w:rsidP="00400064">
    <w:pPr>
      <w:jc w:val="right"/>
      <w:rPr>
        <w:color w:val="F07E31"/>
        <w:sz w:val="18"/>
        <w:szCs w:val="18"/>
      </w:rPr>
    </w:pPr>
    <w:r>
      <w:rPr>
        <w:color w:val="F07E31"/>
        <w:sz w:val="18"/>
        <w:szCs w:val="18"/>
      </w:rPr>
      <w:t>Richtsnoeren: Evaluatie van innovatie in plattelandsontwikkelingsprogramma's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EED" w:rsidRDefault="00891EED" w:rsidP="00E165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EED" w:rsidRPr="00E4509B" w:rsidRDefault="00891EED" w:rsidP="00D50EF0">
    <w:pPr>
      <w:pStyle w:val="Header"/>
      <w:tabs>
        <w:tab w:val="clear" w:pos="4513"/>
      </w:tabs>
    </w:pPr>
    <w:r>
      <w:tab/>
    </w:r>
    <w:bookmarkStart w:id="3" w:name="_Hlk503344243"/>
    <w:r>
      <w:t>Richtsnoeren: Evaluatie van innovatie in plattelandsontwikkelingsprogramma's</w:t>
    </w:r>
    <w:bookmarkEnd w:id="3"/>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EED" w:rsidRPr="00400064" w:rsidRDefault="00891EED" w:rsidP="00400064">
    <w:pPr>
      <w:jc w:val="right"/>
      <w:rPr>
        <w:color w:val="F07E31"/>
        <w:sz w:val="18"/>
        <w:szCs w:val="18"/>
      </w:rPr>
    </w:pPr>
    <w:r>
      <w:rPr>
        <w:color w:val="F07E31"/>
        <w:sz w:val="18"/>
        <w:szCs w:val="18"/>
      </w:rPr>
      <w:t>Richtsnoeren: Evaluatie van innovatie in plattelandsontwikkelingsprogramma's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EED" w:rsidRPr="00C947BA" w:rsidRDefault="00891EED" w:rsidP="00C947BA">
    <w:pPr>
      <w:jc w:val="right"/>
      <w:rPr>
        <w:color w:val="F07E31"/>
        <w:sz w:val="18"/>
        <w:szCs w:val="18"/>
      </w:rPr>
    </w:pPr>
    <w:r>
      <w:rPr>
        <w:color w:val="F07E31"/>
        <w:sz w:val="18"/>
        <w:szCs w:val="18"/>
      </w:rPr>
      <w:t>Richtsnoeren: Evaluatie van innovatie in plattelandsontwikkelingsprogramma's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EED" w:rsidRDefault="00891EED" w:rsidP="00E165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EED" w:rsidRPr="0052778E" w:rsidRDefault="00891EED" w:rsidP="00E16522">
    <w:pPr>
      <w:pStyle w:val="Header"/>
      <w:rPr>
        <w:sz w:val="24"/>
      </w:rPr>
    </w:pPr>
    <w:r>
      <w:tab/>
    </w:r>
  </w:p>
  <w:p w:rsidR="00891EED" w:rsidRPr="0047590C" w:rsidRDefault="00891EED" w:rsidP="00E16522">
    <w:pPr>
      <w:pStyle w:val="Header"/>
      <w:rPr>
        <w:color w:val="6F6F6F"/>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EED" w:rsidRDefault="00891EE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EED" w:rsidRPr="00656719" w:rsidRDefault="00891EED" w:rsidP="00E16522">
    <w:pPr>
      <w:pStyle w:val="Header"/>
    </w:pPr>
    <w:r>
      <w:tab/>
      <w:t>Achtergronddocument: Evaluatie van innovatie in plattelandsontwikkelingsprogramma's</w:t>
    </w:r>
  </w:p>
  <w:p w:rsidR="00891EED" w:rsidRPr="000D7890" w:rsidRDefault="00891EED" w:rsidP="00E16522">
    <w:pPr>
      <w:pStyle w:val="Header"/>
      <w:rPr>
        <w:sz w:val="24"/>
        <w:lang w:val="nl-BE"/>
      </w:rPr>
    </w:pPr>
  </w:p>
  <w:p w:rsidR="00891EED" w:rsidRPr="0047590C" w:rsidRDefault="00891EED" w:rsidP="00E16522">
    <w:pPr>
      <w:pStyle w:val="Header"/>
      <w:rPr>
        <w:color w:val="6F6F6F"/>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366AC"/>
    <w:multiLevelType w:val="multilevel"/>
    <w:tmpl w:val="2068AE4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434EAD"/>
    <w:multiLevelType w:val="multilevel"/>
    <w:tmpl w:val="9998C6BA"/>
    <w:lvl w:ilvl="0">
      <w:start w:val="1"/>
      <w:numFmt w:val="decimal"/>
      <w:pStyle w:val="HHeading1"/>
      <w:lvlText w:val="%1."/>
      <w:lvlJc w:val="left"/>
      <w:pPr>
        <w:ind w:left="720" w:hanging="360"/>
      </w:pPr>
      <w:rPr>
        <w:rFonts w:ascii="Arial" w:hAnsi="Arial" w:hint="default"/>
        <w:color w:val="F07E31"/>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0B5324"/>
    <w:multiLevelType w:val="hybridMultilevel"/>
    <w:tmpl w:val="BDD4FD1A"/>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A066D"/>
    <w:multiLevelType w:val="hybridMultilevel"/>
    <w:tmpl w:val="67F0D85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35275F"/>
    <w:multiLevelType w:val="multilevel"/>
    <w:tmpl w:val="080C0025"/>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4722D3A"/>
    <w:multiLevelType w:val="multilevel"/>
    <w:tmpl w:val="A5CAE128"/>
    <w:lvl w:ilvl="0">
      <w:start w:val="1"/>
      <w:numFmt w:val="decimal"/>
      <w:lvlText w:val="%1"/>
      <w:lvlJc w:val="left"/>
      <w:pPr>
        <w:ind w:left="444" w:hanging="444"/>
      </w:pPr>
      <w:rPr>
        <w:rFonts w:hint="default"/>
        <w:color w:val="F07E31"/>
      </w:rPr>
    </w:lvl>
    <w:lvl w:ilvl="1">
      <w:start w:val="2"/>
      <w:numFmt w:val="decimal"/>
      <w:lvlText w:val="%1.%2"/>
      <w:lvlJc w:val="left"/>
      <w:pPr>
        <w:ind w:left="444" w:hanging="444"/>
      </w:pPr>
      <w:rPr>
        <w:rFonts w:hint="default"/>
        <w:color w:val="F07E31"/>
      </w:rPr>
    </w:lvl>
    <w:lvl w:ilvl="2">
      <w:start w:val="2"/>
      <w:numFmt w:val="decimal"/>
      <w:lvlText w:val="%1.%2.%3"/>
      <w:lvlJc w:val="left"/>
      <w:pPr>
        <w:ind w:left="720" w:hanging="720"/>
      </w:pPr>
      <w:rPr>
        <w:rFonts w:hint="default"/>
        <w:color w:val="F07E31"/>
      </w:rPr>
    </w:lvl>
    <w:lvl w:ilvl="3">
      <w:start w:val="1"/>
      <w:numFmt w:val="decimal"/>
      <w:lvlText w:val="%1.%2.%3.%4"/>
      <w:lvlJc w:val="left"/>
      <w:pPr>
        <w:ind w:left="720" w:hanging="720"/>
      </w:pPr>
      <w:rPr>
        <w:rFonts w:hint="default"/>
        <w:color w:val="F07E31"/>
      </w:rPr>
    </w:lvl>
    <w:lvl w:ilvl="4">
      <w:start w:val="1"/>
      <w:numFmt w:val="decimal"/>
      <w:lvlText w:val="%1.%2.%3.%4.%5"/>
      <w:lvlJc w:val="left"/>
      <w:pPr>
        <w:ind w:left="1080" w:hanging="1080"/>
      </w:pPr>
      <w:rPr>
        <w:rFonts w:hint="default"/>
        <w:color w:val="F07E31"/>
      </w:rPr>
    </w:lvl>
    <w:lvl w:ilvl="5">
      <w:start w:val="1"/>
      <w:numFmt w:val="decimal"/>
      <w:lvlText w:val="%1.%2.%3.%4.%5.%6"/>
      <w:lvlJc w:val="left"/>
      <w:pPr>
        <w:ind w:left="1080" w:hanging="1080"/>
      </w:pPr>
      <w:rPr>
        <w:rFonts w:hint="default"/>
        <w:color w:val="F07E31"/>
      </w:rPr>
    </w:lvl>
    <w:lvl w:ilvl="6">
      <w:start w:val="1"/>
      <w:numFmt w:val="decimal"/>
      <w:lvlText w:val="%1.%2.%3.%4.%5.%6.%7"/>
      <w:lvlJc w:val="left"/>
      <w:pPr>
        <w:ind w:left="1440" w:hanging="1440"/>
      </w:pPr>
      <w:rPr>
        <w:rFonts w:hint="default"/>
        <w:color w:val="F07E31"/>
      </w:rPr>
    </w:lvl>
    <w:lvl w:ilvl="7">
      <w:start w:val="1"/>
      <w:numFmt w:val="decimal"/>
      <w:lvlText w:val="%1.%2.%3.%4.%5.%6.%7.%8"/>
      <w:lvlJc w:val="left"/>
      <w:pPr>
        <w:ind w:left="1440" w:hanging="1440"/>
      </w:pPr>
      <w:rPr>
        <w:rFonts w:hint="default"/>
        <w:color w:val="F07E31"/>
      </w:rPr>
    </w:lvl>
    <w:lvl w:ilvl="8">
      <w:start w:val="1"/>
      <w:numFmt w:val="decimal"/>
      <w:lvlText w:val="%1.%2.%3.%4.%5.%6.%7.%8.%9"/>
      <w:lvlJc w:val="left"/>
      <w:pPr>
        <w:ind w:left="1800" w:hanging="1800"/>
      </w:pPr>
      <w:rPr>
        <w:rFonts w:hint="default"/>
        <w:color w:val="F07E31"/>
      </w:rPr>
    </w:lvl>
  </w:abstractNum>
  <w:abstractNum w:abstractNumId="7" w15:restartNumberingAfterBreak="0">
    <w:nsid w:val="06257611"/>
    <w:multiLevelType w:val="hybridMultilevel"/>
    <w:tmpl w:val="58EEF89A"/>
    <w:lvl w:ilvl="0" w:tplc="19F88068">
      <w:start w:val="1"/>
      <w:numFmt w:val="bullet"/>
      <w:lvlText w:val=""/>
      <w:lvlJc w:val="left"/>
      <w:pPr>
        <w:ind w:left="720" w:hanging="360"/>
      </w:pPr>
      <w:rPr>
        <w:rFonts w:ascii="Symbol" w:hAnsi="Symbol" w:hint="default"/>
        <w:b w:val="0"/>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EB648B"/>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9787D25"/>
    <w:multiLevelType w:val="hybridMultilevel"/>
    <w:tmpl w:val="7DB4D96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B544734"/>
    <w:multiLevelType w:val="hybridMultilevel"/>
    <w:tmpl w:val="B426A1C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754C06"/>
    <w:multiLevelType w:val="multilevel"/>
    <w:tmpl w:val="21E6DD94"/>
    <w:lvl w:ilvl="0">
      <w:start w:val="1"/>
      <w:numFmt w:val="decimal"/>
      <w:lvlText w:val="%1"/>
      <w:lvlJc w:val="left"/>
      <w:pPr>
        <w:ind w:left="432" w:hanging="432"/>
      </w:pPr>
      <w:rPr>
        <w:rFonts w:hint="default"/>
        <w:color w:val="F07E31"/>
        <w:sz w:val="24"/>
      </w:r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E422253"/>
    <w:multiLevelType w:val="hybridMultilevel"/>
    <w:tmpl w:val="26AE3D9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577D94"/>
    <w:multiLevelType w:val="multilevel"/>
    <w:tmpl w:val="B8C4BBDE"/>
    <w:lvl w:ilvl="0">
      <w:start w:val="1"/>
      <w:numFmt w:val="decimal"/>
      <w:lvlText w:val="%1."/>
      <w:lvlJc w:val="left"/>
      <w:pPr>
        <w:ind w:left="720" w:hanging="360"/>
      </w:pPr>
    </w:lvl>
    <w:lvl w:ilvl="1">
      <w:start w:val="1"/>
      <w:numFmt w:val="decimal"/>
      <w:isLgl/>
      <w:lvlText w:val="%1.%2"/>
      <w:lvlJc w:val="left"/>
      <w:pPr>
        <w:ind w:left="720" w:hanging="360"/>
      </w:pPr>
      <w:rPr>
        <w:rFonts w:ascii="Helvetica" w:hAnsi="Helvetica" w:cs="Times New Roman" w:hint="default"/>
      </w:rPr>
    </w:lvl>
    <w:lvl w:ilvl="2">
      <w:start w:val="1"/>
      <w:numFmt w:val="decimal"/>
      <w:isLgl/>
      <w:lvlText w:val="%1.%2.%3"/>
      <w:lvlJc w:val="left"/>
      <w:pPr>
        <w:ind w:left="1080" w:hanging="720"/>
      </w:pPr>
      <w:rPr>
        <w:rFonts w:ascii="Helvetica" w:hAnsi="Helvetica" w:cs="Times New Roman" w:hint="default"/>
      </w:rPr>
    </w:lvl>
    <w:lvl w:ilvl="3">
      <w:start w:val="1"/>
      <w:numFmt w:val="decimal"/>
      <w:isLgl/>
      <w:lvlText w:val="%1.%2.%3.%4"/>
      <w:lvlJc w:val="left"/>
      <w:pPr>
        <w:ind w:left="1080" w:hanging="720"/>
      </w:pPr>
      <w:rPr>
        <w:rFonts w:ascii="Helvetica" w:hAnsi="Helvetica" w:cs="Times New Roman" w:hint="default"/>
      </w:rPr>
    </w:lvl>
    <w:lvl w:ilvl="4">
      <w:start w:val="1"/>
      <w:numFmt w:val="decimal"/>
      <w:isLgl/>
      <w:lvlText w:val="%1.%2.%3.%4.%5"/>
      <w:lvlJc w:val="left"/>
      <w:pPr>
        <w:ind w:left="1440" w:hanging="1080"/>
      </w:pPr>
      <w:rPr>
        <w:rFonts w:ascii="Helvetica" w:hAnsi="Helvetica" w:cs="Times New Roman" w:hint="default"/>
      </w:rPr>
    </w:lvl>
    <w:lvl w:ilvl="5">
      <w:start w:val="1"/>
      <w:numFmt w:val="decimal"/>
      <w:isLgl/>
      <w:lvlText w:val="%1.%2.%3.%4.%5.%6"/>
      <w:lvlJc w:val="left"/>
      <w:pPr>
        <w:ind w:left="1440" w:hanging="1080"/>
      </w:pPr>
      <w:rPr>
        <w:rFonts w:ascii="Helvetica" w:hAnsi="Helvetica" w:cs="Times New Roman" w:hint="default"/>
      </w:rPr>
    </w:lvl>
    <w:lvl w:ilvl="6">
      <w:start w:val="1"/>
      <w:numFmt w:val="decimal"/>
      <w:isLgl/>
      <w:lvlText w:val="%1.%2.%3.%4.%5.%6.%7"/>
      <w:lvlJc w:val="left"/>
      <w:pPr>
        <w:ind w:left="1800" w:hanging="1440"/>
      </w:pPr>
      <w:rPr>
        <w:rFonts w:ascii="Helvetica" w:hAnsi="Helvetica" w:cs="Times New Roman" w:hint="default"/>
      </w:rPr>
    </w:lvl>
    <w:lvl w:ilvl="7">
      <w:start w:val="1"/>
      <w:numFmt w:val="decimal"/>
      <w:isLgl/>
      <w:lvlText w:val="%1.%2.%3.%4.%5.%6.%7.%8"/>
      <w:lvlJc w:val="left"/>
      <w:pPr>
        <w:ind w:left="1800" w:hanging="1440"/>
      </w:pPr>
      <w:rPr>
        <w:rFonts w:ascii="Helvetica" w:hAnsi="Helvetica" w:cs="Times New Roman" w:hint="default"/>
      </w:rPr>
    </w:lvl>
    <w:lvl w:ilvl="8">
      <w:start w:val="1"/>
      <w:numFmt w:val="decimal"/>
      <w:isLgl/>
      <w:lvlText w:val="%1.%2.%3.%4.%5.%6.%7.%8.%9"/>
      <w:lvlJc w:val="left"/>
      <w:pPr>
        <w:ind w:left="2160" w:hanging="1800"/>
      </w:pPr>
      <w:rPr>
        <w:rFonts w:ascii="Helvetica" w:hAnsi="Helvetica" w:cs="Times New Roman" w:hint="default"/>
      </w:rPr>
    </w:lvl>
  </w:abstractNum>
  <w:abstractNum w:abstractNumId="15" w15:restartNumberingAfterBreak="0">
    <w:nsid w:val="1133744B"/>
    <w:multiLevelType w:val="hybridMultilevel"/>
    <w:tmpl w:val="6438561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731114"/>
    <w:multiLevelType w:val="hybridMultilevel"/>
    <w:tmpl w:val="B4FCCAE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FF6F19"/>
    <w:multiLevelType w:val="multilevel"/>
    <w:tmpl w:val="F96673BE"/>
    <w:lvl w:ilvl="0">
      <w:start w:val="1"/>
      <w:numFmt w:val="decimal"/>
      <w:lvlText w:val="%1."/>
      <w:lvlJc w:val="left"/>
      <w:pPr>
        <w:ind w:left="720" w:hanging="360"/>
      </w:pPr>
      <w:rPr>
        <w:rFonts w:hint="default"/>
      </w:rPr>
    </w:lvl>
    <w:lvl w:ilvl="1">
      <w:start w:val="4"/>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144314C7"/>
    <w:multiLevelType w:val="hybridMultilevel"/>
    <w:tmpl w:val="B2E2356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967DD2"/>
    <w:multiLevelType w:val="hybridMultilevel"/>
    <w:tmpl w:val="1586027E"/>
    <w:lvl w:ilvl="0" w:tplc="E96ED2EA">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22" w15:restartNumberingAfterBreak="0">
    <w:nsid w:val="167A77B0"/>
    <w:multiLevelType w:val="hybridMultilevel"/>
    <w:tmpl w:val="0D8AA23A"/>
    <w:lvl w:ilvl="0" w:tplc="19F88068">
      <w:start w:val="1"/>
      <w:numFmt w:val="bullet"/>
      <w:lvlText w:val=""/>
      <w:lvlJc w:val="left"/>
      <w:pPr>
        <w:ind w:left="720" w:hanging="360"/>
      </w:pPr>
      <w:rPr>
        <w:rFonts w:ascii="Symbol" w:hAnsi="Symbol" w:hint="default"/>
        <w:b w:val="0"/>
        <w:color w:val="57825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84C4892"/>
    <w:multiLevelType w:val="hybridMultilevel"/>
    <w:tmpl w:val="BBF06EE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89956A0"/>
    <w:multiLevelType w:val="hybridMultilevel"/>
    <w:tmpl w:val="075CAC38"/>
    <w:lvl w:ilvl="0" w:tplc="19F88068">
      <w:start w:val="1"/>
      <w:numFmt w:val="bullet"/>
      <w:lvlText w:val=""/>
      <w:lvlJc w:val="left"/>
      <w:pPr>
        <w:ind w:left="720" w:hanging="360"/>
      </w:pPr>
      <w:rPr>
        <w:rFonts w:ascii="Symbol" w:hAnsi="Symbol" w:hint="default"/>
        <w:b w:val="0"/>
        <w:color w:val="57825E"/>
      </w:rPr>
    </w:lvl>
    <w:lvl w:ilvl="1" w:tplc="815C4ED2">
      <w:start w:val="1"/>
      <w:numFmt w:val="bullet"/>
      <w:lvlText w:val="o"/>
      <w:lvlJc w:val="left"/>
      <w:pPr>
        <w:ind w:left="1069" w:hanging="360"/>
      </w:pPr>
      <w:rPr>
        <w:rFonts w:ascii="Courier New" w:hAnsi="Courier New" w:cs="Courier New" w:hint="default"/>
        <w:color w:val="F07E31"/>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9A46A7C"/>
    <w:multiLevelType w:val="hybridMultilevel"/>
    <w:tmpl w:val="D2F8EEE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49295C"/>
    <w:multiLevelType w:val="hybridMultilevel"/>
    <w:tmpl w:val="586CBF1C"/>
    <w:lvl w:ilvl="0" w:tplc="1756B346">
      <w:start w:val="1"/>
      <w:numFmt w:val="lowerLetter"/>
      <w:lvlText w:val="%1)"/>
      <w:lvlJc w:val="left"/>
      <w:pPr>
        <w:ind w:left="720" w:hanging="360"/>
      </w:pPr>
      <w:rPr>
        <w:rFonts w:ascii="Arial" w:hAnsi="Arial" w:cs="Aria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1BC16E8F"/>
    <w:multiLevelType w:val="hybridMultilevel"/>
    <w:tmpl w:val="50BCC1DE"/>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1C122640"/>
    <w:multiLevelType w:val="hybridMultilevel"/>
    <w:tmpl w:val="D8061F8E"/>
    <w:lvl w:ilvl="0" w:tplc="D676FD1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FFC000"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1DFC7981"/>
    <w:multiLevelType w:val="multilevel"/>
    <w:tmpl w:val="6DB8B70A"/>
    <w:lvl w:ilvl="0">
      <w:start w:val="1"/>
      <w:numFmt w:val="decimal"/>
      <w:lvlText w:val="%1"/>
      <w:lvlJc w:val="left"/>
      <w:pPr>
        <w:ind w:left="432" w:hanging="432"/>
      </w:p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209659D1"/>
    <w:multiLevelType w:val="hybridMultilevel"/>
    <w:tmpl w:val="065A176A"/>
    <w:styleLink w:val="MaListe11"/>
    <w:lvl w:ilvl="0" w:tplc="3CF4E314">
      <w:numFmt w:val="bullet"/>
      <w:lvlText w:val="-"/>
      <w:lvlJc w:val="left"/>
      <w:pPr>
        <w:ind w:left="360" w:hanging="360"/>
      </w:pPr>
      <w:rPr>
        <w:rFonts w:ascii="Arial" w:eastAsia="Times New Roman" w:hAnsi="Arial" w:cs="Arial" w:hint="default"/>
        <w:color w:val="373737"/>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253E7F11"/>
    <w:multiLevelType w:val="hybridMultilevel"/>
    <w:tmpl w:val="B5588146"/>
    <w:lvl w:ilvl="0" w:tplc="32DC940A">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3" w15:restartNumberingAfterBreak="0">
    <w:nsid w:val="25BB2DAE"/>
    <w:multiLevelType w:val="hybridMultilevel"/>
    <w:tmpl w:val="2E5E2F7C"/>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624918"/>
    <w:multiLevelType w:val="hybridMultilevel"/>
    <w:tmpl w:val="28CC8C46"/>
    <w:lvl w:ilvl="0" w:tplc="D682C35C">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704C1E"/>
    <w:multiLevelType w:val="hybridMultilevel"/>
    <w:tmpl w:val="DD103524"/>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000000"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7465188"/>
    <w:multiLevelType w:val="hybridMultilevel"/>
    <w:tmpl w:val="FFAE6D38"/>
    <w:styleLink w:val="MaListe2"/>
    <w:lvl w:ilvl="0" w:tplc="EC10AAAC">
      <w:start w:val="1"/>
      <w:numFmt w:val="bullet"/>
      <w:lvlText w:val=""/>
      <w:lvlJc w:val="left"/>
      <w:pPr>
        <w:ind w:left="360" w:hanging="360"/>
      </w:pPr>
      <w:rPr>
        <w:rFonts w:ascii="Symbol" w:hAnsi="Symbol"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86A11E0"/>
    <w:multiLevelType w:val="hybridMultilevel"/>
    <w:tmpl w:val="A516C7C8"/>
    <w:lvl w:ilvl="0" w:tplc="19F88068">
      <w:start w:val="1"/>
      <w:numFmt w:val="bullet"/>
      <w:lvlText w:val=""/>
      <w:lvlJc w:val="left"/>
      <w:pPr>
        <w:ind w:left="928" w:hanging="360"/>
      </w:pPr>
      <w:rPr>
        <w:rFonts w:ascii="Symbol" w:hAnsi="Symbol" w:hint="default"/>
        <w:b w:val="0"/>
        <w:color w:val="57825E"/>
      </w:rPr>
    </w:lvl>
    <w:lvl w:ilvl="1" w:tplc="041B0003" w:tentative="1">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40" w15:restartNumberingAfterBreak="0">
    <w:nsid w:val="2894707C"/>
    <w:multiLevelType w:val="hybridMultilevel"/>
    <w:tmpl w:val="376ED63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3D77C8"/>
    <w:multiLevelType w:val="hybridMultilevel"/>
    <w:tmpl w:val="5D5AC50E"/>
    <w:lvl w:ilvl="0" w:tplc="451CA430">
      <w:start w:val="1"/>
      <w:numFmt w:val="bullet"/>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2E1F1718"/>
    <w:multiLevelType w:val="multilevel"/>
    <w:tmpl w:val="9E6E523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2F837949"/>
    <w:multiLevelType w:val="hybridMultilevel"/>
    <w:tmpl w:val="7A5EC86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08C2F18"/>
    <w:multiLevelType w:val="hybridMultilevel"/>
    <w:tmpl w:val="5D4A425A"/>
    <w:lvl w:ilvl="0" w:tplc="FC4A4DC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10547BD"/>
    <w:multiLevelType w:val="hybridMultilevel"/>
    <w:tmpl w:val="5628C4EC"/>
    <w:styleLink w:val="MaListe1"/>
    <w:lvl w:ilvl="0" w:tplc="222EA85A">
      <w:start w:val="1"/>
      <w:numFmt w:val="decimal"/>
      <w:pStyle w:val="HHeadingfigures"/>
      <w:lvlText w:val="Figure %1."/>
      <w:lvlJc w:val="left"/>
      <w:pPr>
        <w:tabs>
          <w:tab w:val="num" w:pos="964"/>
        </w:tabs>
        <w:ind w:left="964" w:hanging="964"/>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31AA784A"/>
    <w:multiLevelType w:val="hybridMultilevel"/>
    <w:tmpl w:val="73A0446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ED1ACE"/>
    <w:multiLevelType w:val="hybridMultilevel"/>
    <w:tmpl w:val="CD6645CA"/>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38D68EF"/>
    <w:multiLevelType w:val="hybridMultilevel"/>
    <w:tmpl w:val="D58C00F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39508B9"/>
    <w:multiLevelType w:val="hybridMultilevel"/>
    <w:tmpl w:val="93EC56A0"/>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E063E2"/>
    <w:multiLevelType w:val="hybridMultilevel"/>
    <w:tmpl w:val="353CA438"/>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2" w15:restartNumberingAfterBreak="0">
    <w:nsid w:val="35820841"/>
    <w:multiLevelType w:val="hybridMultilevel"/>
    <w:tmpl w:val="57B299EE"/>
    <w:lvl w:ilvl="0" w:tplc="041B0015">
      <w:start w:val="1"/>
      <w:numFmt w:val="upp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35B17A51"/>
    <w:multiLevelType w:val="hybridMultilevel"/>
    <w:tmpl w:val="B5260C7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B97E50"/>
    <w:multiLevelType w:val="hybridMultilevel"/>
    <w:tmpl w:val="B53AFBD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38F839AF"/>
    <w:multiLevelType w:val="hybridMultilevel"/>
    <w:tmpl w:val="9332567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3B9D32B5"/>
    <w:multiLevelType w:val="hybridMultilevel"/>
    <w:tmpl w:val="55D2D8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1018AE8C">
      <w:start w:val="1"/>
      <w:numFmt w:val="bullet"/>
      <w:lvlText w:val="o"/>
      <w:lvlJc w:val="left"/>
      <w:pPr>
        <w:ind w:left="1211" w:hanging="360"/>
      </w:pPr>
      <w:rPr>
        <w:rFonts w:ascii="Courier New" w:hAnsi="Courier New" w:hint="default"/>
        <w:b w:val="0"/>
        <w:color w:val="6F6F6F"/>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BBC6932"/>
    <w:multiLevelType w:val="hybridMultilevel"/>
    <w:tmpl w:val="A32A14BE"/>
    <w:lvl w:ilvl="0" w:tplc="58228422">
      <w:start w:val="1"/>
      <w:numFmt w:val="bullet"/>
      <w:pStyle w:val="Hlistbullet"/>
      <w:lvlText w:val=""/>
      <w:lvlJc w:val="left"/>
      <w:pPr>
        <w:ind w:left="644"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E4069F6"/>
    <w:multiLevelType w:val="hybridMultilevel"/>
    <w:tmpl w:val="9A58CBF8"/>
    <w:lvl w:ilvl="0" w:tplc="080C000F">
      <w:start w:val="1"/>
      <w:numFmt w:val="decimal"/>
      <w:lvlText w:val="%1."/>
      <w:lvlJc w:val="left"/>
      <w:pPr>
        <w:tabs>
          <w:tab w:val="num" w:pos="644"/>
        </w:tabs>
        <w:ind w:left="567"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E8777F1"/>
    <w:multiLevelType w:val="hybridMultilevel"/>
    <w:tmpl w:val="7B8418E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FE60C9C"/>
    <w:multiLevelType w:val="hybridMultilevel"/>
    <w:tmpl w:val="C614772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0DB5C2A"/>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41133071"/>
    <w:multiLevelType w:val="hybridMultilevel"/>
    <w:tmpl w:val="8AA2E132"/>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42A74F4C"/>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43A72027"/>
    <w:multiLevelType w:val="hybridMultilevel"/>
    <w:tmpl w:val="0D5013A6"/>
    <w:lvl w:ilvl="0" w:tplc="D592D73E">
      <w:start w:val="1"/>
      <w:numFmt w:val="decimal"/>
      <w:pStyle w:val="HHeadingtables"/>
      <w:lvlText w:val="Tabel %1."/>
      <w:lvlJc w:val="left"/>
      <w:pPr>
        <w:ind w:left="360" w:hanging="360"/>
      </w:pPr>
      <w:rPr>
        <w:rFonts w:ascii="Arial" w:hAnsi="Arial" w:cs="Times New Roman" w:hint="default"/>
        <w:b/>
        <w:bCs w:val="0"/>
        <w:i w:val="0"/>
        <w:iCs w:val="0"/>
        <w:caps w:val="0"/>
        <w:smallCaps w:val="0"/>
        <w:strike w:val="0"/>
        <w:dstrike w:val="0"/>
        <w:outline w:val="0"/>
        <w:shadow w:val="0"/>
        <w:emboss w:val="0"/>
        <w:imprint w:val="0"/>
        <w:noProof w:val="0"/>
        <w:vanish w:val="0"/>
        <w:color w:val="6F6F6F"/>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440E0359"/>
    <w:multiLevelType w:val="hybridMultilevel"/>
    <w:tmpl w:val="5AD0635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46D44EA"/>
    <w:multiLevelType w:val="hybridMultilevel"/>
    <w:tmpl w:val="C306574C"/>
    <w:lvl w:ilvl="0" w:tplc="9ACAE082">
      <w:start w:val="1"/>
      <w:numFmt w:val="bullet"/>
      <w:lvlText w:val=""/>
      <w:lvlJc w:val="left"/>
      <w:pPr>
        <w:ind w:left="720" w:hanging="360"/>
      </w:pPr>
      <w:rPr>
        <w:rFonts w:ascii="Symbol" w:hAnsi="Symbol" w:hint="default"/>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45C7219B"/>
    <w:multiLevelType w:val="hybridMultilevel"/>
    <w:tmpl w:val="056C6044"/>
    <w:lvl w:ilvl="0" w:tplc="19F88068">
      <w:start w:val="1"/>
      <w:numFmt w:val="bullet"/>
      <w:lvlText w:val=""/>
      <w:lvlJc w:val="left"/>
      <w:pPr>
        <w:ind w:left="233" w:hanging="360"/>
      </w:pPr>
      <w:rPr>
        <w:rFonts w:ascii="Symbol" w:hAnsi="Symbol" w:hint="default"/>
        <w:b w:val="0"/>
        <w:color w:val="57825E"/>
      </w:rPr>
    </w:lvl>
    <w:lvl w:ilvl="1" w:tplc="0C0A0003">
      <w:start w:val="1"/>
      <w:numFmt w:val="bullet"/>
      <w:lvlText w:val="o"/>
      <w:lvlJc w:val="left"/>
      <w:pPr>
        <w:ind w:left="1029" w:hanging="360"/>
      </w:pPr>
      <w:rPr>
        <w:rFonts w:ascii="Courier New" w:hAnsi="Courier New" w:cs="Courier New" w:hint="default"/>
      </w:rPr>
    </w:lvl>
    <w:lvl w:ilvl="2" w:tplc="0C0A0005" w:tentative="1">
      <w:start w:val="1"/>
      <w:numFmt w:val="bullet"/>
      <w:lvlText w:val=""/>
      <w:lvlJc w:val="left"/>
      <w:pPr>
        <w:ind w:left="1749" w:hanging="360"/>
      </w:pPr>
      <w:rPr>
        <w:rFonts w:ascii="Wingdings" w:hAnsi="Wingdings" w:hint="default"/>
      </w:rPr>
    </w:lvl>
    <w:lvl w:ilvl="3" w:tplc="0C0A0001" w:tentative="1">
      <w:start w:val="1"/>
      <w:numFmt w:val="bullet"/>
      <w:lvlText w:val=""/>
      <w:lvlJc w:val="left"/>
      <w:pPr>
        <w:ind w:left="2469" w:hanging="360"/>
      </w:pPr>
      <w:rPr>
        <w:rFonts w:ascii="Symbol" w:hAnsi="Symbol" w:hint="default"/>
      </w:rPr>
    </w:lvl>
    <w:lvl w:ilvl="4" w:tplc="0C0A0003" w:tentative="1">
      <w:start w:val="1"/>
      <w:numFmt w:val="bullet"/>
      <w:lvlText w:val="o"/>
      <w:lvlJc w:val="left"/>
      <w:pPr>
        <w:ind w:left="3189" w:hanging="360"/>
      </w:pPr>
      <w:rPr>
        <w:rFonts w:ascii="Courier New" w:hAnsi="Courier New" w:cs="Courier New" w:hint="default"/>
      </w:rPr>
    </w:lvl>
    <w:lvl w:ilvl="5" w:tplc="0C0A0005" w:tentative="1">
      <w:start w:val="1"/>
      <w:numFmt w:val="bullet"/>
      <w:lvlText w:val=""/>
      <w:lvlJc w:val="left"/>
      <w:pPr>
        <w:ind w:left="3909" w:hanging="360"/>
      </w:pPr>
      <w:rPr>
        <w:rFonts w:ascii="Wingdings" w:hAnsi="Wingdings" w:hint="default"/>
      </w:rPr>
    </w:lvl>
    <w:lvl w:ilvl="6" w:tplc="0C0A0001" w:tentative="1">
      <w:start w:val="1"/>
      <w:numFmt w:val="bullet"/>
      <w:lvlText w:val=""/>
      <w:lvlJc w:val="left"/>
      <w:pPr>
        <w:ind w:left="4629" w:hanging="360"/>
      </w:pPr>
      <w:rPr>
        <w:rFonts w:ascii="Symbol" w:hAnsi="Symbol" w:hint="default"/>
      </w:rPr>
    </w:lvl>
    <w:lvl w:ilvl="7" w:tplc="0C0A0003" w:tentative="1">
      <w:start w:val="1"/>
      <w:numFmt w:val="bullet"/>
      <w:lvlText w:val="o"/>
      <w:lvlJc w:val="left"/>
      <w:pPr>
        <w:ind w:left="5349" w:hanging="360"/>
      </w:pPr>
      <w:rPr>
        <w:rFonts w:ascii="Courier New" w:hAnsi="Courier New" w:cs="Courier New" w:hint="default"/>
      </w:rPr>
    </w:lvl>
    <w:lvl w:ilvl="8" w:tplc="0C0A0005" w:tentative="1">
      <w:start w:val="1"/>
      <w:numFmt w:val="bullet"/>
      <w:lvlText w:val=""/>
      <w:lvlJc w:val="left"/>
      <w:pPr>
        <w:ind w:left="6069" w:hanging="360"/>
      </w:pPr>
      <w:rPr>
        <w:rFonts w:ascii="Wingdings" w:hAnsi="Wingdings" w:hint="default"/>
      </w:rPr>
    </w:lvl>
  </w:abstractNum>
  <w:abstractNum w:abstractNumId="68" w15:restartNumberingAfterBreak="0">
    <w:nsid w:val="47321CEC"/>
    <w:multiLevelType w:val="hybridMultilevel"/>
    <w:tmpl w:val="67A48DD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7486776"/>
    <w:multiLevelType w:val="hybridMultilevel"/>
    <w:tmpl w:val="E6D404F4"/>
    <w:styleLink w:val="1111111"/>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7F8294A"/>
    <w:multiLevelType w:val="hybridMultilevel"/>
    <w:tmpl w:val="C256F138"/>
    <w:lvl w:ilvl="0" w:tplc="080C000F">
      <w:start w:val="1"/>
      <w:numFmt w:val="decimal"/>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49224E69"/>
    <w:multiLevelType w:val="hybridMultilevel"/>
    <w:tmpl w:val="6998647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4A990DBB"/>
    <w:multiLevelType w:val="hybridMultilevel"/>
    <w:tmpl w:val="2BACE0C6"/>
    <w:lvl w:ilvl="0" w:tplc="8B1EA1A2">
      <w:start w:val="2"/>
      <w:numFmt w:val="decimal"/>
      <w:lvlText w:val="Figure %1"/>
      <w:lvlJc w:val="left"/>
      <w:pPr>
        <w:ind w:left="360"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73" w15:restartNumberingAfterBreak="0">
    <w:nsid w:val="4C06418D"/>
    <w:multiLevelType w:val="hybridMultilevel"/>
    <w:tmpl w:val="092C4B7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C663347"/>
    <w:multiLevelType w:val="hybridMultilevel"/>
    <w:tmpl w:val="35F8E64E"/>
    <w:lvl w:ilvl="0" w:tplc="9FF4DBA8">
      <w:start w:val="1"/>
      <w:numFmt w:val="bullet"/>
      <w:pStyle w:val="Hlistbullet2"/>
      <w:lvlText w:val="o"/>
      <w:lvlJc w:val="left"/>
      <w:pPr>
        <w:ind w:left="927" w:hanging="360"/>
      </w:pPr>
      <w:rPr>
        <w:rFonts w:ascii="Courier New" w:hAnsi="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E666CB3"/>
    <w:multiLevelType w:val="hybridMultilevel"/>
    <w:tmpl w:val="C88642F4"/>
    <w:lvl w:ilvl="0" w:tplc="04F8FAD0">
      <w:start w:val="1"/>
      <w:numFmt w:val="bullet"/>
      <w:lvlText w:val=""/>
      <w:lvlJc w:val="left"/>
      <w:pPr>
        <w:ind w:left="720" w:hanging="360"/>
      </w:pPr>
      <w:rPr>
        <w:rFonts w:ascii="Symbol" w:hAnsi="Symbol" w:hint="default"/>
        <w:color w:val="57825E"/>
      </w:rPr>
    </w:lvl>
    <w:lvl w:ilvl="1" w:tplc="1BBC3D0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3B45F1E"/>
    <w:multiLevelType w:val="hybridMultilevel"/>
    <w:tmpl w:val="7496236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3B9325D"/>
    <w:multiLevelType w:val="hybridMultilevel"/>
    <w:tmpl w:val="3F7CF02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49766DA"/>
    <w:multiLevelType w:val="hybridMultilevel"/>
    <w:tmpl w:val="2BD858C0"/>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15:restartNumberingAfterBreak="0">
    <w:nsid w:val="54A9135C"/>
    <w:multiLevelType w:val="hybridMultilevel"/>
    <w:tmpl w:val="FC12F41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4BD0BEC"/>
    <w:multiLevelType w:val="singleLevel"/>
    <w:tmpl w:val="72D6F376"/>
    <w:lvl w:ilvl="0">
      <w:numFmt w:val="decimal"/>
      <w:lvlText w:val=""/>
      <w:lvlJc w:val="left"/>
    </w:lvl>
  </w:abstractNum>
  <w:abstractNum w:abstractNumId="81" w15:restartNumberingAfterBreak="0">
    <w:nsid w:val="54E945CD"/>
    <w:multiLevelType w:val="hybridMultilevel"/>
    <w:tmpl w:val="1D92E8BE"/>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502047D"/>
    <w:multiLevelType w:val="hybridMultilevel"/>
    <w:tmpl w:val="AEC89BBC"/>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54873BA"/>
    <w:multiLevelType w:val="hybridMultilevel"/>
    <w:tmpl w:val="C9D69012"/>
    <w:lvl w:ilvl="0" w:tplc="D370F804">
      <w:start w:val="1"/>
      <w:numFmt w:val="bullet"/>
      <w:lvlText w:val=""/>
      <w:lvlJc w:val="left"/>
      <w:pPr>
        <w:ind w:left="786"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70E03BF"/>
    <w:multiLevelType w:val="hybridMultilevel"/>
    <w:tmpl w:val="D428C23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800382B"/>
    <w:multiLevelType w:val="hybridMultilevel"/>
    <w:tmpl w:val="10D8A58A"/>
    <w:lvl w:ilvl="0" w:tplc="9DFAE80C">
      <w:start w:val="1"/>
      <w:numFmt w:val="decimal"/>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86" w15:restartNumberingAfterBreak="0">
    <w:nsid w:val="58B972A6"/>
    <w:multiLevelType w:val="multilevel"/>
    <w:tmpl w:val="97A0497A"/>
    <w:lvl w:ilvl="0">
      <w:start w:val="1"/>
      <w:numFmt w:val="decimal"/>
      <w:lvlText w:val="%1"/>
      <w:lvlJc w:val="left"/>
      <w:pPr>
        <w:tabs>
          <w:tab w:val="num" w:pos="474"/>
        </w:tabs>
        <w:ind w:left="262" w:hanging="148"/>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7" w15:restartNumberingAfterBreak="0">
    <w:nsid w:val="596C4FB4"/>
    <w:multiLevelType w:val="hybridMultilevel"/>
    <w:tmpl w:val="0E006A16"/>
    <w:lvl w:ilvl="0" w:tplc="3DC41A04">
      <w:start w:val="1"/>
      <w:numFmt w:val="bullet"/>
      <w:lvlText w:val="o"/>
      <w:lvlJc w:val="left"/>
      <w:pPr>
        <w:ind w:left="1346" w:hanging="360"/>
      </w:pPr>
      <w:rPr>
        <w:rFonts w:ascii="Courier New" w:hAnsi="Courier New" w:hint="default"/>
        <w:color w:val="6F6F6F"/>
      </w:rPr>
    </w:lvl>
    <w:lvl w:ilvl="1" w:tplc="041B0003" w:tentative="1">
      <w:start w:val="1"/>
      <w:numFmt w:val="bullet"/>
      <w:lvlText w:val="o"/>
      <w:lvlJc w:val="left"/>
      <w:pPr>
        <w:ind w:left="2066" w:hanging="360"/>
      </w:pPr>
      <w:rPr>
        <w:rFonts w:ascii="Courier New" w:hAnsi="Courier New" w:cs="Courier New" w:hint="default"/>
      </w:rPr>
    </w:lvl>
    <w:lvl w:ilvl="2" w:tplc="041B0005" w:tentative="1">
      <w:start w:val="1"/>
      <w:numFmt w:val="bullet"/>
      <w:lvlText w:val=""/>
      <w:lvlJc w:val="left"/>
      <w:pPr>
        <w:ind w:left="2786" w:hanging="360"/>
      </w:pPr>
      <w:rPr>
        <w:rFonts w:ascii="Wingdings" w:hAnsi="Wingdings" w:hint="default"/>
      </w:rPr>
    </w:lvl>
    <w:lvl w:ilvl="3" w:tplc="041B0001" w:tentative="1">
      <w:start w:val="1"/>
      <w:numFmt w:val="bullet"/>
      <w:lvlText w:val=""/>
      <w:lvlJc w:val="left"/>
      <w:pPr>
        <w:ind w:left="3506" w:hanging="360"/>
      </w:pPr>
      <w:rPr>
        <w:rFonts w:ascii="Symbol" w:hAnsi="Symbol" w:hint="default"/>
      </w:rPr>
    </w:lvl>
    <w:lvl w:ilvl="4" w:tplc="041B0003" w:tentative="1">
      <w:start w:val="1"/>
      <w:numFmt w:val="bullet"/>
      <w:lvlText w:val="o"/>
      <w:lvlJc w:val="left"/>
      <w:pPr>
        <w:ind w:left="4226" w:hanging="360"/>
      </w:pPr>
      <w:rPr>
        <w:rFonts w:ascii="Courier New" w:hAnsi="Courier New" w:cs="Courier New" w:hint="default"/>
      </w:rPr>
    </w:lvl>
    <w:lvl w:ilvl="5" w:tplc="041B0005" w:tentative="1">
      <w:start w:val="1"/>
      <w:numFmt w:val="bullet"/>
      <w:lvlText w:val=""/>
      <w:lvlJc w:val="left"/>
      <w:pPr>
        <w:ind w:left="4946" w:hanging="360"/>
      </w:pPr>
      <w:rPr>
        <w:rFonts w:ascii="Wingdings" w:hAnsi="Wingdings" w:hint="default"/>
      </w:rPr>
    </w:lvl>
    <w:lvl w:ilvl="6" w:tplc="041B0001" w:tentative="1">
      <w:start w:val="1"/>
      <w:numFmt w:val="bullet"/>
      <w:lvlText w:val=""/>
      <w:lvlJc w:val="left"/>
      <w:pPr>
        <w:ind w:left="5666" w:hanging="360"/>
      </w:pPr>
      <w:rPr>
        <w:rFonts w:ascii="Symbol" w:hAnsi="Symbol" w:hint="default"/>
      </w:rPr>
    </w:lvl>
    <w:lvl w:ilvl="7" w:tplc="041B0003" w:tentative="1">
      <w:start w:val="1"/>
      <w:numFmt w:val="bullet"/>
      <w:lvlText w:val="o"/>
      <w:lvlJc w:val="left"/>
      <w:pPr>
        <w:ind w:left="6386" w:hanging="360"/>
      </w:pPr>
      <w:rPr>
        <w:rFonts w:ascii="Courier New" w:hAnsi="Courier New" w:cs="Courier New" w:hint="default"/>
      </w:rPr>
    </w:lvl>
    <w:lvl w:ilvl="8" w:tplc="041B0005" w:tentative="1">
      <w:start w:val="1"/>
      <w:numFmt w:val="bullet"/>
      <w:lvlText w:val=""/>
      <w:lvlJc w:val="left"/>
      <w:pPr>
        <w:ind w:left="7106" w:hanging="360"/>
      </w:pPr>
      <w:rPr>
        <w:rFonts w:ascii="Wingdings" w:hAnsi="Wingdings" w:hint="default"/>
      </w:rPr>
    </w:lvl>
  </w:abstractNum>
  <w:abstractNum w:abstractNumId="88" w15:restartNumberingAfterBreak="0">
    <w:nsid w:val="5B534780"/>
    <w:multiLevelType w:val="hybridMultilevel"/>
    <w:tmpl w:val="6B143708"/>
    <w:lvl w:ilvl="0" w:tplc="856277F8">
      <w:start w:val="1"/>
      <w:numFmt w:val="bullet"/>
      <w:lvlText w:val=""/>
      <w:lvlJc w:val="left"/>
      <w:pPr>
        <w:ind w:left="720" w:hanging="360"/>
      </w:pPr>
      <w:rPr>
        <w:rFonts w:ascii="Symbol" w:hAnsi="Symbol" w:hint="default"/>
        <w:color w:val="57825E"/>
        <w:sz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5B94771E"/>
    <w:multiLevelType w:val="hybridMultilevel"/>
    <w:tmpl w:val="F4A049B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BB74C2B"/>
    <w:multiLevelType w:val="hybridMultilevel"/>
    <w:tmpl w:val="972E6AD0"/>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D7E6AE3"/>
    <w:multiLevelType w:val="hybridMultilevel"/>
    <w:tmpl w:val="A1164C12"/>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F79730C"/>
    <w:multiLevelType w:val="hybridMultilevel"/>
    <w:tmpl w:val="F9D6390A"/>
    <w:lvl w:ilvl="0" w:tplc="0E4CE200">
      <w:start w:val="1"/>
      <w:numFmt w:val="decimal"/>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60D46F84"/>
    <w:multiLevelType w:val="hybridMultilevel"/>
    <w:tmpl w:val="FA229D98"/>
    <w:lvl w:ilvl="0" w:tplc="19F88068">
      <w:start w:val="1"/>
      <w:numFmt w:val="bullet"/>
      <w:lvlText w:val=""/>
      <w:lvlJc w:val="left"/>
      <w:pPr>
        <w:ind w:left="720" w:hanging="360"/>
      </w:pPr>
      <w:rPr>
        <w:rFonts w:ascii="Symbol" w:hAnsi="Symbol" w:hint="default"/>
        <w:b w:val="0"/>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60E6226F"/>
    <w:multiLevelType w:val="hybridMultilevel"/>
    <w:tmpl w:val="12D03418"/>
    <w:lvl w:ilvl="0" w:tplc="D370F804">
      <w:start w:val="1"/>
      <w:numFmt w:val="bullet"/>
      <w:lvlText w:val=""/>
      <w:lvlJc w:val="left"/>
      <w:pPr>
        <w:ind w:left="720" w:hanging="360"/>
      </w:pPr>
      <w:rPr>
        <w:rFonts w:ascii="Symbol" w:hAnsi="Symbol" w:hint="default"/>
        <w:color w:val="57825E"/>
      </w:rPr>
    </w:lvl>
    <w:lvl w:ilvl="1" w:tplc="8E2A8284">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0E86B2F"/>
    <w:multiLevelType w:val="hybridMultilevel"/>
    <w:tmpl w:val="4DC62D2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0F5675E"/>
    <w:multiLevelType w:val="hybridMultilevel"/>
    <w:tmpl w:val="CE2AA926"/>
    <w:lvl w:ilvl="0" w:tplc="9620B144">
      <w:start w:val="1"/>
      <w:numFmt w:val="decimal"/>
      <w:lvlText w:val="Figure %1."/>
      <w:lvlJc w:val="left"/>
      <w:pPr>
        <w:ind w:left="720" w:hanging="720"/>
      </w:pPr>
      <w:rPr>
        <w:rFonts w:ascii="Arial" w:hAnsi="Arial" w:cs="Arial" w:hint="default"/>
        <w:sz w:val="18"/>
        <w:szCs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7" w15:restartNumberingAfterBreak="0">
    <w:nsid w:val="614B4869"/>
    <w:multiLevelType w:val="hybridMultilevel"/>
    <w:tmpl w:val="94D06336"/>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5C0517A"/>
    <w:multiLevelType w:val="hybridMultilevel"/>
    <w:tmpl w:val="DFE01904"/>
    <w:lvl w:ilvl="0" w:tplc="856277F8">
      <w:start w:val="1"/>
      <w:numFmt w:val="bullet"/>
      <w:lvlText w:val=""/>
      <w:lvlJc w:val="left"/>
      <w:pPr>
        <w:ind w:left="720" w:hanging="360"/>
      </w:pPr>
      <w:rPr>
        <w:rFonts w:ascii="Symbol" w:hAnsi="Symbol" w:hint="default"/>
        <w:b w:val="0"/>
        <w:color w:val="57825E"/>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5E42A7E"/>
    <w:multiLevelType w:val="hybridMultilevel"/>
    <w:tmpl w:val="9E92BDA6"/>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5E71B08"/>
    <w:multiLevelType w:val="hybridMultilevel"/>
    <w:tmpl w:val="500EB49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85A06D6"/>
    <w:multiLevelType w:val="hybridMultilevel"/>
    <w:tmpl w:val="74C2C470"/>
    <w:lvl w:ilvl="0" w:tplc="8F4488EC">
      <w:start w:val="1"/>
      <w:numFmt w:val="decimal"/>
      <w:lvlText w:val="3.1.%1."/>
      <w:lvlJc w:val="left"/>
      <w:pPr>
        <w:ind w:left="-351" w:hanging="360"/>
      </w:pPr>
      <w:rPr>
        <w:rFonts w:hint="default"/>
      </w:rPr>
    </w:lvl>
    <w:lvl w:ilvl="1" w:tplc="040C0019" w:tentative="1">
      <w:start w:val="1"/>
      <w:numFmt w:val="lowerLetter"/>
      <w:lvlText w:val="%2."/>
      <w:lvlJc w:val="left"/>
      <w:pPr>
        <w:ind w:left="369" w:hanging="360"/>
      </w:pPr>
    </w:lvl>
    <w:lvl w:ilvl="2" w:tplc="040C001B" w:tentative="1">
      <w:start w:val="1"/>
      <w:numFmt w:val="lowerRoman"/>
      <w:lvlText w:val="%3."/>
      <w:lvlJc w:val="right"/>
      <w:pPr>
        <w:ind w:left="1089" w:hanging="180"/>
      </w:pPr>
    </w:lvl>
    <w:lvl w:ilvl="3" w:tplc="040C000F" w:tentative="1">
      <w:start w:val="1"/>
      <w:numFmt w:val="decimal"/>
      <w:lvlText w:val="%4."/>
      <w:lvlJc w:val="left"/>
      <w:pPr>
        <w:ind w:left="1809" w:hanging="360"/>
      </w:pPr>
    </w:lvl>
    <w:lvl w:ilvl="4" w:tplc="040C0019" w:tentative="1">
      <w:start w:val="1"/>
      <w:numFmt w:val="lowerLetter"/>
      <w:lvlText w:val="%5."/>
      <w:lvlJc w:val="left"/>
      <w:pPr>
        <w:ind w:left="2529" w:hanging="360"/>
      </w:pPr>
    </w:lvl>
    <w:lvl w:ilvl="5" w:tplc="040C001B" w:tentative="1">
      <w:start w:val="1"/>
      <w:numFmt w:val="lowerRoman"/>
      <w:lvlText w:val="%6."/>
      <w:lvlJc w:val="right"/>
      <w:pPr>
        <w:ind w:left="3249" w:hanging="180"/>
      </w:pPr>
    </w:lvl>
    <w:lvl w:ilvl="6" w:tplc="040C000F" w:tentative="1">
      <w:start w:val="1"/>
      <w:numFmt w:val="decimal"/>
      <w:lvlText w:val="%7."/>
      <w:lvlJc w:val="left"/>
      <w:pPr>
        <w:ind w:left="3969" w:hanging="360"/>
      </w:pPr>
    </w:lvl>
    <w:lvl w:ilvl="7" w:tplc="040C0019" w:tentative="1">
      <w:start w:val="1"/>
      <w:numFmt w:val="lowerLetter"/>
      <w:lvlText w:val="%8."/>
      <w:lvlJc w:val="left"/>
      <w:pPr>
        <w:ind w:left="4689" w:hanging="360"/>
      </w:pPr>
    </w:lvl>
    <w:lvl w:ilvl="8" w:tplc="040C001B" w:tentative="1">
      <w:start w:val="1"/>
      <w:numFmt w:val="lowerRoman"/>
      <w:lvlText w:val="%9."/>
      <w:lvlJc w:val="right"/>
      <w:pPr>
        <w:ind w:left="5409" w:hanging="180"/>
      </w:pPr>
    </w:lvl>
  </w:abstractNum>
  <w:abstractNum w:abstractNumId="102"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3" w15:restartNumberingAfterBreak="0">
    <w:nsid w:val="6A8414DE"/>
    <w:multiLevelType w:val="hybridMultilevel"/>
    <w:tmpl w:val="42EA82F8"/>
    <w:lvl w:ilvl="0" w:tplc="04F8FAD0">
      <w:start w:val="1"/>
      <w:numFmt w:val="bullet"/>
      <w:lvlText w:val=""/>
      <w:lvlJc w:val="left"/>
      <w:pPr>
        <w:ind w:left="720" w:hanging="360"/>
      </w:pPr>
      <w:rPr>
        <w:rFonts w:ascii="Symbol" w:hAnsi="Symbol" w:hint="default"/>
        <w:color w:val="57825E"/>
      </w:rPr>
    </w:lvl>
    <w:lvl w:ilvl="1" w:tplc="C6727AD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AF80D1A"/>
    <w:multiLevelType w:val="hybridMultilevel"/>
    <w:tmpl w:val="C3063384"/>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B8649F6"/>
    <w:multiLevelType w:val="hybridMultilevel"/>
    <w:tmpl w:val="3DA2C9EA"/>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EB7292D"/>
    <w:multiLevelType w:val="hybridMultilevel"/>
    <w:tmpl w:val="40EAC38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70400FB1"/>
    <w:multiLevelType w:val="hybridMultilevel"/>
    <w:tmpl w:val="221E570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10476E0"/>
    <w:multiLevelType w:val="hybridMultilevel"/>
    <w:tmpl w:val="E078F38C"/>
    <w:lvl w:ilvl="0" w:tplc="056C506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15049D7"/>
    <w:multiLevelType w:val="hybridMultilevel"/>
    <w:tmpl w:val="E11C8244"/>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3E31B34"/>
    <w:multiLevelType w:val="hybridMultilevel"/>
    <w:tmpl w:val="BAEA5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19F88068">
      <w:start w:val="1"/>
      <w:numFmt w:val="bullet"/>
      <w:lvlText w:val=""/>
      <w:lvlJc w:val="left"/>
      <w:pPr>
        <w:ind w:left="644" w:hanging="360"/>
      </w:pPr>
      <w:rPr>
        <w:rFonts w:ascii="Symbol" w:hAnsi="Symbol" w:hint="default"/>
        <w:b w:val="0"/>
        <w:color w:val="57825E"/>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4DA29D5"/>
    <w:multiLevelType w:val="hybridMultilevel"/>
    <w:tmpl w:val="363622A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54F2AD8"/>
    <w:multiLevelType w:val="hybridMultilevel"/>
    <w:tmpl w:val="C14AB89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5B27B66"/>
    <w:multiLevelType w:val="hybridMultilevel"/>
    <w:tmpl w:val="A7FC041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73A35E5"/>
    <w:multiLevelType w:val="hybridMultilevel"/>
    <w:tmpl w:val="81725234"/>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95D33D3"/>
    <w:multiLevelType w:val="multilevel"/>
    <w:tmpl w:val="4C5A8196"/>
    <w:lvl w:ilvl="0">
      <w:start w:val="1"/>
      <w:numFmt w:val="decimal"/>
      <w:lvlText w:val="%1"/>
      <w:lvlJc w:val="left"/>
      <w:pPr>
        <w:tabs>
          <w:tab w:val="num" w:pos="474"/>
        </w:tabs>
        <w:ind w:left="262" w:hanging="148"/>
      </w:pPr>
      <w:rPr>
        <w:rFonts w:hint="default"/>
      </w:rPr>
    </w:lvl>
    <w:lvl w:ilvl="1">
      <w:start w:val="1"/>
      <w:numFmt w:val="decimal"/>
      <w:pStyle w:val="HHeading2"/>
      <w:lvlText w:val="%1.%2"/>
      <w:lvlJc w:val="left"/>
      <w:pPr>
        <w:tabs>
          <w:tab w:val="num" w:pos="567"/>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116" w15:restartNumberingAfterBreak="0">
    <w:nsid w:val="7B803FCC"/>
    <w:multiLevelType w:val="hybridMultilevel"/>
    <w:tmpl w:val="5156C62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C257008"/>
    <w:multiLevelType w:val="hybridMultilevel"/>
    <w:tmpl w:val="5B1A4896"/>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C3303CD"/>
    <w:multiLevelType w:val="hybridMultilevel"/>
    <w:tmpl w:val="DBC83430"/>
    <w:lvl w:ilvl="0" w:tplc="19F88068">
      <w:start w:val="1"/>
      <w:numFmt w:val="bullet"/>
      <w:lvlText w:val=""/>
      <w:lvlJc w:val="left"/>
      <w:pPr>
        <w:ind w:left="720" w:hanging="360"/>
      </w:pPr>
      <w:rPr>
        <w:rFonts w:ascii="Symbol" w:hAnsi="Symbol" w:hint="default"/>
        <w:b w:val="0"/>
        <w:color w:val="57825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E752836"/>
    <w:multiLevelType w:val="hybridMultilevel"/>
    <w:tmpl w:val="0FC8E3A2"/>
    <w:lvl w:ilvl="0" w:tplc="7A1AAC92">
      <w:start w:val="1"/>
      <w:numFmt w:val="bullet"/>
      <w:pStyle w:val="Htablebullet"/>
      <w:lvlText w:val=""/>
      <w:lvlJc w:val="left"/>
      <w:pPr>
        <w:ind w:left="360" w:hanging="360"/>
      </w:pPr>
      <w:rPr>
        <w:rFonts w:ascii="Symbol" w:hAnsi="Symbol" w:hint="default"/>
        <w:color w:val="57825E"/>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57"/>
  </w:num>
  <w:num w:numId="3">
    <w:abstractNumId w:val="70"/>
  </w:num>
  <w:num w:numId="4">
    <w:abstractNumId w:val="36"/>
  </w:num>
  <w:num w:numId="5">
    <w:abstractNumId w:val="119"/>
  </w:num>
  <w:num w:numId="6">
    <w:abstractNumId w:val="115"/>
  </w:num>
  <w:num w:numId="7">
    <w:abstractNumId w:val="64"/>
  </w:num>
  <w:num w:numId="8">
    <w:abstractNumId w:val="45"/>
    <w:lvlOverride w:ilvl="0">
      <w:lvl w:ilvl="0" w:tplc="222EA85A">
        <w:start w:val="1"/>
        <w:numFmt w:val="decimal"/>
        <w:pStyle w:val="HHeadingfigures"/>
        <w:lvlText w:val="Figuur %1."/>
        <w:lvlJc w:val="left"/>
        <w:pPr>
          <w:ind w:left="964" w:hanging="360"/>
        </w:pPr>
        <w:rPr>
          <w:rFonts w:ascii="Arial" w:hAnsi="Arial" w:hint="default"/>
          <w:b/>
          <w:bCs w:val="0"/>
          <w:i w:val="0"/>
          <w:iCs w:val="0"/>
          <w:caps w:val="0"/>
          <w:strike w:val="0"/>
          <w:dstrike w:val="0"/>
          <w:outline w:val="0"/>
          <w:shadow w:val="0"/>
          <w:emboss w:val="0"/>
          <w:imprint w:val="0"/>
          <w:vanish w:val="0"/>
          <w:color w:val="373737"/>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tplc="04070019" w:tentative="1">
        <w:start w:val="1"/>
        <w:numFmt w:val="lowerLetter"/>
        <w:lvlText w:val="%2."/>
        <w:lvlJc w:val="left"/>
        <w:pPr>
          <w:ind w:left="1684" w:hanging="360"/>
        </w:pPr>
      </w:lvl>
    </w:lvlOverride>
    <w:lvlOverride w:ilvl="2">
      <w:lvl w:ilvl="2" w:tplc="0407001B" w:tentative="1">
        <w:start w:val="1"/>
        <w:numFmt w:val="lowerRoman"/>
        <w:lvlText w:val="%3."/>
        <w:lvlJc w:val="right"/>
        <w:pPr>
          <w:ind w:left="2404" w:hanging="180"/>
        </w:pPr>
      </w:lvl>
    </w:lvlOverride>
    <w:lvlOverride w:ilvl="3">
      <w:lvl w:ilvl="3" w:tplc="0407000F" w:tentative="1">
        <w:start w:val="1"/>
        <w:numFmt w:val="decimal"/>
        <w:lvlText w:val="%4."/>
        <w:lvlJc w:val="left"/>
        <w:pPr>
          <w:ind w:left="3124" w:hanging="360"/>
        </w:pPr>
      </w:lvl>
    </w:lvlOverride>
    <w:lvlOverride w:ilvl="4">
      <w:lvl w:ilvl="4" w:tplc="04070019" w:tentative="1">
        <w:start w:val="1"/>
        <w:numFmt w:val="lowerLetter"/>
        <w:lvlText w:val="%5."/>
        <w:lvlJc w:val="left"/>
        <w:pPr>
          <w:ind w:left="3844" w:hanging="360"/>
        </w:pPr>
      </w:lvl>
    </w:lvlOverride>
    <w:lvlOverride w:ilvl="5">
      <w:lvl w:ilvl="5" w:tplc="0407001B" w:tentative="1">
        <w:start w:val="1"/>
        <w:numFmt w:val="lowerRoman"/>
        <w:lvlText w:val="%6."/>
        <w:lvlJc w:val="right"/>
        <w:pPr>
          <w:ind w:left="4564" w:hanging="180"/>
        </w:pPr>
      </w:lvl>
    </w:lvlOverride>
    <w:lvlOverride w:ilvl="6">
      <w:lvl w:ilvl="6" w:tplc="0407000F" w:tentative="1">
        <w:start w:val="1"/>
        <w:numFmt w:val="decimal"/>
        <w:lvlText w:val="%7."/>
        <w:lvlJc w:val="left"/>
        <w:pPr>
          <w:ind w:left="5284" w:hanging="360"/>
        </w:pPr>
      </w:lvl>
    </w:lvlOverride>
    <w:lvlOverride w:ilvl="7">
      <w:lvl w:ilvl="7" w:tplc="04070019" w:tentative="1">
        <w:start w:val="1"/>
        <w:numFmt w:val="lowerLetter"/>
        <w:lvlText w:val="%8."/>
        <w:lvlJc w:val="left"/>
        <w:pPr>
          <w:ind w:left="6004" w:hanging="360"/>
        </w:pPr>
      </w:lvl>
    </w:lvlOverride>
    <w:lvlOverride w:ilvl="8">
      <w:lvl w:ilvl="8" w:tplc="0407001B" w:tentative="1">
        <w:start w:val="1"/>
        <w:numFmt w:val="lowerRoman"/>
        <w:lvlText w:val="%9."/>
        <w:lvlJc w:val="right"/>
        <w:pPr>
          <w:ind w:left="6724" w:hanging="180"/>
        </w:pPr>
      </w:lvl>
    </w:lvlOverride>
  </w:num>
  <w:num w:numId="9">
    <w:abstractNumId w:val="10"/>
  </w:num>
  <w:num w:numId="10">
    <w:abstractNumId w:val="0"/>
  </w:num>
  <w:num w:numId="11">
    <w:abstractNumId w:val="29"/>
  </w:num>
  <w:num w:numId="12">
    <w:abstractNumId w:val="74"/>
  </w:num>
  <w:num w:numId="13">
    <w:abstractNumId w:val="37"/>
  </w:num>
  <w:num w:numId="14">
    <w:abstractNumId w:val="41"/>
  </w:num>
  <w:num w:numId="15">
    <w:abstractNumId w:val="38"/>
  </w:num>
  <w:num w:numId="16">
    <w:abstractNumId w:val="67"/>
  </w:num>
  <w:num w:numId="17">
    <w:abstractNumId w:val="55"/>
  </w:num>
  <w:num w:numId="18">
    <w:abstractNumId w:val="98"/>
  </w:num>
  <w:num w:numId="19">
    <w:abstractNumId w:val="106"/>
  </w:num>
  <w:num w:numId="20">
    <w:abstractNumId w:val="22"/>
  </w:num>
  <w:num w:numId="21">
    <w:abstractNumId w:val="24"/>
  </w:num>
  <w:num w:numId="22">
    <w:abstractNumId w:val="97"/>
  </w:num>
  <w:num w:numId="23">
    <w:abstractNumId w:val="69"/>
  </w:num>
  <w:num w:numId="24">
    <w:abstractNumId w:val="39"/>
  </w:num>
  <w:num w:numId="25">
    <w:abstractNumId w:val="42"/>
  </w:num>
  <w:num w:numId="26">
    <w:abstractNumId w:val="62"/>
  </w:num>
  <w:num w:numId="27">
    <w:abstractNumId w:val="14"/>
  </w:num>
  <w:num w:numId="28">
    <w:abstractNumId w:val="50"/>
  </w:num>
  <w:num w:numId="29">
    <w:abstractNumId w:val="118"/>
  </w:num>
  <w:num w:numId="30">
    <w:abstractNumId w:val="18"/>
  </w:num>
  <w:num w:numId="31">
    <w:abstractNumId w:val="80"/>
  </w:num>
  <w:num w:numId="32">
    <w:abstractNumId w:val="72"/>
  </w:num>
  <w:num w:numId="33">
    <w:abstractNumId w:val="51"/>
  </w:num>
  <w:num w:numId="34">
    <w:abstractNumId w:val="43"/>
  </w:num>
  <w:num w:numId="35">
    <w:abstractNumId w:val="92"/>
  </w:num>
  <w:num w:numId="36">
    <w:abstractNumId w:val="26"/>
  </w:num>
  <w:num w:numId="37">
    <w:abstractNumId w:val="102"/>
  </w:num>
  <w:num w:numId="38">
    <w:abstractNumId w:val="96"/>
  </w:num>
  <w:num w:numId="39">
    <w:abstractNumId w:val="85"/>
  </w:num>
  <w:num w:numId="40">
    <w:abstractNumId w:val="93"/>
  </w:num>
  <w:num w:numId="41">
    <w:abstractNumId w:val="52"/>
  </w:num>
  <w:num w:numId="42">
    <w:abstractNumId w:val="101"/>
  </w:num>
  <w:num w:numId="43">
    <w:abstractNumId w:val="110"/>
  </w:num>
  <w:num w:numId="44">
    <w:abstractNumId w:val="56"/>
  </w:num>
  <w:num w:numId="45">
    <w:abstractNumId w:val="32"/>
  </w:num>
  <w:num w:numId="46">
    <w:abstractNumId w:val="71"/>
  </w:num>
  <w:num w:numId="47">
    <w:abstractNumId w:val="31"/>
  </w:num>
  <w:num w:numId="48">
    <w:abstractNumId w:val="87"/>
  </w:num>
  <w:num w:numId="49">
    <w:abstractNumId w:val="66"/>
  </w:num>
  <w:num w:numId="50">
    <w:abstractNumId w:val="109"/>
  </w:num>
  <w:num w:numId="51">
    <w:abstractNumId w:val="28"/>
  </w:num>
  <w:num w:numId="52">
    <w:abstractNumId w:val="17"/>
  </w:num>
  <w:num w:numId="53">
    <w:abstractNumId w:val="54"/>
  </w:num>
  <w:num w:numId="54">
    <w:abstractNumId w:val="104"/>
  </w:num>
  <w:num w:numId="55">
    <w:abstractNumId w:val="84"/>
  </w:num>
  <w:num w:numId="56">
    <w:abstractNumId w:val="47"/>
  </w:num>
  <w:num w:numId="57">
    <w:abstractNumId w:val="78"/>
  </w:num>
  <w:num w:numId="58">
    <w:abstractNumId w:val="27"/>
  </w:num>
  <w:num w:numId="59">
    <w:abstractNumId w:val="99"/>
  </w:num>
  <w:num w:numId="60">
    <w:abstractNumId w:val="23"/>
  </w:num>
  <w:num w:numId="61">
    <w:abstractNumId w:val="77"/>
  </w:num>
  <w:num w:numId="62">
    <w:abstractNumId w:val="79"/>
  </w:num>
  <w:num w:numId="63">
    <w:abstractNumId w:val="88"/>
  </w:num>
  <w:num w:numId="64">
    <w:abstractNumId w:val="46"/>
  </w:num>
  <w:num w:numId="65">
    <w:abstractNumId w:val="35"/>
  </w:num>
  <w:num w:numId="66">
    <w:abstractNumId w:val="117"/>
  </w:num>
  <w:num w:numId="67">
    <w:abstractNumId w:val="116"/>
  </w:num>
  <w:num w:numId="68">
    <w:abstractNumId w:val="107"/>
  </w:num>
  <w:num w:numId="69">
    <w:abstractNumId w:val="65"/>
  </w:num>
  <w:num w:numId="70">
    <w:abstractNumId w:val="112"/>
  </w:num>
  <w:num w:numId="71">
    <w:abstractNumId w:val="33"/>
  </w:num>
  <w:num w:numId="72">
    <w:abstractNumId w:val="94"/>
  </w:num>
  <w:num w:numId="73">
    <w:abstractNumId w:val="68"/>
  </w:num>
  <w:num w:numId="74">
    <w:abstractNumId w:val="25"/>
  </w:num>
  <w:num w:numId="75">
    <w:abstractNumId w:val="111"/>
  </w:num>
  <w:num w:numId="76">
    <w:abstractNumId w:val="60"/>
  </w:num>
  <w:num w:numId="77">
    <w:abstractNumId w:val="83"/>
  </w:num>
  <w:num w:numId="78">
    <w:abstractNumId w:val="89"/>
  </w:num>
  <w:num w:numId="79">
    <w:abstractNumId w:val="105"/>
  </w:num>
  <w:num w:numId="80">
    <w:abstractNumId w:val="76"/>
  </w:num>
  <w:num w:numId="81">
    <w:abstractNumId w:val="100"/>
  </w:num>
  <w:num w:numId="82">
    <w:abstractNumId w:val="40"/>
  </w:num>
  <w:num w:numId="83">
    <w:abstractNumId w:val="90"/>
  </w:num>
  <w:num w:numId="84">
    <w:abstractNumId w:val="4"/>
  </w:num>
  <w:num w:numId="85">
    <w:abstractNumId w:val="91"/>
  </w:num>
  <w:num w:numId="86">
    <w:abstractNumId w:val="48"/>
  </w:num>
  <w:num w:numId="87">
    <w:abstractNumId w:val="59"/>
  </w:num>
  <w:num w:numId="88">
    <w:abstractNumId w:val="103"/>
  </w:num>
  <w:num w:numId="89">
    <w:abstractNumId w:val="13"/>
  </w:num>
  <w:num w:numId="90">
    <w:abstractNumId w:val="114"/>
  </w:num>
  <w:num w:numId="91">
    <w:abstractNumId w:val="9"/>
  </w:num>
  <w:num w:numId="92">
    <w:abstractNumId w:val="49"/>
  </w:num>
  <w:num w:numId="93">
    <w:abstractNumId w:val="16"/>
  </w:num>
  <w:num w:numId="94">
    <w:abstractNumId w:val="82"/>
  </w:num>
  <w:num w:numId="95">
    <w:abstractNumId w:val="113"/>
  </w:num>
  <w:num w:numId="96">
    <w:abstractNumId w:val="11"/>
  </w:num>
  <w:num w:numId="97">
    <w:abstractNumId w:val="73"/>
  </w:num>
  <w:num w:numId="98">
    <w:abstractNumId w:val="81"/>
  </w:num>
  <w:num w:numId="99">
    <w:abstractNumId w:val="75"/>
  </w:num>
  <w:num w:numId="100">
    <w:abstractNumId w:val="15"/>
  </w:num>
  <w:num w:numId="101">
    <w:abstractNumId w:val="53"/>
  </w:num>
  <w:num w:numId="102">
    <w:abstractNumId w:val="19"/>
  </w:num>
  <w:num w:numId="103">
    <w:abstractNumId w:val="95"/>
  </w:num>
  <w:num w:numId="104">
    <w:abstractNumId w:val="108"/>
  </w:num>
  <w:num w:numId="105">
    <w:abstractNumId w:val="34"/>
  </w:num>
  <w:num w:numId="106">
    <w:abstractNumId w:val="44"/>
  </w:num>
  <w:num w:numId="107">
    <w:abstractNumId w:val="20"/>
  </w:num>
  <w:num w:numId="108">
    <w:abstractNumId w:val="3"/>
  </w:num>
  <w:num w:numId="109">
    <w:abstractNumId w:val="45"/>
  </w:num>
  <w:num w:numId="110">
    <w:abstractNumId w:val="7"/>
  </w:num>
  <w:num w:numId="111">
    <w:abstractNumId w:val="5"/>
  </w:num>
  <w:num w:numId="112">
    <w:abstractNumId w:val="6"/>
  </w:num>
  <w:num w:numId="113">
    <w:abstractNumId w:val="12"/>
  </w:num>
  <w:num w:numId="114">
    <w:abstractNumId w:val="1"/>
  </w:num>
  <w:num w:numId="115">
    <w:abstractNumId w:val="30"/>
  </w:num>
  <w:num w:numId="116">
    <w:abstractNumId w:val="61"/>
  </w:num>
  <w:num w:numId="117">
    <w:abstractNumId w:val="8"/>
  </w:num>
  <w:num w:numId="118">
    <w:abstractNumId w:val="63"/>
  </w:num>
  <w:num w:numId="119">
    <w:abstractNumId w:val="2"/>
  </w:num>
  <w:num w:numId="120">
    <w:abstractNumId w:val="86"/>
  </w:num>
  <w:num w:numId="1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8"/>
  </w:num>
  <w:num w:numId="124">
    <w:abstractNumId w:val="2"/>
    <w:lvlOverride w:ilvl="0">
      <w:startOverride w:val="2"/>
    </w:lvlOverride>
    <w:lvlOverride w:ilvl="1">
      <w:startOverride w:val="4"/>
    </w:lvlOverride>
    <w:lvlOverride w:ilvl="2">
      <w:startOverride w:val="4"/>
    </w:lvlOverride>
  </w:num>
  <w:num w:numId="125">
    <w:abstractNumId w:val="2"/>
    <w:lvlOverride w:ilvl="0">
      <w:startOverride w:val="2"/>
    </w:lvlOverride>
    <w:lvlOverride w:ilvl="1">
      <w:startOverride w:val="4"/>
    </w:lvlOverride>
    <w:lvlOverride w:ilvl="2">
      <w:startOverride w:val="5"/>
    </w:lvlOverride>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E05D08"/>
    <w:rsid w:val="000026C6"/>
    <w:rsid w:val="00015AA7"/>
    <w:rsid w:val="00021844"/>
    <w:rsid w:val="00021A55"/>
    <w:rsid w:val="00022CA7"/>
    <w:rsid w:val="00027AF3"/>
    <w:rsid w:val="000324A5"/>
    <w:rsid w:val="00036912"/>
    <w:rsid w:val="00037CA6"/>
    <w:rsid w:val="000520DE"/>
    <w:rsid w:val="00053109"/>
    <w:rsid w:val="00055039"/>
    <w:rsid w:val="000828C6"/>
    <w:rsid w:val="000A1399"/>
    <w:rsid w:val="000A14B3"/>
    <w:rsid w:val="000A250D"/>
    <w:rsid w:val="000A307F"/>
    <w:rsid w:val="000A43B7"/>
    <w:rsid w:val="000A6795"/>
    <w:rsid w:val="000A718F"/>
    <w:rsid w:val="000B1654"/>
    <w:rsid w:val="000B6304"/>
    <w:rsid w:val="000C05FC"/>
    <w:rsid w:val="000C3B17"/>
    <w:rsid w:val="000D1ADD"/>
    <w:rsid w:val="000D7245"/>
    <w:rsid w:val="000D7890"/>
    <w:rsid w:val="000E0645"/>
    <w:rsid w:val="000E0FE4"/>
    <w:rsid w:val="000E1023"/>
    <w:rsid w:val="000E1D4B"/>
    <w:rsid w:val="000E3675"/>
    <w:rsid w:val="000E5544"/>
    <w:rsid w:val="000F0497"/>
    <w:rsid w:val="000F0841"/>
    <w:rsid w:val="000F23A8"/>
    <w:rsid w:val="00110179"/>
    <w:rsid w:val="00111ADE"/>
    <w:rsid w:val="001120E4"/>
    <w:rsid w:val="001126AE"/>
    <w:rsid w:val="00116EF8"/>
    <w:rsid w:val="001244F9"/>
    <w:rsid w:val="00125266"/>
    <w:rsid w:val="001275FF"/>
    <w:rsid w:val="00130EA0"/>
    <w:rsid w:val="001319A0"/>
    <w:rsid w:val="001327F5"/>
    <w:rsid w:val="0013321C"/>
    <w:rsid w:val="0013661C"/>
    <w:rsid w:val="001427A5"/>
    <w:rsid w:val="00142A64"/>
    <w:rsid w:val="00151D94"/>
    <w:rsid w:val="001524F5"/>
    <w:rsid w:val="00153E03"/>
    <w:rsid w:val="00155E3F"/>
    <w:rsid w:val="00161D7E"/>
    <w:rsid w:val="00164489"/>
    <w:rsid w:val="00165BF1"/>
    <w:rsid w:val="001744D0"/>
    <w:rsid w:val="00177C4F"/>
    <w:rsid w:val="00183E9B"/>
    <w:rsid w:val="001865CA"/>
    <w:rsid w:val="00186CBF"/>
    <w:rsid w:val="0018705F"/>
    <w:rsid w:val="001954EB"/>
    <w:rsid w:val="001A12C3"/>
    <w:rsid w:val="001A184E"/>
    <w:rsid w:val="001A2952"/>
    <w:rsid w:val="001A2A93"/>
    <w:rsid w:val="001A2DEC"/>
    <w:rsid w:val="001A6C7C"/>
    <w:rsid w:val="001A7B15"/>
    <w:rsid w:val="001B58A1"/>
    <w:rsid w:val="001C039D"/>
    <w:rsid w:val="001C03A3"/>
    <w:rsid w:val="001E1B68"/>
    <w:rsid w:val="001E4A08"/>
    <w:rsid w:val="001E4AE1"/>
    <w:rsid w:val="001F6140"/>
    <w:rsid w:val="001F626E"/>
    <w:rsid w:val="001F6F07"/>
    <w:rsid w:val="001F7296"/>
    <w:rsid w:val="0020060A"/>
    <w:rsid w:val="0021105B"/>
    <w:rsid w:val="002126B4"/>
    <w:rsid w:val="002271D9"/>
    <w:rsid w:val="00230C31"/>
    <w:rsid w:val="00232CF1"/>
    <w:rsid w:val="00235D46"/>
    <w:rsid w:val="00237EDF"/>
    <w:rsid w:val="002403DE"/>
    <w:rsid w:val="00241663"/>
    <w:rsid w:val="00253803"/>
    <w:rsid w:val="0025413B"/>
    <w:rsid w:val="00260B97"/>
    <w:rsid w:val="002803D8"/>
    <w:rsid w:val="00282948"/>
    <w:rsid w:val="00283811"/>
    <w:rsid w:val="002964ED"/>
    <w:rsid w:val="002B4923"/>
    <w:rsid w:val="002B590B"/>
    <w:rsid w:val="002C2419"/>
    <w:rsid w:val="002C2C15"/>
    <w:rsid w:val="002C3A1C"/>
    <w:rsid w:val="002C4556"/>
    <w:rsid w:val="002D1C8F"/>
    <w:rsid w:val="002D399D"/>
    <w:rsid w:val="002E1723"/>
    <w:rsid w:val="002F0ABF"/>
    <w:rsid w:val="002F11D9"/>
    <w:rsid w:val="002F520A"/>
    <w:rsid w:val="00300AA0"/>
    <w:rsid w:val="00300AFA"/>
    <w:rsid w:val="0030377F"/>
    <w:rsid w:val="00304961"/>
    <w:rsid w:val="00310F20"/>
    <w:rsid w:val="00310FA9"/>
    <w:rsid w:val="00311624"/>
    <w:rsid w:val="00320AA0"/>
    <w:rsid w:val="00320B7D"/>
    <w:rsid w:val="003224A2"/>
    <w:rsid w:val="00324C42"/>
    <w:rsid w:val="00330136"/>
    <w:rsid w:val="00331223"/>
    <w:rsid w:val="003354D6"/>
    <w:rsid w:val="0034028A"/>
    <w:rsid w:val="003411D5"/>
    <w:rsid w:val="0034160A"/>
    <w:rsid w:val="00345647"/>
    <w:rsid w:val="00347A2C"/>
    <w:rsid w:val="00350B30"/>
    <w:rsid w:val="00364255"/>
    <w:rsid w:val="00367362"/>
    <w:rsid w:val="003737FE"/>
    <w:rsid w:val="00374290"/>
    <w:rsid w:val="003766ED"/>
    <w:rsid w:val="00382BE4"/>
    <w:rsid w:val="00385368"/>
    <w:rsid w:val="00387226"/>
    <w:rsid w:val="003A1316"/>
    <w:rsid w:val="003A5A53"/>
    <w:rsid w:val="003B44A9"/>
    <w:rsid w:val="003B7EB7"/>
    <w:rsid w:val="003C170B"/>
    <w:rsid w:val="003C4BC9"/>
    <w:rsid w:val="003D242C"/>
    <w:rsid w:val="003D5EED"/>
    <w:rsid w:val="003E2CE0"/>
    <w:rsid w:val="003E55F2"/>
    <w:rsid w:val="003F416E"/>
    <w:rsid w:val="003F6478"/>
    <w:rsid w:val="003F6AF1"/>
    <w:rsid w:val="00400064"/>
    <w:rsid w:val="00405B0B"/>
    <w:rsid w:val="00406C98"/>
    <w:rsid w:val="00412D26"/>
    <w:rsid w:val="0042403E"/>
    <w:rsid w:val="00426618"/>
    <w:rsid w:val="00431FF5"/>
    <w:rsid w:val="00447906"/>
    <w:rsid w:val="004508D0"/>
    <w:rsid w:val="00451BFA"/>
    <w:rsid w:val="00452B13"/>
    <w:rsid w:val="00471221"/>
    <w:rsid w:val="00472162"/>
    <w:rsid w:val="00485923"/>
    <w:rsid w:val="0048755C"/>
    <w:rsid w:val="00490F5A"/>
    <w:rsid w:val="00497AC7"/>
    <w:rsid w:val="004A2B05"/>
    <w:rsid w:val="004B5B60"/>
    <w:rsid w:val="004C17C9"/>
    <w:rsid w:val="004C2BB4"/>
    <w:rsid w:val="004C32F7"/>
    <w:rsid w:val="004C624A"/>
    <w:rsid w:val="004C7474"/>
    <w:rsid w:val="004D352C"/>
    <w:rsid w:val="004E2151"/>
    <w:rsid w:val="004E272E"/>
    <w:rsid w:val="004E38AA"/>
    <w:rsid w:val="004E3DD3"/>
    <w:rsid w:val="004F414C"/>
    <w:rsid w:val="00500604"/>
    <w:rsid w:val="00500D52"/>
    <w:rsid w:val="00501827"/>
    <w:rsid w:val="0050721E"/>
    <w:rsid w:val="0051700B"/>
    <w:rsid w:val="00530DA6"/>
    <w:rsid w:val="00533971"/>
    <w:rsid w:val="00535A54"/>
    <w:rsid w:val="005411F9"/>
    <w:rsid w:val="00541A7D"/>
    <w:rsid w:val="00544F0F"/>
    <w:rsid w:val="00544F2D"/>
    <w:rsid w:val="00545C6C"/>
    <w:rsid w:val="00547012"/>
    <w:rsid w:val="005474FA"/>
    <w:rsid w:val="005520BA"/>
    <w:rsid w:val="00554723"/>
    <w:rsid w:val="00556FC4"/>
    <w:rsid w:val="00560E46"/>
    <w:rsid w:val="005626E0"/>
    <w:rsid w:val="005671F4"/>
    <w:rsid w:val="00570507"/>
    <w:rsid w:val="00576A73"/>
    <w:rsid w:val="00580A51"/>
    <w:rsid w:val="00582F60"/>
    <w:rsid w:val="00583AC8"/>
    <w:rsid w:val="00591CB3"/>
    <w:rsid w:val="0059228D"/>
    <w:rsid w:val="0059311F"/>
    <w:rsid w:val="00595D16"/>
    <w:rsid w:val="00596A5B"/>
    <w:rsid w:val="00597107"/>
    <w:rsid w:val="005A0605"/>
    <w:rsid w:val="005A0DA2"/>
    <w:rsid w:val="005A5457"/>
    <w:rsid w:val="005B3685"/>
    <w:rsid w:val="005D0347"/>
    <w:rsid w:val="005E1D93"/>
    <w:rsid w:val="005F09BC"/>
    <w:rsid w:val="00600BE3"/>
    <w:rsid w:val="00601253"/>
    <w:rsid w:val="0060261A"/>
    <w:rsid w:val="00604B7A"/>
    <w:rsid w:val="00612D54"/>
    <w:rsid w:val="00615785"/>
    <w:rsid w:val="00617D7B"/>
    <w:rsid w:val="00623618"/>
    <w:rsid w:val="006239C7"/>
    <w:rsid w:val="00624393"/>
    <w:rsid w:val="00626C0C"/>
    <w:rsid w:val="006418CA"/>
    <w:rsid w:val="00642394"/>
    <w:rsid w:val="00643DF6"/>
    <w:rsid w:val="00644398"/>
    <w:rsid w:val="006450B6"/>
    <w:rsid w:val="0064682B"/>
    <w:rsid w:val="00647766"/>
    <w:rsid w:val="006501D4"/>
    <w:rsid w:val="00651F1C"/>
    <w:rsid w:val="00653B72"/>
    <w:rsid w:val="00654F10"/>
    <w:rsid w:val="0066160E"/>
    <w:rsid w:val="00665417"/>
    <w:rsid w:val="00673E3D"/>
    <w:rsid w:val="00674A4B"/>
    <w:rsid w:val="00676750"/>
    <w:rsid w:val="00676B41"/>
    <w:rsid w:val="006803A8"/>
    <w:rsid w:val="0068280F"/>
    <w:rsid w:val="00682C8C"/>
    <w:rsid w:val="006871D2"/>
    <w:rsid w:val="00690E70"/>
    <w:rsid w:val="00695A11"/>
    <w:rsid w:val="00697455"/>
    <w:rsid w:val="006A092E"/>
    <w:rsid w:val="006A32EF"/>
    <w:rsid w:val="006A4AEC"/>
    <w:rsid w:val="006B72BF"/>
    <w:rsid w:val="006C085A"/>
    <w:rsid w:val="006C63CD"/>
    <w:rsid w:val="006D0B02"/>
    <w:rsid w:val="006D209F"/>
    <w:rsid w:val="006E0E48"/>
    <w:rsid w:val="006E2A31"/>
    <w:rsid w:val="006E592C"/>
    <w:rsid w:val="006E597D"/>
    <w:rsid w:val="006F0B79"/>
    <w:rsid w:val="006F10F3"/>
    <w:rsid w:val="006F1601"/>
    <w:rsid w:val="006F3FC1"/>
    <w:rsid w:val="006F63C5"/>
    <w:rsid w:val="00703AD9"/>
    <w:rsid w:val="00710753"/>
    <w:rsid w:val="0071141A"/>
    <w:rsid w:val="00712357"/>
    <w:rsid w:val="00716075"/>
    <w:rsid w:val="00717885"/>
    <w:rsid w:val="00725801"/>
    <w:rsid w:val="00734B11"/>
    <w:rsid w:val="007372CD"/>
    <w:rsid w:val="007428EA"/>
    <w:rsid w:val="007441E3"/>
    <w:rsid w:val="00757688"/>
    <w:rsid w:val="007603A8"/>
    <w:rsid w:val="00764D33"/>
    <w:rsid w:val="00767F5C"/>
    <w:rsid w:val="007707EC"/>
    <w:rsid w:val="0078182B"/>
    <w:rsid w:val="00782C87"/>
    <w:rsid w:val="0079071D"/>
    <w:rsid w:val="007A450E"/>
    <w:rsid w:val="007B0E8B"/>
    <w:rsid w:val="007B323F"/>
    <w:rsid w:val="007B4A6D"/>
    <w:rsid w:val="007B4D84"/>
    <w:rsid w:val="007C2C6A"/>
    <w:rsid w:val="007C69CD"/>
    <w:rsid w:val="007C7A64"/>
    <w:rsid w:val="007D2A0C"/>
    <w:rsid w:val="007D301C"/>
    <w:rsid w:val="007D62E6"/>
    <w:rsid w:val="007E16DD"/>
    <w:rsid w:val="007E3DBC"/>
    <w:rsid w:val="007E63EF"/>
    <w:rsid w:val="007E7353"/>
    <w:rsid w:val="007F02EB"/>
    <w:rsid w:val="007F0B5B"/>
    <w:rsid w:val="007F4DD3"/>
    <w:rsid w:val="00803501"/>
    <w:rsid w:val="00804314"/>
    <w:rsid w:val="00804433"/>
    <w:rsid w:val="00805EDF"/>
    <w:rsid w:val="008078F6"/>
    <w:rsid w:val="00807A63"/>
    <w:rsid w:val="0081188E"/>
    <w:rsid w:val="00812586"/>
    <w:rsid w:val="00814B95"/>
    <w:rsid w:val="008164E6"/>
    <w:rsid w:val="0081791E"/>
    <w:rsid w:val="00826484"/>
    <w:rsid w:val="008518F2"/>
    <w:rsid w:val="00857D5C"/>
    <w:rsid w:val="00860BE9"/>
    <w:rsid w:val="00863DB0"/>
    <w:rsid w:val="00864D7B"/>
    <w:rsid w:val="00866B4D"/>
    <w:rsid w:val="00876579"/>
    <w:rsid w:val="0088190F"/>
    <w:rsid w:val="008873D9"/>
    <w:rsid w:val="00890C92"/>
    <w:rsid w:val="00891109"/>
    <w:rsid w:val="00891EED"/>
    <w:rsid w:val="00893616"/>
    <w:rsid w:val="008957BE"/>
    <w:rsid w:val="00897804"/>
    <w:rsid w:val="008A0CFF"/>
    <w:rsid w:val="008A260B"/>
    <w:rsid w:val="008A7A63"/>
    <w:rsid w:val="008B008F"/>
    <w:rsid w:val="008B1A09"/>
    <w:rsid w:val="008C0B17"/>
    <w:rsid w:val="008C3EAC"/>
    <w:rsid w:val="008D05D4"/>
    <w:rsid w:val="008D178A"/>
    <w:rsid w:val="008D63A8"/>
    <w:rsid w:val="008E4AA6"/>
    <w:rsid w:val="008E503F"/>
    <w:rsid w:val="008F1F04"/>
    <w:rsid w:val="0090245E"/>
    <w:rsid w:val="009044EE"/>
    <w:rsid w:val="009106EA"/>
    <w:rsid w:val="00912430"/>
    <w:rsid w:val="00916AB5"/>
    <w:rsid w:val="00916BE2"/>
    <w:rsid w:val="00920CB9"/>
    <w:rsid w:val="00925EF1"/>
    <w:rsid w:val="009317D8"/>
    <w:rsid w:val="009414CC"/>
    <w:rsid w:val="00942585"/>
    <w:rsid w:val="00946806"/>
    <w:rsid w:val="00946DD8"/>
    <w:rsid w:val="00951524"/>
    <w:rsid w:val="0095292E"/>
    <w:rsid w:val="0095336D"/>
    <w:rsid w:val="009567F6"/>
    <w:rsid w:val="00963A81"/>
    <w:rsid w:val="009648DB"/>
    <w:rsid w:val="00965042"/>
    <w:rsid w:val="00966DF2"/>
    <w:rsid w:val="00967CFD"/>
    <w:rsid w:val="009722AA"/>
    <w:rsid w:val="00975C2B"/>
    <w:rsid w:val="009837FF"/>
    <w:rsid w:val="00987055"/>
    <w:rsid w:val="00990BF3"/>
    <w:rsid w:val="009968A7"/>
    <w:rsid w:val="00997571"/>
    <w:rsid w:val="009A02D3"/>
    <w:rsid w:val="009A27E2"/>
    <w:rsid w:val="009A2DAD"/>
    <w:rsid w:val="009A64EA"/>
    <w:rsid w:val="009B603C"/>
    <w:rsid w:val="009C2EC2"/>
    <w:rsid w:val="009C70F8"/>
    <w:rsid w:val="009C734C"/>
    <w:rsid w:val="009C743B"/>
    <w:rsid w:val="009D0C0A"/>
    <w:rsid w:val="009D199F"/>
    <w:rsid w:val="009D3A3F"/>
    <w:rsid w:val="009D479A"/>
    <w:rsid w:val="009D56E6"/>
    <w:rsid w:val="009F145D"/>
    <w:rsid w:val="009F1589"/>
    <w:rsid w:val="009F5AB5"/>
    <w:rsid w:val="00A008D3"/>
    <w:rsid w:val="00A01CB9"/>
    <w:rsid w:val="00A04209"/>
    <w:rsid w:val="00A209BF"/>
    <w:rsid w:val="00A304B0"/>
    <w:rsid w:val="00A31D39"/>
    <w:rsid w:val="00A35C6D"/>
    <w:rsid w:val="00A43434"/>
    <w:rsid w:val="00A43EFD"/>
    <w:rsid w:val="00A45935"/>
    <w:rsid w:val="00A51882"/>
    <w:rsid w:val="00A60495"/>
    <w:rsid w:val="00A610F6"/>
    <w:rsid w:val="00A66638"/>
    <w:rsid w:val="00A66F3C"/>
    <w:rsid w:val="00A6785E"/>
    <w:rsid w:val="00A71A31"/>
    <w:rsid w:val="00A77E99"/>
    <w:rsid w:val="00A807A5"/>
    <w:rsid w:val="00A823A8"/>
    <w:rsid w:val="00A847F8"/>
    <w:rsid w:val="00A90171"/>
    <w:rsid w:val="00A92E91"/>
    <w:rsid w:val="00A961A7"/>
    <w:rsid w:val="00AA5817"/>
    <w:rsid w:val="00AA7F79"/>
    <w:rsid w:val="00AB16BB"/>
    <w:rsid w:val="00AB45F8"/>
    <w:rsid w:val="00AB6603"/>
    <w:rsid w:val="00AB74DA"/>
    <w:rsid w:val="00AC1B3E"/>
    <w:rsid w:val="00AC664B"/>
    <w:rsid w:val="00AC75B9"/>
    <w:rsid w:val="00AC7DDF"/>
    <w:rsid w:val="00AD39B9"/>
    <w:rsid w:val="00AD3CD7"/>
    <w:rsid w:val="00AD72DD"/>
    <w:rsid w:val="00AE3E85"/>
    <w:rsid w:val="00AE68CA"/>
    <w:rsid w:val="00AE704F"/>
    <w:rsid w:val="00AF796E"/>
    <w:rsid w:val="00B05B45"/>
    <w:rsid w:val="00B10B3C"/>
    <w:rsid w:val="00B24679"/>
    <w:rsid w:val="00B311E6"/>
    <w:rsid w:val="00B35581"/>
    <w:rsid w:val="00B36B77"/>
    <w:rsid w:val="00B37E2A"/>
    <w:rsid w:val="00B40DBF"/>
    <w:rsid w:val="00B41573"/>
    <w:rsid w:val="00B421B9"/>
    <w:rsid w:val="00B51B3B"/>
    <w:rsid w:val="00B5530E"/>
    <w:rsid w:val="00B63DE8"/>
    <w:rsid w:val="00B646AA"/>
    <w:rsid w:val="00B64C7D"/>
    <w:rsid w:val="00B737D4"/>
    <w:rsid w:val="00B76BA4"/>
    <w:rsid w:val="00B91D56"/>
    <w:rsid w:val="00BA248B"/>
    <w:rsid w:val="00BA2C5D"/>
    <w:rsid w:val="00BA450C"/>
    <w:rsid w:val="00BA4FCD"/>
    <w:rsid w:val="00BA5122"/>
    <w:rsid w:val="00BA6A33"/>
    <w:rsid w:val="00BB0A98"/>
    <w:rsid w:val="00BB551B"/>
    <w:rsid w:val="00BC211C"/>
    <w:rsid w:val="00BC2432"/>
    <w:rsid w:val="00BC406C"/>
    <w:rsid w:val="00BC471E"/>
    <w:rsid w:val="00BC5B1D"/>
    <w:rsid w:val="00BD475B"/>
    <w:rsid w:val="00BD7227"/>
    <w:rsid w:val="00BE0462"/>
    <w:rsid w:val="00BE1F31"/>
    <w:rsid w:val="00BE70EE"/>
    <w:rsid w:val="00C013AD"/>
    <w:rsid w:val="00C02FCB"/>
    <w:rsid w:val="00C046E8"/>
    <w:rsid w:val="00C16E3D"/>
    <w:rsid w:val="00C202EC"/>
    <w:rsid w:val="00C20C97"/>
    <w:rsid w:val="00C3092C"/>
    <w:rsid w:val="00C31DF0"/>
    <w:rsid w:val="00C3302E"/>
    <w:rsid w:val="00C3334D"/>
    <w:rsid w:val="00C35A25"/>
    <w:rsid w:val="00C37C7A"/>
    <w:rsid w:val="00C477ED"/>
    <w:rsid w:val="00C5127D"/>
    <w:rsid w:val="00C51F59"/>
    <w:rsid w:val="00C61277"/>
    <w:rsid w:val="00C621C4"/>
    <w:rsid w:val="00C6361D"/>
    <w:rsid w:val="00C64B64"/>
    <w:rsid w:val="00C67E9D"/>
    <w:rsid w:val="00C72FEC"/>
    <w:rsid w:val="00C8095B"/>
    <w:rsid w:val="00C84B5B"/>
    <w:rsid w:val="00C947BA"/>
    <w:rsid w:val="00C9522B"/>
    <w:rsid w:val="00C95BD6"/>
    <w:rsid w:val="00CA12E6"/>
    <w:rsid w:val="00CA28E6"/>
    <w:rsid w:val="00CA3A48"/>
    <w:rsid w:val="00CA6EC8"/>
    <w:rsid w:val="00CB3AD0"/>
    <w:rsid w:val="00CB4818"/>
    <w:rsid w:val="00CB68D9"/>
    <w:rsid w:val="00CC53B5"/>
    <w:rsid w:val="00CD3BC8"/>
    <w:rsid w:val="00CE2990"/>
    <w:rsid w:val="00CF37F0"/>
    <w:rsid w:val="00CF4822"/>
    <w:rsid w:val="00CF6D0E"/>
    <w:rsid w:val="00D010F5"/>
    <w:rsid w:val="00D02ADA"/>
    <w:rsid w:val="00D05E3A"/>
    <w:rsid w:val="00D076E7"/>
    <w:rsid w:val="00D10FA6"/>
    <w:rsid w:val="00D13817"/>
    <w:rsid w:val="00D201A2"/>
    <w:rsid w:val="00D32DA8"/>
    <w:rsid w:val="00D32E53"/>
    <w:rsid w:val="00D35751"/>
    <w:rsid w:val="00D4053E"/>
    <w:rsid w:val="00D461AB"/>
    <w:rsid w:val="00D50380"/>
    <w:rsid w:val="00D50EF0"/>
    <w:rsid w:val="00D55226"/>
    <w:rsid w:val="00D57D0A"/>
    <w:rsid w:val="00D612DC"/>
    <w:rsid w:val="00D62992"/>
    <w:rsid w:val="00D62ED4"/>
    <w:rsid w:val="00D66182"/>
    <w:rsid w:val="00D66501"/>
    <w:rsid w:val="00D73319"/>
    <w:rsid w:val="00D7340E"/>
    <w:rsid w:val="00D77B96"/>
    <w:rsid w:val="00D815E7"/>
    <w:rsid w:val="00D85FF6"/>
    <w:rsid w:val="00D91213"/>
    <w:rsid w:val="00D91569"/>
    <w:rsid w:val="00D930A2"/>
    <w:rsid w:val="00D96C8F"/>
    <w:rsid w:val="00DA22EB"/>
    <w:rsid w:val="00DB1887"/>
    <w:rsid w:val="00DB2600"/>
    <w:rsid w:val="00DC1C77"/>
    <w:rsid w:val="00DC20D6"/>
    <w:rsid w:val="00DC2840"/>
    <w:rsid w:val="00DC6C4F"/>
    <w:rsid w:val="00DD247A"/>
    <w:rsid w:val="00DD473C"/>
    <w:rsid w:val="00DD4C4C"/>
    <w:rsid w:val="00DE256D"/>
    <w:rsid w:val="00DE2C82"/>
    <w:rsid w:val="00DF68E2"/>
    <w:rsid w:val="00E03826"/>
    <w:rsid w:val="00E05D08"/>
    <w:rsid w:val="00E16522"/>
    <w:rsid w:val="00E30E27"/>
    <w:rsid w:val="00E33F37"/>
    <w:rsid w:val="00E34FAC"/>
    <w:rsid w:val="00E36F81"/>
    <w:rsid w:val="00E54013"/>
    <w:rsid w:val="00E544F7"/>
    <w:rsid w:val="00E54929"/>
    <w:rsid w:val="00E634DC"/>
    <w:rsid w:val="00E64309"/>
    <w:rsid w:val="00E71021"/>
    <w:rsid w:val="00E713B8"/>
    <w:rsid w:val="00E72529"/>
    <w:rsid w:val="00E8197A"/>
    <w:rsid w:val="00E849E7"/>
    <w:rsid w:val="00EA0618"/>
    <w:rsid w:val="00EA0974"/>
    <w:rsid w:val="00EB0461"/>
    <w:rsid w:val="00EB77F2"/>
    <w:rsid w:val="00EB7915"/>
    <w:rsid w:val="00EC468B"/>
    <w:rsid w:val="00EC4AF4"/>
    <w:rsid w:val="00EC5172"/>
    <w:rsid w:val="00ED1295"/>
    <w:rsid w:val="00ED1649"/>
    <w:rsid w:val="00ED47C5"/>
    <w:rsid w:val="00EE3543"/>
    <w:rsid w:val="00EE73A7"/>
    <w:rsid w:val="00EF0A96"/>
    <w:rsid w:val="00EF1B0F"/>
    <w:rsid w:val="00EF4540"/>
    <w:rsid w:val="00F01E0F"/>
    <w:rsid w:val="00F0545B"/>
    <w:rsid w:val="00F117CA"/>
    <w:rsid w:val="00F13B45"/>
    <w:rsid w:val="00F200A2"/>
    <w:rsid w:val="00F250EC"/>
    <w:rsid w:val="00F31494"/>
    <w:rsid w:val="00F31AD6"/>
    <w:rsid w:val="00F32874"/>
    <w:rsid w:val="00F37A59"/>
    <w:rsid w:val="00F4055A"/>
    <w:rsid w:val="00F5230D"/>
    <w:rsid w:val="00F60A36"/>
    <w:rsid w:val="00F64797"/>
    <w:rsid w:val="00F66623"/>
    <w:rsid w:val="00F6793F"/>
    <w:rsid w:val="00F71AC0"/>
    <w:rsid w:val="00F73706"/>
    <w:rsid w:val="00F74459"/>
    <w:rsid w:val="00F74623"/>
    <w:rsid w:val="00F74C18"/>
    <w:rsid w:val="00F8743F"/>
    <w:rsid w:val="00F9406A"/>
    <w:rsid w:val="00F94F86"/>
    <w:rsid w:val="00FA12EA"/>
    <w:rsid w:val="00FA5493"/>
    <w:rsid w:val="00FA6691"/>
    <w:rsid w:val="00FB51EF"/>
    <w:rsid w:val="00FB5B14"/>
    <w:rsid w:val="00FC1408"/>
    <w:rsid w:val="00FC14FF"/>
    <w:rsid w:val="00FC7364"/>
    <w:rsid w:val="00FF02C1"/>
    <w:rsid w:val="00FF15CC"/>
    <w:rsid w:val="00FF4353"/>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2E6C93-D3FC-4EE2-9540-9C357C2B0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85E"/>
    <w:pPr>
      <w:jc w:val="both"/>
    </w:pPr>
    <w:rPr>
      <w:rFonts w:ascii="Arial" w:hAnsi="Arial"/>
      <w:color w:val="373737"/>
      <w:sz w:val="20"/>
    </w:rPr>
  </w:style>
  <w:style w:type="paragraph" w:styleId="Heading1">
    <w:name w:val="heading 1"/>
    <w:basedOn w:val="Normal"/>
    <w:next w:val="Normal"/>
    <w:link w:val="Heading1Char"/>
    <w:uiPriority w:val="9"/>
    <w:qFormat/>
    <w:rsid w:val="00E05D08"/>
    <w:pPr>
      <w:keepNext/>
      <w:framePr w:hSpace="142" w:vSpace="142" w:wrap="notBeside" w:vAnchor="page" w:hAnchor="margin" w:y="1532"/>
      <w:numPr>
        <w:numId w:val="1"/>
      </w:numPr>
      <w:pBdr>
        <w:left w:val="single" w:sz="48" w:space="8" w:color="33CCCC"/>
      </w:pBdr>
      <w:tabs>
        <w:tab w:val="clear" w:pos="474"/>
        <w:tab w:val="left" w:pos="227"/>
      </w:tabs>
      <w:suppressAutoHyphens/>
      <w:spacing w:before="60" w:after="20" w:line="240" w:lineRule="auto"/>
      <w:ind w:left="227" w:hanging="227"/>
      <w:outlineLvl w:val="0"/>
    </w:pPr>
    <w:rPr>
      <w:rFonts w:eastAsia="Times New Roman" w:cs="Arial"/>
      <w:b/>
      <w:bCs/>
      <w:kern w:val="32"/>
      <w:sz w:val="24"/>
      <w:szCs w:val="32"/>
      <w:lang w:eastAsia="de-DE"/>
    </w:rPr>
  </w:style>
  <w:style w:type="paragraph" w:styleId="Heading2">
    <w:name w:val="heading 2"/>
    <w:aliases w:val="Titre B,no vale,Heading 2 Char1,Heading 2 Char Char"/>
    <w:basedOn w:val="Normal"/>
    <w:next w:val="Normal"/>
    <w:link w:val="Heading2Char"/>
    <w:uiPriority w:val="9"/>
    <w:qFormat/>
    <w:rsid w:val="00E05D08"/>
    <w:pPr>
      <w:keepNext/>
      <w:numPr>
        <w:ilvl w:val="1"/>
        <w:numId w:val="1"/>
      </w:numPr>
      <w:tabs>
        <w:tab w:val="clear" w:pos="360"/>
        <w:tab w:val="left" w:pos="454"/>
      </w:tabs>
      <w:suppressAutoHyphens/>
      <w:spacing w:before="240" w:after="140" w:line="260" w:lineRule="exact"/>
      <w:ind w:left="454" w:hanging="454"/>
      <w:outlineLvl w:val="1"/>
    </w:pPr>
    <w:rPr>
      <w:rFonts w:eastAsia="Times New Roman" w:cs="Arial"/>
      <w:b/>
      <w:bCs/>
      <w:iCs/>
      <w:szCs w:val="28"/>
      <w:lang w:eastAsia="de-DE"/>
    </w:rPr>
  </w:style>
  <w:style w:type="paragraph" w:styleId="Heading3">
    <w:name w:val="heading 3"/>
    <w:aliases w:val="H3,no vale1,no vale1 Car"/>
    <w:basedOn w:val="Normal"/>
    <w:next w:val="Normal"/>
    <w:link w:val="Heading3Char"/>
    <w:qFormat/>
    <w:rsid w:val="00E05D08"/>
    <w:pPr>
      <w:keepNext/>
      <w:numPr>
        <w:ilvl w:val="2"/>
        <w:numId w:val="1"/>
      </w:numPr>
      <w:tabs>
        <w:tab w:val="clear" w:pos="720"/>
        <w:tab w:val="left" w:pos="567"/>
      </w:tabs>
      <w:suppressAutoHyphens/>
      <w:spacing w:before="240" w:after="140" w:line="240" w:lineRule="exact"/>
      <w:ind w:left="567" w:hanging="567"/>
      <w:outlineLvl w:val="2"/>
    </w:pPr>
    <w:rPr>
      <w:rFonts w:eastAsia="Times New Roman" w:cs="Arial"/>
      <w:b/>
      <w:bCs/>
      <w:color w:val="5F5F5F"/>
      <w:szCs w:val="26"/>
      <w:lang w:eastAsia="de-DE"/>
    </w:rPr>
  </w:style>
  <w:style w:type="paragraph" w:styleId="Heading4">
    <w:name w:val="heading 4"/>
    <w:aliases w:val="Heading 4 Char1,Título 4 Car,Heading 4 Char1 Car,no vale 2,no vale 2 Car"/>
    <w:basedOn w:val="Normal"/>
    <w:next w:val="Normal"/>
    <w:link w:val="Heading4Char"/>
    <w:uiPriority w:val="99"/>
    <w:qFormat/>
    <w:rsid w:val="00E05D08"/>
    <w:pPr>
      <w:keepNext/>
      <w:numPr>
        <w:ilvl w:val="3"/>
        <w:numId w:val="1"/>
      </w:numPr>
      <w:tabs>
        <w:tab w:val="clear" w:pos="1080"/>
        <w:tab w:val="left" w:pos="680"/>
      </w:tabs>
      <w:suppressAutoHyphens/>
      <w:spacing w:before="240" w:after="140" w:line="220" w:lineRule="atLeast"/>
      <w:ind w:left="680" w:hanging="680"/>
      <w:outlineLvl w:val="3"/>
    </w:pPr>
    <w:rPr>
      <w:rFonts w:eastAsia="Times New Roman" w:cs="Times New Roman"/>
      <w:b/>
      <w:bCs/>
      <w:color w:val="5F5F5F"/>
      <w:sz w:val="18"/>
      <w:szCs w:val="28"/>
      <w:lang w:eastAsia="de-DE"/>
    </w:rPr>
  </w:style>
  <w:style w:type="paragraph" w:styleId="Heading5">
    <w:name w:val="heading 5"/>
    <w:basedOn w:val="Normal"/>
    <w:next w:val="Normal"/>
    <w:link w:val="Heading5Char"/>
    <w:uiPriority w:val="99"/>
    <w:qFormat/>
    <w:rsid w:val="00E05D08"/>
    <w:pPr>
      <w:suppressAutoHyphens/>
      <w:spacing w:before="200" w:after="100" w:line="220" w:lineRule="atLeast"/>
      <w:outlineLvl w:val="4"/>
    </w:pPr>
    <w:rPr>
      <w:rFonts w:eastAsia="Times New Roman" w:cs="Times New Roman"/>
      <w:b/>
      <w:bCs/>
      <w:iCs/>
      <w:color w:val="5F5F5F"/>
      <w:sz w:val="18"/>
      <w:szCs w:val="26"/>
      <w:lang w:eastAsia="de-DE"/>
    </w:rPr>
  </w:style>
  <w:style w:type="paragraph" w:styleId="Heading6">
    <w:name w:val="heading 6"/>
    <w:basedOn w:val="Normal"/>
    <w:next w:val="Normal"/>
    <w:link w:val="Heading6Char"/>
    <w:uiPriority w:val="99"/>
    <w:qFormat/>
    <w:rsid w:val="00E05D08"/>
    <w:pPr>
      <w:suppressAutoHyphens/>
      <w:spacing w:before="140" w:after="140" w:line="200" w:lineRule="exact"/>
      <w:outlineLvl w:val="5"/>
    </w:pPr>
    <w:rPr>
      <w:rFonts w:eastAsia="Times New Roman" w:cs="Times New Roman"/>
      <w:b/>
      <w:bCs/>
      <w:color w:val="808080"/>
      <w:sz w:val="16"/>
      <w:lang w:eastAsia="de-DE"/>
    </w:rPr>
  </w:style>
  <w:style w:type="paragraph" w:styleId="Heading7">
    <w:name w:val="heading 7"/>
    <w:basedOn w:val="Normal"/>
    <w:next w:val="Normal"/>
    <w:link w:val="Heading7Char"/>
    <w:rsid w:val="00E05D08"/>
    <w:pPr>
      <w:suppressAutoHyphens/>
      <w:spacing w:before="140" w:after="140" w:line="200" w:lineRule="exact"/>
      <w:outlineLvl w:val="6"/>
    </w:pPr>
    <w:rPr>
      <w:rFonts w:eastAsia="Times New Roman" w:cs="Times New Roman"/>
      <w:b/>
      <w:color w:val="808080"/>
      <w:sz w:val="16"/>
      <w:szCs w:val="24"/>
      <w:lang w:eastAsia="de-DE"/>
    </w:rPr>
  </w:style>
  <w:style w:type="paragraph" w:styleId="Heading8">
    <w:name w:val="heading 8"/>
    <w:basedOn w:val="Normal"/>
    <w:next w:val="Normal"/>
    <w:link w:val="Heading8Char"/>
    <w:rsid w:val="00E05D08"/>
    <w:pPr>
      <w:suppressAutoHyphens/>
      <w:spacing w:before="140" w:after="140" w:line="200" w:lineRule="exact"/>
      <w:outlineLvl w:val="7"/>
    </w:pPr>
    <w:rPr>
      <w:rFonts w:eastAsia="Times New Roman" w:cs="Times New Roman"/>
      <w:b/>
      <w:iCs/>
      <w:color w:val="808080"/>
      <w:sz w:val="16"/>
      <w:szCs w:val="24"/>
      <w:lang w:eastAsia="de-DE"/>
    </w:rPr>
  </w:style>
  <w:style w:type="paragraph" w:styleId="Heading9">
    <w:name w:val="heading 9"/>
    <w:basedOn w:val="Heading1"/>
    <w:next w:val="Normal"/>
    <w:link w:val="Heading9Char"/>
    <w:rsid w:val="00E05D08"/>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D08"/>
    <w:rPr>
      <w:rFonts w:ascii="Arial" w:eastAsia="Times New Roman" w:hAnsi="Arial" w:cs="Arial"/>
      <w:b/>
      <w:bCs/>
      <w:kern w:val="32"/>
      <w:sz w:val="24"/>
      <w:szCs w:val="32"/>
      <w:lang w:eastAsia="de-DE"/>
    </w:rPr>
  </w:style>
  <w:style w:type="character" w:customStyle="1" w:styleId="Heading2Char">
    <w:name w:val="Heading 2 Char"/>
    <w:aliases w:val="Titre B Char,no vale Char,Heading 2 Char1 Char,Heading 2 Char Char Char"/>
    <w:basedOn w:val="DefaultParagraphFont"/>
    <w:link w:val="Heading2"/>
    <w:uiPriority w:val="9"/>
    <w:rsid w:val="00E05D08"/>
    <w:rPr>
      <w:rFonts w:ascii="Arial" w:eastAsia="Times New Roman" w:hAnsi="Arial" w:cs="Arial"/>
      <w:b/>
      <w:bCs/>
      <w:iCs/>
      <w:szCs w:val="28"/>
      <w:lang w:eastAsia="de-DE"/>
    </w:rPr>
  </w:style>
  <w:style w:type="character" w:customStyle="1" w:styleId="Heading3Char">
    <w:name w:val="Heading 3 Char"/>
    <w:aliases w:val="H3 Char,no vale1 Char,no vale1 Car Char"/>
    <w:basedOn w:val="DefaultParagraphFont"/>
    <w:link w:val="Heading3"/>
    <w:rsid w:val="00E05D08"/>
    <w:rPr>
      <w:rFonts w:ascii="Arial" w:eastAsia="Times New Roman" w:hAnsi="Arial" w:cs="Arial"/>
      <w:b/>
      <w:bCs/>
      <w:color w:val="5F5F5F"/>
      <w:sz w:val="20"/>
      <w:szCs w:val="26"/>
      <w:lang w:eastAsia="de-DE"/>
    </w:rPr>
  </w:style>
  <w:style w:type="paragraph" w:styleId="ListParagraph">
    <w:name w:val="List Paragraph"/>
    <w:basedOn w:val="Normal"/>
    <w:uiPriority w:val="34"/>
    <w:qFormat/>
    <w:rsid w:val="00B421B9"/>
    <w:pPr>
      <w:ind w:left="720"/>
      <w:contextualSpacing/>
    </w:pPr>
  </w:style>
  <w:style w:type="character" w:customStyle="1" w:styleId="Heading5Char">
    <w:name w:val="Heading 5 Char"/>
    <w:basedOn w:val="DefaultParagraphFont"/>
    <w:link w:val="Heading5"/>
    <w:uiPriority w:val="99"/>
    <w:rsid w:val="00E05D08"/>
    <w:rPr>
      <w:rFonts w:ascii="Arial" w:eastAsia="Times New Roman" w:hAnsi="Arial" w:cs="Times New Roman"/>
      <w:b/>
      <w:bCs/>
      <w:iCs/>
      <w:color w:val="5F5F5F"/>
      <w:sz w:val="18"/>
      <w:szCs w:val="26"/>
      <w:lang w:val="nl-NL" w:eastAsia="de-DE"/>
    </w:rPr>
  </w:style>
  <w:style w:type="character" w:customStyle="1" w:styleId="Heading6Char">
    <w:name w:val="Heading 6 Char"/>
    <w:basedOn w:val="DefaultParagraphFont"/>
    <w:link w:val="Heading6"/>
    <w:uiPriority w:val="99"/>
    <w:rsid w:val="00E05D08"/>
    <w:rPr>
      <w:rFonts w:ascii="Arial" w:eastAsia="Times New Roman" w:hAnsi="Arial" w:cs="Times New Roman"/>
      <w:b/>
      <w:bCs/>
      <w:color w:val="808080"/>
      <w:sz w:val="16"/>
      <w:lang w:eastAsia="de-DE"/>
    </w:rPr>
  </w:style>
  <w:style w:type="character" w:customStyle="1" w:styleId="Heading7Char">
    <w:name w:val="Heading 7 Char"/>
    <w:basedOn w:val="DefaultParagraphFont"/>
    <w:link w:val="Heading7"/>
    <w:rsid w:val="00E05D08"/>
    <w:rPr>
      <w:rFonts w:ascii="Arial" w:eastAsia="Times New Roman" w:hAnsi="Arial" w:cs="Times New Roman"/>
      <w:b/>
      <w:color w:val="808080"/>
      <w:sz w:val="16"/>
      <w:szCs w:val="24"/>
      <w:lang w:eastAsia="de-DE"/>
    </w:rPr>
  </w:style>
  <w:style w:type="character" w:customStyle="1" w:styleId="Heading8Char">
    <w:name w:val="Heading 8 Char"/>
    <w:basedOn w:val="DefaultParagraphFont"/>
    <w:link w:val="Heading8"/>
    <w:rsid w:val="00E05D08"/>
    <w:rPr>
      <w:rFonts w:ascii="Arial" w:eastAsia="Times New Roman" w:hAnsi="Arial" w:cs="Times New Roman"/>
      <w:b/>
      <w:iCs/>
      <w:color w:val="808080"/>
      <w:sz w:val="16"/>
      <w:szCs w:val="24"/>
      <w:lang w:eastAsia="de-DE"/>
    </w:rPr>
  </w:style>
  <w:style w:type="character" w:customStyle="1" w:styleId="Heading9Char">
    <w:name w:val="Heading 9 Char"/>
    <w:basedOn w:val="DefaultParagraphFont"/>
    <w:link w:val="Heading9"/>
    <w:rsid w:val="00E05D08"/>
    <w:rPr>
      <w:rFonts w:ascii="Arial" w:eastAsia="Times New Roman" w:hAnsi="Arial" w:cs="Arial"/>
      <w:b/>
      <w:bCs/>
      <w:kern w:val="32"/>
      <w:sz w:val="24"/>
      <w:lang w:eastAsia="de-DE"/>
    </w:rPr>
  </w:style>
  <w:style w:type="numbering" w:customStyle="1" w:styleId="NoList1">
    <w:name w:val="No List1"/>
    <w:next w:val="NoList"/>
    <w:uiPriority w:val="99"/>
    <w:semiHidden/>
    <w:unhideWhenUsed/>
    <w:rsid w:val="00E05D08"/>
  </w:style>
  <w:style w:type="paragraph" w:styleId="TOC1">
    <w:name w:val="toc 1"/>
    <w:basedOn w:val="Normal"/>
    <w:next w:val="Normal"/>
    <w:autoRedefine/>
    <w:uiPriority w:val="39"/>
    <w:unhideWhenUsed/>
    <w:rsid w:val="009837FF"/>
    <w:pPr>
      <w:spacing w:after="100"/>
      <w:ind w:left="567" w:hanging="567"/>
    </w:pPr>
    <w:rPr>
      <w:b/>
      <w:caps/>
    </w:rPr>
  </w:style>
  <w:style w:type="paragraph" w:styleId="TOC2">
    <w:name w:val="toc 2"/>
    <w:basedOn w:val="Normal"/>
    <w:next w:val="Normal"/>
    <w:autoRedefine/>
    <w:uiPriority w:val="39"/>
    <w:unhideWhenUsed/>
    <w:rsid w:val="002F11D9"/>
    <w:pPr>
      <w:spacing w:after="100"/>
      <w:ind w:left="567" w:hanging="567"/>
    </w:pPr>
  </w:style>
  <w:style w:type="paragraph" w:styleId="Footer">
    <w:name w:val="footer"/>
    <w:link w:val="FooterChar"/>
    <w:uiPriority w:val="99"/>
    <w:rsid w:val="00E05D08"/>
    <w:pPr>
      <w:tabs>
        <w:tab w:val="right" w:pos="8618"/>
      </w:tabs>
      <w:spacing w:after="0" w:line="240" w:lineRule="auto"/>
      <w:ind w:left="-907" w:right="-907"/>
      <w:jc w:val="center"/>
    </w:pPr>
    <w:rPr>
      <w:rFonts w:ascii="Arial" w:eastAsia="Times New Roman" w:hAnsi="Arial" w:cs="Times New Roman"/>
      <w:color w:val="373737"/>
      <w:szCs w:val="20"/>
      <w:lang w:eastAsia="de-DE"/>
    </w:rPr>
  </w:style>
  <w:style w:type="character" w:customStyle="1" w:styleId="FooterChar">
    <w:name w:val="Footer Char"/>
    <w:basedOn w:val="DefaultParagraphFont"/>
    <w:link w:val="Footer"/>
    <w:uiPriority w:val="99"/>
    <w:rsid w:val="00E05D08"/>
    <w:rPr>
      <w:rFonts w:ascii="Arial" w:eastAsia="Times New Roman" w:hAnsi="Arial" w:cs="Times New Roman"/>
      <w:color w:val="373737"/>
      <w:szCs w:val="20"/>
      <w:lang w:eastAsia="de-DE"/>
    </w:rPr>
  </w:style>
  <w:style w:type="character" w:styleId="PageNumber">
    <w:name w:val="page number"/>
    <w:basedOn w:val="DefaultParagraphFont"/>
    <w:semiHidden/>
    <w:rsid w:val="00E05D08"/>
    <w:rPr>
      <w:rFonts w:ascii="Arial" w:hAnsi="Arial"/>
      <w:color w:val="808080"/>
      <w:sz w:val="18"/>
    </w:rPr>
  </w:style>
  <w:style w:type="paragraph" w:customStyle="1" w:styleId="HTitle2">
    <w:name w:val="H_Title2"/>
    <w:basedOn w:val="Normal"/>
    <w:qFormat/>
    <w:rsid w:val="00E05D08"/>
    <w:pPr>
      <w:autoSpaceDE w:val="0"/>
      <w:autoSpaceDN w:val="0"/>
      <w:adjustRightInd w:val="0"/>
      <w:spacing w:after="120" w:line="280" w:lineRule="atLeast"/>
    </w:pPr>
    <w:rPr>
      <w:rFonts w:eastAsia="Times New Roman" w:cs="Times New Roman"/>
      <w:smallCaps/>
      <w:sz w:val="44"/>
      <w:szCs w:val="52"/>
      <w:lang w:eastAsia="de-DE"/>
    </w:rPr>
  </w:style>
  <w:style w:type="paragraph" w:customStyle="1" w:styleId="Hlistbullet">
    <w:name w:val="H_list_bullet"/>
    <w:uiPriority w:val="99"/>
    <w:rsid w:val="00EA0974"/>
    <w:pPr>
      <w:numPr>
        <w:numId w:val="2"/>
      </w:numPr>
      <w:spacing w:after="120" w:line="280" w:lineRule="atLeast"/>
      <w:ind w:left="567" w:hanging="567"/>
      <w:jc w:val="both"/>
    </w:pPr>
    <w:rPr>
      <w:rFonts w:ascii="Arial" w:eastAsia="Times New Roman" w:hAnsi="Arial" w:cs="Times New Roman"/>
      <w:color w:val="373737"/>
      <w:sz w:val="20"/>
      <w:szCs w:val="20"/>
      <w:lang w:eastAsia="de-DE"/>
    </w:rPr>
  </w:style>
  <w:style w:type="paragraph" w:customStyle="1" w:styleId="Hlistbullet2">
    <w:name w:val="H_list_bullet2"/>
    <w:basedOn w:val="Hlistbullet"/>
    <w:next w:val="HStandard"/>
    <w:rsid w:val="00EA0974"/>
    <w:pPr>
      <w:numPr>
        <w:numId w:val="12"/>
      </w:numPr>
      <w:ind w:left="1134" w:hanging="567"/>
    </w:pPr>
  </w:style>
  <w:style w:type="paragraph" w:customStyle="1" w:styleId="Hlistabc">
    <w:name w:val="H_list_abc"/>
    <w:rsid w:val="00E05D08"/>
    <w:pPr>
      <w:spacing w:after="120" w:line="280" w:lineRule="atLeast"/>
      <w:mirrorIndents/>
      <w:jc w:val="both"/>
    </w:pPr>
    <w:rPr>
      <w:rFonts w:ascii="Arial" w:eastAsia="Times New Roman" w:hAnsi="Arial" w:cs="Times New Roman"/>
      <w:color w:val="373737"/>
      <w:sz w:val="20"/>
      <w:szCs w:val="20"/>
      <w:lang w:eastAsia="de-DE"/>
    </w:rPr>
  </w:style>
  <w:style w:type="paragraph" w:customStyle="1" w:styleId="Hlistabc2">
    <w:name w:val="H_list_abc_2"/>
    <w:basedOn w:val="Hlistabc"/>
    <w:next w:val="HStandard"/>
    <w:rsid w:val="00E05D08"/>
    <w:pPr>
      <w:spacing w:after="140"/>
    </w:pPr>
  </w:style>
  <w:style w:type="paragraph" w:customStyle="1" w:styleId="HTitle1">
    <w:name w:val="H_Title1"/>
    <w:basedOn w:val="Normal"/>
    <w:rsid w:val="00E05D08"/>
    <w:pPr>
      <w:autoSpaceDE w:val="0"/>
      <w:autoSpaceDN w:val="0"/>
      <w:adjustRightInd w:val="0"/>
      <w:spacing w:after="120" w:line="280" w:lineRule="atLeast"/>
    </w:pPr>
    <w:rPr>
      <w:rFonts w:eastAsia="Times New Roman" w:cs="Times New Roman"/>
      <w:bCs/>
      <w:smallCaps/>
      <w:color w:val="F07E31"/>
      <w:sz w:val="60"/>
      <w:szCs w:val="32"/>
      <w:lang w:eastAsia="de-DE"/>
    </w:rPr>
  </w:style>
  <w:style w:type="paragraph" w:customStyle="1" w:styleId="Autor">
    <w:name w:val="Autor"/>
    <w:basedOn w:val="Normal"/>
    <w:rsid w:val="00E05D08"/>
    <w:pPr>
      <w:spacing w:after="0" w:line="280" w:lineRule="exact"/>
    </w:pPr>
    <w:rPr>
      <w:rFonts w:eastAsia="Times New Roman" w:cs="Times New Roman"/>
      <w:szCs w:val="24"/>
      <w:lang w:eastAsia="de-DE"/>
    </w:rPr>
  </w:style>
  <w:style w:type="paragraph" w:customStyle="1" w:styleId="HTitle3">
    <w:name w:val="H_Title3"/>
    <w:basedOn w:val="Autor"/>
    <w:rsid w:val="00E05D08"/>
    <w:rPr>
      <w:smallCaps/>
      <w:sz w:val="28"/>
    </w:rPr>
  </w:style>
  <w:style w:type="paragraph" w:styleId="TOC3">
    <w:name w:val="toc 3"/>
    <w:basedOn w:val="Normal"/>
    <w:next w:val="Normal"/>
    <w:autoRedefine/>
    <w:uiPriority w:val="39"/>
    <w:unhideWhenUsed/>
    <w:rsid w:val="009837FF"/>
    <w:pPr>
      <w:spacing w:after="100"/>
      <w:ind w:left="567" w:hanging="567"/>
    </w:pPr>
  </w:style>
  <w:style w:type="paragraph" w:styleId="TOC4">
    <w:name w:val="toc 4"/>
    <w:basedOn w:val="Normal"/>
    <w:next w:val="Normal"/>
    <w:autoRedefine/>
    <w:uiPriority w:val="39"/>
    <w:unhideWhenUsed/>
    <w:rsid w:val="002F11D9"/>
    <w:pPr>
      <w:keepLines/>
      <w:spacing w:after="100"/>
    </w:pPr>
    <w:rPr>
      <w:noProof/>
    </w:rPr>
  </w:style>
  <w:style w:type="paragraph" w:customStyle="1" w:styleId="Fuzeilequerformat">
    <w:name w:val="Fußzeile_querformat"/>
    <w:basedOn w:val="Footer"/>
    <w:rsid w:val="00E05D08"/>
    <w:pPr>
      <w:tabs>
        <w:tab w:val="clear" w:pos="8618"/>
        <w:tab w:val="right" w:pos="12871"/>
      </w:tabs>
    </w:pPr>
  </w:style>
  <w:style w:type="paragraph" w:styleId="TableofFigures">
    <w:name w:val="table of figures"/>
    <w:next w:val="HStandard"/>
    <w:uiPriority w:val="99"/>
    <w:rsid w:val="00E05D08"/>
    <w:pPr>
      <w:tabs>
        <w:tab w:val="left" w:pos="851"/>
        <w:tab w:val="right" w:leader="dot" w:pos="7711"/>
      </w:tabs>
      <w:suppressAutoHyphens/>
      <w:spacing w:before="60" w:after="0" w:line="280" w:lineRule="exact"/>
      <w:ind w:left="851" w:right="284" w:hanging="851"/>
    </w:pPr>
    <w:rPr>
      <w:rFonts w:ascii="Arial" w:eastAsia="Times New Roman" w:hAnsi="Arial" w:cs="Times New Roman"/>
      <w:sz w:val="20"/>
      <w:szCs w:val="20"/>
      <w:lang w:eastAsia="de-DE"/>
    </w:rPr>
  </w:style>
  <w:style w:type="paragraph" w:customStyle="1" w:styleId="Hlistline3">
    <w:name w:val="H_list_line3"/>
    <w:rsid w:val="00E05D08"/>
    <w:pPr>
      <w:numPr>
        <w:numId w:val="4"/>
      </w:numPr>
      <w:spacing w:before="60" w:after="60" w:line="220" w:lineRule="atLeast"/>
      <w:ind w:left="851" w:hanging="284"/>
    </w:pPr>
    <w:rPr>
      <w:rFonts w:ascii="Arial" w:eastAsia="Times New Roman" w:hAnsi="Arial" w:cs="Times New Roman"/>
      <w:color w:val="373737"/>
      <w:sz w:val="20"/>
      <w:szCs w:val="20"/>
      <w:lang w:eastAsia="de-DE"/>
    </w:rPr>
  </w:style>
  <w:style w:type="paragraph" w:customStyle="1" w:styleId="Hlistline4">
    <w:name w:val="H_list_line4"/>
    <w:basedOn w:val="Hlistline3"/>
    <w:next w:val="HStandard"/>
    <w:rsid w:val="00E05D08"/>
    <w:pPr>
      <w:ind w:left="1135"/>
    </w:pPr>
  </w:style>
  <w:style w:type="paragraph" w:customStyle="1" w:styleId="HSource">
    <w:name w:val="H_Source"/>
    <w:next w:val="HStandard"/>
    <w:rsid w:val="00E05D08"/>
    <w:pPr>
      <w:suppressAutoHyphens/>
      <w:spacing w:before="60" w:after="140" w:line="240" w:lineRule="auto"/>
      <w:ind w:left="1134" w:right="1134"/>
      <w:mirrorIndents/>
      <w:jc w:val="center"/>
    </w:pPr>
    <w:rPr>
      <w:rFonts w:ascii="Arial" w:eastAsia="Times New Roman" w:hAnsi="Arial" w:cs="Times New Roman"/>
      <w:i/>
      <w:color w:val="373737"/>
      <w:sz w:val="16"/>
      <w:szCs w:val="20"/>
      <w:lang w:eastAsia="de-DE"/>
    </w:rPr>
  </w:style>
  <w:style w:type="paragraph" w:customStyle="1" w:styleId="Htableleft">
    <w:name w:val="H_table_left"/>
    <w:rsid w:val="00E05D08"/>
    <w:pPr>
      <w:suppressAutoHyphens/>
      <w:spacing w:before="40" w:after="40" w:line="240" w:lineRule="auto"/>
    </w:pPr>
    <w:rPr>
      <w:rFonts w:ascii="Arial" w:eastAsia="Times New Roman" w:hAnsi="Arial" w:cs="Times New Roman"/>
      <w:color w:val="373737"/>
      <w:sz w:val="18"/>
      <w:szCs w:val="20"/>
      <w:lang w:eastAsia="de-DE"/>
    </w:rPr>
  </w:style>
  <w:style w:type="paragraph" w:customStyle="1" w:styleId="Htablecentered">
    <w:name w:val="H_table_centered"/>
    <w:basedOn w:val="Htableleft"/>
    <w:rsid w:val="00E05D08"/>
    <w:pPr>
      <w:jc w:val="center"/>
    </w:pPr>
  </w:style>
  <w:style w:type="paragraph" w:customStyle="1" w:styleId="Htableleftbolt">
    <w:name w:val="H_table_left_bolt"/>
    <w:basedOn w:val="Htableleft"/>
    <w:rsid w:val="00E05D08"/>
    <w:rPr>
      <w:b/>
      <w:color w:val="FFFFFF"/>
    </w:rPr>
  </w:style>
  <w:style w:type="paragraph" w:customStyle="1" w:styleId="Htablecenteredbolt">
    <w:name w:val="H_table_centered_bolt"/>
    <w:basedOn w:val="Htablecentered"/>
    <w:rsid w:val="00E05D08"/>
    <w:rPr>
      <w:b/>
      <w:color w:val="FFFFFF"/>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F74459"/>
    <w:pPr>
      <w:spacing w:after="0" w:line="180" w:lineRule="exact"/>
    </w:pPr>
    <w:rPr>
      <w:rFonts w:ascii="Arial" w:eastAsia="Times New Roman" w:hAnsi="Arial" w:cs="Times New Roman"/>
      <w:color w:val="808080"/>
      <w:sz w:val="16"/>
      <w:szCs w:val="20"/>
      <w:lang w:eastAsia="de-DE"/>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F74459"/>
    <w:rPr>
      <w:rFonts w:ascii="Arial" w:eastAsia="Times New Roman" w:hAnsi="Arial" w:cs="Times New Roman"/>
      <w:color w:val="808080"/>
      <w:sz w:val="16"/>
      <w:szCs w:val="20"/>
      <w:lang w:eastAsia="de-DE"/>
    </w:rPr>
  </w:style>
  <w:style w:type="paragraph" w:customStyle="1" w:styleId="Htablebullet">
    <w:name w:val="H_table_bullet"/>
    <w:basedOn w:val="Htableleft"/>
    <w:rsid w:val="00E05D08"/>
    <w:pPr>
      <w:numPr>
        <w:numId w:val="5"/>
      </w:numPr>
    </w:pPr>
  </w:style>
  <w:style w:type="paragraph" w:customStyle="1" w:styleId="HContent">
    <w:name w:val="H_Content"/>
    <w:basedOn w:val="Heading1"/>
    <w:next w:val="HStandard"/>
    <w:rsid w:val="00E05D08"/>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582F60"/>
    <w:pPr>
      <w:keepNext/>
      <w:keepLines/>
      <w:pageBreakBefore/>
      <w:numPr>
        <w:numId w:val="119"/>
      </w:numPr>
      <w:tabs>
        <w:tab w:val="left" w:pos="567"/>
      </w:tabs>
      <w:spacing w:before="360" w:after="360" w:line="280" w:lineRule="atLeast"/>
      <w:ind w:left="567" w:hanging="567"/>
      <w:mirrorIndents/>
      <w:outlineLvl w:val="0"/>
    </w:pPr>
    <w:rPr>
      <w:rFonts w:ascii="Arial" w:eastAsia="Times New Roman" w:hAnsi="Arial" w:cs="Times New Roman"/>
      <w:b/>
      <w:caps/>
      <w:color w:val="F07E31"/>
      <w:sz w:val="20"/>
      <w:szCs w:val="20"/>
      <w:lang w:eastAsia="de-DE"/>
    </w:rPr>
  </w:style>
  <w:style w:type="paragraph" w:customStyle="1" w:styleId="HHeading2">
    <w:name w:val="H_Heading 2"/>
    <w:next w:val="HStandard"/>
    <w:rsid w:val="00E05D08"/>
    <w:pPr>
      <w:keepNext/>
      <w:keepLines/>
      <w:numPr>
        <w:ilvl w:val="1"/>
        <w:numId w:val="6"/>
      </w:numPr>
      <w:tabs>
        <w:tab w:val="left" w:pos="567"/>
      </w:tabs>
      <w:spacing w:before="240" w:after="140" w:line="260" w:lineRule="exact"/>
      <w:mirrorIndents/>
      <w:outlineLvl w:val="1"/>
    </w:pPr>
    <w:rPr>
      <w:rFonts w:ascii="Arial" w:eastAsia="Times New Roman" w:hAnsi="Arial" w:cs="Times New Roman"/>
      <w:b/>
      <w:color w:val="373737"/>
      <w:sz w:val="20"/>
      <w:szCs w:val="20"/>
      <w:lang w:eastAsia="de-DE"/>
    </w:rPr>
  </w:style>
  <w:style w:type="paragraph" w:customStyle="1" w:styleId="HHeading3">
    <w:name w:val="H_Heading 3"/>
    <w:next w:val="HStandard"/>
    <w:rsid w:val="009B603C"/>
    <w:pPr>
      <w:keepNext/>
      <w:keepLines/>
      <w:numPr>
        <w:ilvl w:val="2"/>
        <w:numId w:val="6"/>
      </w:numPr>
      <w:tabs>
        <w:tab w:val="left" w:pos="567"/>
      </w:tabs>
      <w:spacing w:before="240" w:after="140" w:line="240" w:lineRule="exact"/>
      <w:ind w:left="567" w:hanging="567"/>
      <w:mirrorIndents/>
      <w:outlineLvl w:val="2"/>
    </w:pPr>
    <w:rPr>
      <w:rFonts w:ascii="Arial" w:eastAsia="Times New Roman" w:hAnsi="Arial" w:cs="Times New Roman"/>
      <w:b/>
      <w:color w:val="F07E31"/>
      <w:sz w:val="20"/>
      <w:szCs w:val="20"/>
      <w:lang w:eastAsia="de-DE"/>
    </w:rPr>
  </w:style>
  <w:style w:type="paragraph" w:customStyle="1" w:styleId="HHeading4">
    <w:name w:val="H_Heading 4"/>
    <w:next w:val="HStandard"/>
    <w:rsid w:val="00E05D08"/>
    <w:pPr>
      <w:keepNext/>
      <w:keepLines/>
      <w:tabs>
        <w:tab w:val="left" w:pos="680"/>
      </w:tabs>
      <w:spacing w:before="240" w:after="240" w:line="280" w:lineRule="atLeast"/>
      <w:mirrorIndents/>
      <w:outlineLvl w:val="3"/>
    </w:pPr>
    <w:rPr>
      <w:rFonts w:ascii="Arial" w:eastAsia="Times New Roman" w:hAnsi="Arial" w:cs="Times New Roman"/>
      <w:b/>
      <w:color w:val="57825E"/>
      <w:sz w:val="20"/>
      <w:szCs w:val="20"/>
      <w:lang w:eastAsia="de-DE"/>
    </w:rPr>
  </w:style>
  <w:style w:type="character" w:styleId="Hyperlink">
    <w:name w:val="Hyperlink"/>
    <w:basedOn w:val="DefaultParagraphFont"/>
    <w:uiPriority w:val="99"/>
    <w:rsid w:val="00E05D08"/>
    <w:rPr>
      <w:rFonts w:ascii="Arial" w:hAnsi="Arial"/>
      <w:color w:val="F07E31"/>
      <w:sz w:val="16"/>
      <w:u w:val="single"/>
      <w:lang w:val="nl-NL"/>
    </w:rPr>
  </w:style>
  <w:style w:type="paragraph" w:customStyle="1" w:styleId="HStandard">
    <w:name w:val="H_Standard"/>
    <w:rsid w:val="000E1D4B"/>
    <w:pPr>
      <w:spacing w:after="120" w:line="280" w:lineRule="atLeast"/>
      <w:jc w:val="both"/>
    </w:pPr>
    <w:rPr>
      <w:rFonts w:ascii="Arial" w:eastAsia="Times New Roman" w:hAnsi="Arial" w:cs="Times New Roman"/>
      <w:color w:val="373737"/>
      <w:sz w:val="20"/>
      <w:szCs w:val="20"/>
      <w:lang w:eastAsia="de-DE"/>
    </w:rPr>
  </w:style>
  <w:style w:type="paragraph" w:styleId="BalloonText">
    <w:name w:val="Balloon Text"/>
    <w:basedOn w:val="Normal"/>
    <w:link w:val="BalloonTextChar"/>
    <w:uiPriority w:val="99"/>
    <w:semiHidden/>
    <w:unhideWhenUsed/>
    <w:rsid w:val="00E05D08"/>
    <w:pPr>
      <w:spacing w:after="0" w:line="240" w:lineRule="auto"/>
    </w:pPr>
    <w:rPr>
      <w:rFonts w:ascii="Tahoma" w:eastAsia="Times New Roman" w:hAnsi="Tahoma" w:cs="Tahoma"/>
      <w:sz w:val="16"/>
      <w:szCs w:val="16"/>
      <w:lang w:eastAsia="de-DE"/>
    </w:rPr>
  </w:style>
  <w:style w:type="character" w:customStyle="1" w:styleId="BalloonTextChar">
    <w:name w:val="Balloon Text Char"/>
    <w:basedOn w:val="DefaultParagraphFont"/>
    <w:link w:val="BalloonText"/>
    <w:uiPriority w:val="99"/>
    <w:semiHidden/>
    <w:rsid w:val="00E05D08"/>
    <w:rPr>
      <w:rFonts w:ascii="Tahoma" w:eastAsia="Times New Roman" w:hAnsi="Tahoma" w:cs="Tahoma"/>
      <w:sz w:val="16"/>
      <w:szCs w:val="16"/>
      <w:lang w:eastAsia="de-DE"/>
    </w:rPr>
  </w:style>
  <w:style w:type="table" w:styleId="TableGrid">
    <w:name w:val="Table Grid"/>
    <w:basedOn w:val="TableNormal"/>
    <w:uiPriority w:val="39"/>
    <w:rsid w:val="00E05D08"/>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0D7890"/>
    <w:pPr>
      <w:numPr>
        <w:numId w:val="7"/>
      </w:numPr>
      <w:spacing w:before="200" w:after="140" w:line="240" w:lineRule="auto"/>
    </w:pPr>
    <w:rPr>
      <w:rFonts w:ascii="Arial" w:eastAsia="Times New Roman" w:hAnsi="Arial" w:cs="Times New Roman"/>
      <w:b/>
      <w:color w:val="373737"/>
      <w:sz w:val="16"/>
      <w:szCs w:val="20"/>
      <w:lang w:eastAsia="de-DE"/>
    </w:rPr>
  </w:style>
  <w:style w:type="paragraph" w:customStyle="1" w:styleId="HHeadingfigures">
    <w:name w:val="H_Heading_figures"/>
    <w:basedOn w:val="HHeadingtables"/>
    <w:next w:val="HStandard"/>
    <w:qFormat/>
    <w:rsid w:val="00E05D08"/>
    <w:pPr>
      <w:numPr>
        <w:numId w:val="8"/>
      </w:numPr>
      <w:tabs>
        <w:tab w:val="num" w:pos="964"/>
      </w:tabs>
    </w:pPr>
  </w:style>
  <w:style w:type="paragraph" w:customStyle="1" w:styleId="HHeadingmaps">
    <w:name w:val="H_Heading_maps"/>
    <w:basedOn w:val="HHeadingtables"/>
    <w:next w:val="HStandard"/>
    <w:qFormat/>
    <w:rsid w:val="00E05D08"/>
    <w:pPr>
      <w:keepNext/>
      <w:keepLines/>
      <w:numPr>
        <w:numId w:val="9"/>
      </w:numPr>
      <w:outlineLvl w:val="5"/>
    </w:pPr>
  </w:style>
  <w:style w:type="paragraph" w:customStyle="1" w:styleId="HHeadingboxes">
    <w:name w:val="H_Heading_boxes"/>
    <w:basedOn w:val="HHeadingtables"/>
    <w:next w:val="HStandard"/>
    <w:qFormat/>
    <w:rsid w:val="00E05D08"/>
    <w:pPr>
      <w:numPr>
        <w:numId w:val="10"/>
      </w:numPr>
      <w:ind w:left="851" w:hanging="851"/>
    </w:pPr>
  </w:style>
  <w:style w:type="paragraph" w:customStyle="1" w:styleId="HBox">
    <w:name w:val="H_Box"/>
    <w:next w:val="HStandard"/>
    <w:qFormat/>
    <w:rsid w:val="00E05D08"/>
    <w:pPr>
      <w:framePr w:wrap="notBeside" w:vAnchor="text" w:hAnchor="text" w:y="1"/>
      <w:spacing w:after="120" w:line="260" w:lineRule="atLeast"/>
      <w:jc w:val="both"/>
    </w:pPr>
    <w:rPr>
      <w:rFonts w:ascii="Arial" w:eastAsia="Times New Roman" w:hAnsi="Arial" w:cs="Times New Roman"/>
      <w:color w:val="373737"/>
      <w:sz w:val="18"/>
      <w:szCs w:val="20"/>
      <w:lang w:eastAsia="de-DE"/>
    </w:rPr>
  </w:style>
  <w:style w:type="paragraph" w:customStyle="1" w:styleId="HBoxbullet">
    <w:name w:val="H_Box_bullet"/>
    <w:next w:val="HStandard"/>
    <w:qFormat/>
    <w:rsid w:val="00E05D08"/>
    <w:pPr>
      <w:numPr>
        <w:numId w:val="11"/>
      </w:numPr>
      <w:pBdr>
        <w:top w:val="single" w:sz="4" w:space="4" w:color="F07E31"/>
        <w:left w:val="single" w:sz="4" w:space="8" w:color="F07E31"/>
        <w:bottom w:val="single" w:sz="4" w:space="4" w:color="F07E31"/>
        <w:right w:val="single" w:sz="4" w:space="4" w:color="F07E31"/>
      </w:pBdr>
      <w:shd w:val="clear" w:color="auto" w:fill="FCE5D5"/>
      <w:spacing w:after="0" w:line="240" w:lineRule="auto"/>
      <w:ind w:left="363" w:hanging="284"/>
      <w:jc w:val="both"/>
    </w:pPr>
    <w:rPr>
      <w:rFonts w:ascii="Arial" w:eastAsia="Times New Roman" w:hAnsi="Arial" w:cs="Times New Roman"/>
      <w:color w:val="373737"/>
      <w:sz w:val="20"/>
      <w:szCs w:val="20"/>
      <w:lang w:eastAsia="de-DE"/>
    </w:rPr>
  </w:style>
  <w:style w:type="paragraph" w:customStyle="1" w:styleId="Hdisclaimer">
    <w:name w:val="H_disclaimer"/>
    <w:qFormat/>
    <w:rsid w:val="00E05D08"/>
    <w:pPr>
      <w:spacing w:after="120" w:line="280" w:lineRule="atLeast"/>
      <w:jc w:val="both"/>
    </w:pPr>
    <w:rPr>
      <w:rFonts w:ascii="Arial" w:eastAsia="Times New Roman" w:hAnsi="Arial" w:cs="Arial"/>
      <w:color w:val="373737"/>
      <w:sz w:val="18"/>
      <w:szCs w:val="18"/>
      <w:lang w:eastAsia="de-DE"/>
    </w:rPr>
  </w:style>
  <w:style w:type="character" w:styleId="SubtleReference">
    <w:name w:val="Subtle Reference"/>
    <w:uiPriority w:val="31"/>
    <w:qFormat/>
    <w:rsid w:val="00C37C7A"/>
    <w:rPr>
      <w:rFonts w:eastAsia="Times New Roman" w:cs="Times New Roman"/>
      <w:szCs w:val="20"/>
      <w:lang w:eastAsia="de-DE"/>
    </w:rPr>
  </w:style>
  <w:style w:type="table" w:customStyle="1" w:styleId="TableGrid1">
    <w:name w:val="Table Grid1"/>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CommentSubject">
    <w:name w:val="annotation subject"/>
    <w:basedOn w:val="Normal"/>
    <w:next w:val="Normal"/>
    <w:link w:val="CommentSubjectChar"/>
    <w:uiPriority w:val="99"/>
    <w:semiHidden/>
    <w:unhideWhenUsed/>
    <w:rsid w:val="00C37C7A"/>
    <w:pPr>
      <w:spacing w:before="60" w:after="140" w:line="240" w:lineRule="auto"/>
    </w:pPr>
    <w:rPr>
      <w:rFonts w:eastAsia="Times New Roman" w:cs="Times New Roman"/>
      <w:b/>
      <w:bCs/>
      <w:szCs w:val="20"/>
      <w:lang w:eastAsia="de-DE"/>
    </w:rPr>
  </w:style>
  <w:style w:type="character" w:customStyle="1" w:styleId="CommentSubjectChar">
    <w:name w:val="Comment Subject Char"/>
    <w:basedOn w:val="DefaultParagraphFont"/>
    <w:link w:val="CommentSubject"/>
    <w:uiPriority w:val="99"/>
    <w:semiHidden/>
    <w:rsid w:val="00C37C7A"/>
    <w:rPr>
      <w:rFonts w:ascii="Arial" w:eastAsia="Times New Roman" w:hAnsi="Arial" w:cs="Times New Roman"/>
      <w:b/>
      <w:bCs/>
      <w:sz w:val="20"/>
      <w:szCs w:val="20"/>
      <w:lang w:eastAsia="de-DE"/>
    </w:rPr>
  </w:style>
  <w:style w:type="paragraph" w:customStyle="1" w:styleId="Normal12PTcouleurgris">
    <w:name w:val="Normal + 12PT couleur gris"/>
    <w:basedOn w:val="Normal"/>
    <w:qFormat/>
    <w:rsid w:val="00E05D08"/>
    <w:pPr>
      <w:spacing w:after="0" w:line="280" w:lineRule="atLeast"/>
    </w:pPr>
    <w:rPr>
      <w:rFonts w:eastAsia="Times New Roman" w:cs="Arial"/>
      <w:szCs w:val="18"/>
      <w:lang w:eastAsia="de-DE"/>
    </w:rPr>
  </w:style>
  <w:style w:type="numbering" w:customStyle="1" w:styleId="MaListe">
    <w:name w:val="MaListe"/>
    <w:uiPriority w:val="99"/>
    <w:rsid w:val="00E05D08"/>
    <w:pPr>
      <w:numPr>
        <w:numId w:val="15"/>
      </w:numPr>
    </w:pPr>
  </w:style>
  <w:style w:type="character" w:styleId="HTMLCite">
    <w:name w:val="HTML Cite"/>
    <w:uiPriority w:val="99"/>
    <w:semiHidden/>
    <w:rsid w:val="00E05D08"/>
    <w:rPr>
      <w:i/>
    </w:rPr>
  </w:style>
  <w:style w:type="paragraph" w:styleId="Subtitle">
    <w:name w:val="Subtitle"/>
    <w:basedOn w:val="Normal"/>
    <w:link w:val="SubtitleChar"/>
    <w:uiPriority w:val="99"/>
    <w:qFormat/>
    <w:rsid w:val="00E05D08"/>
    <w:pPr>
      <w:numPr>
        <w:numId w:val="33"/>
      </w:numPr>
      <w:spacing w:before="60" w:after="60" w:line="240" w:lineRule="auto"/>
      <w:ind w:left="4897"/>
      <w:outlineLvl w:val="1"/>
    </w:pPr>
    <w:rPr>
      <w:rFonts w:ascii="Helvetica" w:eastAsia="Times New Roman" w:hAnsi="Helvetica" w:cs="Times New Roman"/>
      <w:b/>
      <w:snapToGrid w:val="0"/>
      <w:color w:val="9B3930"/>
      <w:sz w:val="16"/>
      <w:szCs w:val="16"/>
      <w:lang w:eastAsia="de-DE"/>
    </w:rPr>
  </w:style>
  <w:style w:type="character" w:customStyle="1" w:styleId="SubtitleChar">
    <w:name w:val="Subtitle Char"/>
    <w:basedOn w:val="DefaultParagraphFont"/>
    <w:link w:val="Subtitle"/>
    <w:uiPriority w:val="99"/>
    <w:rsid w:val="00E05D08"/>
    <w:rPr>
      <w:rFonts w:ascii="Helvetica" w:eastAsia="Times New Roman" w:hAnsi="Helvetica" w:cs="Times New Roman"/>
      <w:b/>
      <w:snapToGrid w:val="0"/>
      <w:color w:val="9B3930"/>
      <w:sz w:val="16"/>
      <w:szCs w:val="16"/>
      <w:lang w:eastAsia="de-DE"/>
    </w:rPr>
  </w:style>
  <w:style w:type="character" w:styleId="Emphasis">
    <w:name w:val="Emphasis"/>
    <w:uiPriority w:val="20"/>
    <w:qFormat/>
    <w:rsid w:val="00E05D08"/>
    <w:rPr>
      <w:i/>
    </w:rPr>
  </w:style>
  <w:style w:type="character" w:customStyle="1" w:styleId="Heading4Char">
    <w:name w:val="Heading 4 Char"/>
    <w:aliases w:val="Heading 4 Char1 Char,Título 4 Car Char,Heading 4 Char1 Car Char,no vale 2 Char,no vale 2 Car Char"/>
    <w:link w:val="Heading4"/>
    <w:uiPriority w:val="99"/>
    <w:locked/>
    <w:rsid w:val="00E05D08"/>
    <w:rPr>
      <w:rFonts w:ascii="Arial" w:eastAsia="Times New Roman" w:hAnsi="Arial" w:cs="Times New Roman"/>
      <w:b/>
      <w:bCs/>
      <w:color w:val="5F5F5F"/>
      <w:sz w:val="18"/>
      <w:szCs w:val="28"/>
      <w:lang w:eastAsia="de-DE"/>
    </w:rPr>
  </w:style>
  <w:style w:type="character" w:styleId="FollowedHyperlink">
    <w:name w:val="FollowedHyperlink"/>
    <w:uiPriority w:val="99"/>
    <w:semiHidden/>
    <w:rsid w:val="00E05D08"/>
    <w:rPr>
      <w:rFonts w:cs="Times New Roman"/>
      <w:color w:val="800080"/>
      <w:u w:val="single"/>
    </w:rPr>
  </w:style>
  <w:style w:type="paragraph" w:customStyle="1" w:styleId="Style">
    <w:name w:val="Style"/>
    <w:uiPriority w:val="99"/>
    <w:rsid w:val="00E05D08"/>
    <w:pPr>
      <w:spacing w:after="0" w:line="240" w:lineRule="auto"/>
    </w:pPr>
    <w:rPr>
      <w:rFonts w:ascii="Calibri" w:eastAsia="Times New Roman" w:hAnsi="Calibri" w:cs="Times New Roman"/>
      <w:sz w:val="24"/>
      <w:szCs w:val="24"/>
      <w:lang w:eastAsia="da-DK"/>
    </w:rPr>
  </w:style>
  <w:style w:type="table" w:customStyle="1" w:styleId="Tabellenraster11">
    <w:name w:val="Tabellenraster11"/>
    <w:uiPriority w:val="99"/>
    <w:rsid w:val="00E05D0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basedOn w:val="Normal"/>
    <w:next w:val="Normal"/>
    <w:link w:val="QuoteChar"/>
    <w:uiPriority w:val="99"/>
    <w:rsid w:val="00E05D08"/>
    <w:pPr>
      <w:spacing w:after="120" w:line="280" w:lineRule="atLeast"/>
    </w:pPr>
    <w:rPr>
      <w:rFonts w:ascii="Helvetica" w:eastAsia="Times New Roman" w:hAnsi="Helvetica" w:cs="Times New Roman"/>
      <w:i/>
      <w:iCs/>
      <w:snapToGrid w:val="0"/>
      <w:color w:val="000000"/>
      <w:lang w:eastAsia="de-DE"/>
    </w:rPr>
  </w:style>
  <w:style w:type="character" w:customStyle="1" w:styleId="QuoteChar">
    <w:name w:val="Quote Char"/>
    <w:link w:val="Quote1"/>
    <w:uiPriority w:val="99"/>
    <w:locked/>
    <w:rsid w:val="00E05D08"/>
    <w:rPr>
      <w:rFonts w:ascii="Helvetica" w:eastAsia="Times New Roman" w:hAnsi="Helvetica" w:cs="Times New Roman"/>
      <w:i/>
      <w:iCs/>
      <w:snapToGrid w:val="0"/>
      <w:color w:val="000000"/>
      <w:lang w:eastAsia="de-DE"/>
    </w:rPr>
  </w:style>
  <w:style w:type="numbering" w:styleId="111111">
    <w:name w:val="Outline List 2"/>
    <w:basedOn w:val="NoList"/>
    <w:uiPriority w:val="99"/>
    <w:rsid w:val="00E05D08"/>
    <w:pPr>
      <w:numPr>
        <w:numId w:val="30"/>
      </w:numPr>
    </w:pPr>
  </w:style>
  <w:style w:type="paragraph" w:customStyle="1" w:styleId="Revision1">
    <w:name w:val="Revision1"/>
    <w:hidden/>
    <w:uiPriority w:val="99"/>
    <w:semiHidden/>
    <w:rsid w:val="00E05D08"/>
    <w:pPr>
      <w:spacing w:after="0" w:line="240" w:lineRule="auto"/>
    </w:pPr>
    <w:rPr>
      <w:rFonts w:ascii="Arial" w:eastAsia="Times New Roman" w:hAnsi="Arial" w:cs="Times New Roman"/>
      <w:sz w:val="20"/>
      <w:lang w:eastAsia="de-DE"/>
    </w:rPr>
  </w:style>
  <w:style w:type="paragraph" w:customStyle="1" w:styleId="TOCHeading2">
    <w:name w:val="TOC Heading2"/>
    <w:basedOn w:val="Heading1"/>
    <w:next w:val="Normal"/>
    <w:uiPriority w:val="99"/>
    <w:semiHidden/>
    <w:unhideWhenUsed/>
    <w:qFormat/>
    <w:rsid w:val="00E05D08"/>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lang w:eastAsia="de-AT"/>
    </w:rPr>
  </w:style>
  <w:style w:type="paragraph" w:styleId="Revision">
    <w:name w:val="Revision"/>
    <w:hidden/>
    <w:uiPriority w:val="99"/>
    <w:semiHidden/>
    <w:rsid w:val="00E05D08"/>
    <w:pPr>
      <w:spacing w:after="0" w:line="240" w:lineRule="auto"/>
    </w:pPr>
    <w:rPr>
      <w:rFonts w:ascii="Arial" w:eastAsia="Times New Roman" w:hAnsi="Arial" w:cs="Times New Roman"/>
      <w:sz w:val="20"/>
      <w:lang w:eastAsia="de-DE"/>
    </w:rPr>
  </w:style>
  <w:style w:type="paragraph" w:customStyle="1" w:styleId="Red2Red">
    <w:name w:val="Red2Red"/>
    <w:basedOn w:val="Normal"/>
    <w:link w:val="Red2RedCar"/>
    <w:uiPriority w:val="99"/>
    <w:qFormat/>
    <w:rsid w:val="00E05D08"/>
    <w:pPr>
      <w:spacing w:before="60" w:after="60" w:line="288" w:lineRule="auto"/>
    </w:pPr>
    <w:rPr>
      <w:rFonts w:ascii="Helvetica" w:eastAsia="Times New Roman" w:hAnsi="Helvetica" w:cs="Times New Roman"/>
      <w:sz w:val="32"/>
      <w:szCs w:val="24"/>
      <w:lang w:eastAsia="es-ES"/>
    </w:rPr>
  </w:style>
  <w:style w:type="character" w:customStyle="1" w:styleId="Red2RedCar">
    <w:name w:val="Red2Red Car"/>
    <w:basedOn w:val="DefaultParagraphFont"/>
    <w:link w:val="Red2Red"/>
    <w:uiPriority w:val="99"/>
    <w:rsid w:val="00E05D08"/>
    <w:rPr>
      <w:rFonts w:ascii="Helvetica" w:eastAsia="Times New Roman" w:hAnsi="Helvetica" w:cs="Times New Roman"/>
      <w:sz w:val="32"/>
      <w:szCs w:val="24"/>
      <w:lang w:val="nl-NL" w:eastAsia="es-ES"/>
    </w:rPr>
  </w:style>
  <w:style w:type="table" w:customStyle="1" w:styleId="MediumShading2-Accent31">
    <w:name w:val="Medium Shading 2 - Accent 31"/>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
    <w:name w:val="Medium Shading 1 - Accent 3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paragraph" w:customStyle="1" w:styleId="Normal22PT">
    <w:name w:val="Normal + 22PT"/>
    <w:aliases w:val="couleur Orange"/>
    <w:basedOn w:val="Normal"/>
    <w:qFormat/>
    <w:rsid w:val="00E05D08"/>
    <w:pPr>
      <w:spacing w:after="120" w:line="280" w:lineRule="atLeast"/>
    </w:pPr>
    <w:rPr>
      <w:rFonts w:ascii="Helvetica" w:eastAsia="Times New Roman" w:hAnsi="Helvetica" w:cs="Arial"/>
      <w:bCs/>
      <w:smallCaps/>
      <w:color w:val="DF6532"/>
      <w:sz w:val="44"/>
      <w:szCs w:val="44"/>
      <w:lang w:eastAsia="de-DE"/>
    </w:rPr>
  </w:style>
  <w:style w:type="paragraph" w:customStyle="1" w:styleId="H-Table">
    <w:name w:val="H-Table"/>
    <w:next w:val="Normal"/>
    <w:uiPriority w:val="99"/>
    <w:qFormat/>
    <w:rsid w:val="00E05D08"/>
    <w:pPr>
      <w:numPr>
        <w:numId w:val="37"/>
      </w:numPr>
      <w:spacing w:after="0" w:line="240" w:lineRule="auto"/>
      <w:ind w:left="510" w:hanging="510"/>
    </w:pPr>
    <w:rPr>
      <w:rFonts w:ascii="Helvetica" w:eastAsia="Times New Roman" w:hAnsi="Helvetica" w:cs="Times New Roman"/>
      <w:b/>
      <w:bCs/>
      <w:color w:val="6F6F6F"/>
      <w:sz w:val="16"/>
      <w:szCs w:val="20"/>
      <w:lang w:eastAsia="de-DE"/>
    </w:rPr>
  </w:style>
  <w:style w:type="table" w:customStyle="1" w:styleId="Grilledutableau1">
    <w:name w:val="Grille du tableau1"/>
    <w:basedOn w:val="TableNormal"/>
    <w:next w:val="TableGrid"/>
    <w:uiPriority w:val="59"/>
    <w:rsid w:val="00E0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Normal"/>
    <w:next w:val="TableNormal"/>
    <w:uiPriority w:val="40"/>
    <w:rsid w:val="00E05D0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LineNumber">
    <w:name w:val="line number"/>
    <w:basedOn w:val="DefaultParagraphFont"/>
    <w:semiHidden/>
    <w:unhideWhenUsed/>
    <w:rsid w:val="00E05D08"/>
  </w:style>
  <w:style w:type="character" w:customStyle="1" w:styleId="Erwhnung1">
    <w:name w:val="Erwähnung1"/>
    <w:basedOn w:val="DefaultParagraphFont"/>
    <w:uiPriority w:val="99"/>
    <w:semiHidden/>
    <w:unhideWhenUsed/>
    <w:rsid w:val="00E05D08"/>
    <w:rPr>
      <w:color w:val="2B579A"/>
      <w:shd w:val="clear" w:color="auto" w:fill="E6E6E6"/>
    </w:rPr>
  </w:style>
  <w:style w:type="character" w:customStyle="1" w:styleId="Erwhnung2">
    <w:name w:val="Erwähnung2"/>
    <w:basedOn w:val="DefaultParagraphFont"/>
    <w:uiPriority w:val="99"/>
    <w:semiHidden/>
    <w:unhideWhenUsed/>
    <w:rsid w:val="00E05D08"/>
    <w:rPr>
      <w:color w:val="2B579A"/>
      <w:shd w:val="clear" w:color="auto" w:fill="E6E6E6"/>
    </w:rPr>
  </w:style>
  <w:style w:type="table" w:customStyle="1" w:styleId="TableGrid2">
    <w:name w:val="Table Grid2"/>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MaListe1">
    <w:name w:val="MaListe1"/>
    <w:uiPriority w:val="99"/>
    <w:rsid w:val="00E05D08"/>
    <w:pPr>
      <w:numPr>
        <w:numId w:val="109"/>
      </w:numPr>
    </w:pPr>
  </w:style>
  <w:style w:type="table" w:customStyle="1" w:styleId="TableGrid3">
    <w:name w:val="Table Grid3"/>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Header">
    <w:name w:val="header"/>
    <w:basedOn w:val="Normal"/>
    <w:link w:val="HeaderChar"/>
    <w:uiPriority w:val="99"/>
    <w:unhideWhenUsed/>
    <w:rsid w:val="009837FF"/>
    <w:pPr>
      <w:tabs>
        <w:tab w:val="center" w:pos="4513"/>
        <w:tab w:val="right" w:pos="9026"/>
      </w:tabs>
      <w:spacing w:after="0" w:line="240" w:lineRule="auto"/>
    </w:pPr>
    <w:rPr>
      <w:color w:val="F07E31"/>
      <w:sz w:val="18"/>
    </w:rPr>
  </w:style>
  <w:style w:type="character" w:customStyle="1" w:styleId="HeaderChar">
    <w:name w:val="Header Char"/>
    <w:basedOn w:val="DefaultParagraphFont"/>
    <w:link w:val="Header"/>
    <w:uiPriority w:val="99"/>
    <w:rsid w:val="009837FF"/>
    <w:rPr>
      <w:rFonts w:ascii="Arial" w:hAnsi="Arial"/>
      <w:color w:val="F07E31"/>
      <w:sz w:val="1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unhideWhenUsed/>
    <w:rsid w:val="00E05D08"/>
    <w:rPr>
      <w:vertAlign w:val="superscript"/>
    </w:rPr>
  </w:style>
  <w:style w:type="table" w:styleId="MediumShading2-Accent3">
    <w:name w:val="Medium Shading 2 Accent 3"/>
    <w:basedOn w:val="TableNormal"/>
    <w:uiPriority w:val="64"/>
    <w:semiHidden/>
    <w:unhideWhenUsed/>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3">
    <w:name w:val="Medium Shading 1 Accent 3"/>
    <w:basedOn w:val="TableNormal"/>
    <w:uiPriority w:val="63"/>
    <w:semiHidden/>
    <w:unhideWhenUsed/>
    <w:rsid w:val="00E05D0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E05D08"/>
  </w:style>
  <w:style w:type="numbering" w:customStyle="1" w:styleId="MaListe2">
    <w:name w:val="MaListe2"/>
    <w:uiPriority w:val="99"/>
    <w:rsid w:val="00E05D08"/>
    <w:pPr>
      <w:numPr>
        <w:numId w:val="13"/>
      </w:numPr>
    </w:pPr>
  </w:style>
  <w:style w:type="numbering" w:customStyle="1" w:styleId="1111111">
    <w:name w:val="1 / 1.1 / 1.1.11"/>
    <w:basedOn w:val="NoList"/>
    <w:next w:val="111111"/>
    <w:uiPriority w:val="99"/>
    <w:rsid w:val="00E05D08"/>
    <w:pPr>
      <w:numPr>
        <w:numId w:val="23"/>
      </w:numPr>
    </w:pPr>
  </w:style>
  <w:style w:type="table" w:customStyle="1" w:styleId="MediumShading2-Accent32">
    <w:name w:val="Medium Shading 2 - Accent 32"/>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2">
    <w:name w:val="Medium Shading 1 - Accent 32"/>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MediumShading1-Accent311">
    <w:name w:val="Medium Shading 1 - Accent 31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Cuadrculadetablaclara11">
    <w:name w:val="Cuadrícula de tabla clara11"/>
    <w:basedOn w:val="TableNormal"/>
    <w:rsid w:val="00E05D08"/>
    <w:pPr>
      <w:spacing w:after="0" w:line="240" w:lineRule="auto"/>
    </w:pPr>
    <w:rPr>
      <w:rFonts w:ascii="Times New Roman" w:eastAsia="Times New Roman" w:hAnsi="Times New Roman" w:cs="Times New Roman"/>
      <w:sz w:val="20"/>
      <w:szCs w:val="20"/>
      <w:lang w:eastAsia="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MaListe11">
    <w:name w:val="MaListe11"/>
    <w:uiPriority w:val="99"/>
    <w:rsid w:val="00E05D08"/>
    <w:pPr>
      <w:numPr>
        <w:numId w:val="47"/>
      </w:numPr>
    </w:pPr>
  </w:style>
  <w:style w:type="character" w:customStyle="1" w:styleId="UnresolvedMention1">
    <w:name w:val="Unresolved Mention1"/>
    <w:basedOn w:val="DefaultParagraphFont"/>
    <w:uiPriority w:val="99"/>
    <w:semiHidden/>
    <w:unhideWhenUsed/>
    <w:rsid w:val="00E05D08"/>
    <w:rPr>
      <w:color w:val="808080"/>
      <w:shd w:val="clear" w:color="auto" w:fill="E6E6E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Arial" w:hAnsi="Arial"/>
      <w:color w:val="373737"/>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H-Standard">
    <w:name w:val="H-Standard"/>
    <w:basedOn w:val="Normal12PTcouleurgris"/>
    <w:qFormat/>
    <w:rsid w:val="00863DB0"/>
    <w:pPr>
      <w:spacing w:after="120"/>
    </w:pPr>
    <w:rPr>
      <w:rFonts w:eastAsia="Calibr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942330">
      <w:bodyDiv w:val="1"/>
      <w:marLeft w:val="0"/>
      <w:marRight w:val="0"/>
      <w:marTop w:val="0"/>
      <w:marBottom w:val="0"/>
      <w:divBdr>
        <w:top w:val="none" w:sz="0" w:space="0" w:color="auto"/>
        <w:left w:val="none" w:sz="0" w:space="0" w:color="auto"/>
        <w:bottom w:val="none" w:sz="0" w:space="0" w:color="auto"/>
        <w:right w:val="none" w:sz="0" w:space="0" w:color="auto"/>
      </w:divBdr>
    </w:div>
    <w:div w:id="638732370">
      <w:bodyDiv w:val="1"/>
      <w:marLeft w:val="0"/>
      <w:marRight w:val="0"/>
      <w:marTop w:val="0"/>
      <w:marBottom w:val="0"/>
      <w:divBdr>
        <w:top w:val="none" w:sz="0" w:space="0" w:color="auto"/>
        <w:left w:val="none" w:sz="0" w:space="0" w:color="auto"/>
        <w:bottom w:val="none" w:sz="0" w:space="0" w:color="auto"/>
        <w:right w:val="none" w:sz="0" w:space="0" w:color="auto"/>
      </w:divBdr>
    </w:div>
    <w:div w:id="656803589">
      <w:bodyDiv w:val="1"/>
      <w:marLeft w:val="0"/>
      <w:marRight w:val="0"/>
      <w:marTop w:val="0"/>
      <w:marBottom w:val="0"/>
      <w:divBdr>
        <w:top w:val="none" w:sz="0" w:space="0" w:color="auto"/>
        <w:left w:val="none" w:sz="0" w:space="0" w:color="auto"/>
        <w:bottom w:val="none" w:sz="0" w:space="0" w:color="auto"/>
        <w:right w:val="none" w:sz="0" w:space="0" w:color="auto"/>
      </w:divBdr>
      <w:divsChild>
        <w:div w:id="811171820">
          <w:marLeft w:val="0"/>
          <w:marRight w:val="0"/>
          <w:marTop w:val="0"/>
          <w:marBottom w:val="0"/>
          <w:divBdr>
            <w:top w:val="none" w:sz="0" w:space="0" w:color="auto"/>
            <w:left w:val="none" w:sz="0" w:space="0" w:color="auto"/>
            <w:bottom w:val="none" w:sz="0" w:space="0" w:color="auto"/>
            <w:right w:val="none" w:sz="0" w:space="0" w:color="auto"/>
          </w:divBdr>
        </w:div>
      </w:divsChild>
    </w:div>
    <w:div w:id="664238139">
      <w:bodyDiv w:val="1"/>
      <w:marLeft w:val="0"/>
      <w:marRight w:val="0"/>
      <w:marTop w:val="0"/>
      <w:marBottom w:val="0"/>
      <w:divBdr>
        <w:top w:val="none" w:sz="0" w:space="0" w:color="auto"/>
        <w:left w:val="none" w:sz="0" w:space="0" w:color="auto"/>
        <w:bottom w:val="none" w:sz="0" w:space="0" w:color="auto"/>
        <w:right w:val="none" w:sz="0" w:space="0" w:color="auto"/>
      </w:divBdr>
    </w:div>
    <w:div w:id="1139106666">
      <w:bodyDiv w:val="1"/>
      <w:marLeft w:val="0"/>
      <w:marRight w:val="0"/>
      <w:marTop w:val="0"/>
      <w:marBottom w:val="0"/>
      <w:divBdr>
        <w:top w:val="none" w:sz="0" w:space="0" w:color="auto"/>
        <w:left w:val="none" w:sz="0" w:space="0" w:color="auto"/>
        <w:bottom w:val="none" w:sz="0" w:space="0" w:color="auto"/>
        <w:right w:val="none" w:sz="0" w:space="0" w:color="auto"/>
      </w:divBdr>
    </w:div>
    <w:div w:id="1379625291">
      <w:bodyDiv w:val="1"/>
      <w:marLeft w:val="0"/>
      <w:marRight w:val="0"/>
      <w:marTop w:val="0"/>
      <w:marBottom w:val="0"/>
      <w:divBdr>
        <w:top w:val="none" w:sz="0" w:space="0" w:color="auto"/>
        <w:left w:val="none" w:sz="0" w:space="0" w:color="auto"/>
        <w:bottom w:val="none" w:sz="0" w:space="0" w:color="auto"/>
        <w:right w:val="none" w:sz="0" w:space="0" w:color="auto"/>
      </w:divBdr>
      <w:divsChild>
        <w:div w:id="1564415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hyperlink" Target="http://www.tandfonline.com/doi/abs/10.1080/135467896394447" TargetMode="External"/><Relationship Id="rId21" Type="http://schemas.openxmlformats.org/officeDocument/2006/relationships/footer" Target="footer5.xml"/><Relationship Id="rId42" Type="http://schemas.openxmlformats.org/officeDocument/2006/relationships/hyperlink" Target="https://enrd.ec.europa.eu/evaluation/publications/guidelines-assessment-rdp-results-how-prepare-reporting-evaluation-2017_en" TargetMode="External"/><Relationship Id="rId47" Type="http://schemas.openxmlformats.org/officeDocument/2006/relationships/hyperlink" Target="https://ec.europa.eu/eip/agriculture/sites/agri-eip/files/16_measure_fiche_art_35_co-operation.pdf" TargetMode="External"/><Relationship Id="rId63" Type="http://schemas.openxmlformats.org/officeDocument/2006/relationships/hyperlink" Target="https://enrd.ec.europa.eu/evaluation/publications/guidelines-assessment-rdp-results-how-prepare-reporting-evaluation-2017_en" TargetMode="External"/><Relationship Id="rId68" Type="http://schemas.openxmlformats.org/officeDocument/2006/relationships/hyperlink" Target="http://enrd.ec.europa.eu/enrd-static/evaluation/good-practices-workshops/national-rural-networks/en/national-rural-networks_en.html" TargetMode="External"/><Relationship Id="rId84" Type="http://schemas.openxmlformats.org/officeDocument/2006/relationships/hyperlink" Target="http://eur-lex.europa.eu/LexUriServ/LexUriServ.do?uri=COM:2010:2020:FIN:NL:PDF" TargetMode="External"/><Relationship Id="rId89" Type="http://schemas.openxmlformats.org/officeDocument/2006/relationships/hyperlink" Target="http://www.men-d.de/index.php?id=81&amp;tx_ttnews%5btt_news%5d=195&amp;tx_ttnews%5bbackPid%5d=85&amp;cHash=08539b2ad7" TargetMode="External"/><Relationship Id="rId112" Type="http://schemas.openxmlformats.org/officeDocument/2006/relationships/hyperlink" Target="http://asq.org/quality-progress/2007/07/statistics/likert-scales-and-data-analyses.html" TargetMode="External"/><Relationship Id="rId16" Type="http://schemas.openxmlformats.org/officeDocument/2006/relationships/header" Target="header3.xml"/><Relationship Id="rId107" Type="http://schemas.openxmlformats.org/officeDocument/2006/relationships/hyperlink" Target="http://www.tandfonline.com/doi/abs/10.1080/135467896394447" TargetMode="External"/><Relationship Id="rId11" Type="http://schemas.openxmlformats.org/officeDocument/2006/relationships/image" Target="media/image2.jpeg"/><Relationship Id="rId32" Type="http://schemas.openxmlformats.org/officeDocument/2006/relationships/hyperlink" Target="https://enrd.ec.europa.eu/sites/enrd/files/uploaded-files/wp_evaluation_questions_2015.pdf" TargetMode="External"/><Relationship Id="rId37" Type="http://schemas.openxmlformats.org/officeDocument/2006/relationships/footer" Target="footer9.xml"/><Relationship Id="rId53" Type="http://schemas.openxmlformats.org/officeDocument/2006/relationships/hyperlink" Target="https://ec.europa.eu/eip/agriculture/sites/agri-eip/files/16_measure_fiche_art_35_co-operation.pdf" TargetMode="External"/><Relationship Id="rId58" Type="http://schemas.openxmlformats.org/officeDocument/2006/relationships/hyperlink" Target="http://enrd.ec.europa.eu/news-events/events/enrd-workshop-measure-16-cooperation_en" TargetMode="External"/><Relationship Id="rId74" Type="http://schemas.openxmlformats.org/officeDocument/2006/relationships/hyperlink" Target="https://ec.europa.eu/eip/agriculture/en/publications/guidelines-programming-innovation-and" TargetMode="External"/><Relationship Id="rId79" Type="http://schemas.openxmlformats.org/officeDocument/2006/relationships/hyperlink" Target="http://ec.europa.eu/eurostat/statistics-explained/index.php/Smarter,_greener,_more_inclusive_-_indicators_to_support_the_Europe_2020_strategy" TargetMode="External"/><Relationship Id="rId102" Type="http://schemas.openxmlformats.org/officeDocument/2006/relationships/hyperlink" Target="https://www.cambridge.org/core/journals/ps-political-science-and-politics/article/understanding-process-tracing/183A057AD6A36783E678CB37440346D1" TargetMode="External"/><Relationship Id="rId123" Type="http://schemas.openxmlformats.org/officeDocument/2006/relationships/hyperlink" Target="http://ec.europa.eu/eip/agriculture/sites/agri-eip/files/16_measure_fiche_art_35_co-operation.pdf" TargetMode="External"/><Relationship Id="rId128" Type="http://schemas.openxmlformats.org/officeDocument/2006/relationships/hyperlink" Target="https://ec.europa.eu/eip/agriculture/en/content/innovation-support-services" TargetMode="External"/><Relationship Id="rId5" Type="http://schemas.openxmlformats.org/officeDocument/2006/relationships/webSettings" Target="webSettings.xml"/><Relationship Id="rId90" Type="http://schemas.openxmlformats.org/officeDocument/2006/relationships/image" Target="media/image17.emf"/><Relationship Id="rId95" Type="http://schemas.openxmlformats.org/officeDocument/2006/relationships/hyperlink" Target="http://www.hnvlink.eu/" TargetMode="Externa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footer" Target="footer7.xml"/><Relationship Id="rId43" Type="http://schemas.openxmlformats.org/officeDocument/2006/relationships/hyperlink" Target="https://ec.europa.eu/eip/agriculture/sites/agri-eip/files/16_measure_fiche_art_35_co-operation.pdf" TargetMode="External"/><Relationship Id="rId48" Type="http://schemas.openxmlformats.org/officeDocument/2006/relationships/hyperlink" Target="http://enrd.ec.europa.eu/news-events/events/enrd-workshop-measure-16-cooperation_en" TargetMode="External"/><Relationship Id="rId56" Type="http://schemas.openxmlformats.org/officeDocument/2006/relationships/hyperlink" Target="https://enrd.ec.europa.eu/evaluation/publications/guidelines-assessment-rdp-results-how-prepare-reporting-evaluation-2017_en" TargetMode="External"/><Relationship Id="rId64" Type="http://schemas.openxmlformats.org/officeDocument/2006/relationships/hyperlink" Target="https://enrd.ec.europa.eu/evaluation/publications/guidelines-assessment-rdp-results-how-prepare-reporting-evaluation-2017_en" TargetMode="External"/><Relationship Id="rId69" Type="http://schemas.openxmlformats.org/officeDocument/2006/relationships/hyperlink" Target="http://enrd.ec.europa.eu/enrd-static/evaluation/good-practices-workshops/national-rural-networks/en/national-rural-networks_en.html" TargetMode="External"/><Relationship Id="rId77" Type="http://schemas.openxmlformats.org/officeDocument/2006/relationships/hyperlink" Target="https://enrd.ec.europa.eu/sites/enrd/files/uploaded-files/wp_evaluation_questions_2015.pdf" TargetMode="External"/><Relationship Id="rId100" Type="http://schemas.openxmlformats.org/officeDocument/2006/relationships/header" Target="header10.xml"/><Relationship Id="rId105" Type="http://schemas.openxmlformats.org/officeDocument/2006/relationships/hyperlink" Target="https://www.gao.gov/products/GAO/PEMD-10.1.9" TargetMode="External"/><Relationship Id="rId113" Type="http://schemas.openxmlformats.org/officeDocument/2006/relationships/hyperlink" Target="https://www.cambridge.org/core/journals/ps-political-science-and-politics/article/understanding-process-tracing/183A057AD6A36783E678CB37440346D1" TargetMode="External"/><Relationship Id="rId118" Type="http://schemas.openxmlformats.org/officeDocument/2006/relationships/hyperlink" Target="http://www.tandfonline.com/doi/abs/10.1080/135467896394447" TargetMode="External"/><Relationship Id="rId126" Type="http://schemas.openxmlformats.org/officeDocument/2006/relationships/hyperlink" Target="https://ec.europa.eu/eip/agriculture/en/content/innovation-support-services" TargetMode="External"/><Relationship Id="rId8" Type="http://schemas.openxmlformats.org/officeDocument/2006/relationships/hyperlink" Target="https://enrd.ec.europa.eu/evaluation/publications/evaluation-innovation-rural-development-programmes-2014-2020_en" TargetMode="External"/><Relationship Id="rId51" Type="http://schemas.openxmlformats.org/officeDocument/2006/relationships/hyperlink" Target="https://enrd.ec.europa.eu/evaluation/publications/guidelines-assessment-rdp-results-how-prepare-reporting-evaluation-2017_en" TargetMode="External"/><Relationship Id="rId72" Type="http://schemas.openxmlformats.org/officeDocument/2006/relationships/hyperlink" Target="http://enrd.ec.europa.eu/enrd-static/app_templates/enrd_assets/pdf/guidebook/nrn_handbook_webversion.pdf" TargetMode="External"/><Relationship Id="rId80" Type="http://schemas.openxmlformats.org/officeDocument/2006/relationships/hyperlink" Target="http://ec.europa.eu/eurostat/statistics-explained/index.php/Smarter,_greener,_more_inclusive_-_indicators_to_support_the_Europe_2020_strategy" TargetMode="External"/><Relationship Id="rId85" Type="http://schemas.openxmlformats.org/officeDocument/2006/relationships/hyperlink" Target="http://ec.europa.eu/eurostat/statistics-explained/index.php/Smarter,_greener,_more_inclusive_-_indicators_to_support_the_Europe_2020_strategy" TargetMode="External"/><Relationship Id="rId93" Type="http://schemas.openxmlformats.org/officeDocument/2006/relationships/hyperlink" Target="https://enrd.ec.europa.eu/sites/enrd/files/uploaded-files/wp_evaluation_questions_2015.pdf" TargetMode="External"/><Relationship Id="rId98" Type="http://schemas.openxmlformats.org/officeDocument/2006/relationships/hyperlink" Target="http://www.hnvlink.eu/download/D1.3BAcomplete.pdf" TargetMode="External"/><Relationship Id="rId121" Type="http://schemas.openxmlformats.org/officeDocument/2006/relationships/hyperlink" Target="https://www.ncbi.nlm.nih.gov/pubmed/16053581"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enrd.ec.europa.eu/evaluation/publications/guidelines-assessment-rdp-results-how-prepare-reporting-evaluation-2017_en" TargetMode="External"/><Relationship Id="rId38" Type="http://schemas.openxmlformats.org/officeDocument/2006/relationships/image" Target="media/image13.jpeg"/><Relationship Id="rId46" Type="http://schemas.openxmlformats.org/officeDocument/2006/relationships/hyperlink" Target="https://enrd.ec.europa.eu/evaluation/publications/guidelines-assessment-rdp-results-how-prepare-reporting-evaluation-2017_en" TargetMode="External"/><Relationship Id="rId59" Type="http://schemas.openxmlformats.org/officeDocument/2006/relationships/image" Target="media/image16.emf"/><Relationship Id="rId67" Type="http://schemas.openxmlformats.org/officeDocument/2006/relationships/hyperlink" Target="https://ec.europa.eu/eip/agriculture/en/publications/guidelines-programming-innovation-and" TargetMode="External"/><Relationship Id="rId103" Type="http://schemas.openxmlformats.org/officeDocument/2006/relationships/hyperlink" Target="http://ageconsearch.umn.edu/bitstream/52515/2/ILAC_Brief05_Histories.pdf" TargetMode="External"/><Relationship Id="rId108" Type="http://schemas.openxmlformats.org/officeDocument/2006/relationships/hyperlink" Target="http://journals.sagepub.com/doi/abs/10.1177/1356389012451663" TargetMode="External"/><Relationship Id="rId116" Type="http://schemas.openxmlformats.org/officeDocument/2006/relationships/hyperlink" Target="https://www.gao.gov/products/GAO/PEMD-10.1.9" TargetMode="External"/><Relationship Id="rId124" Type="http://schemas.openxmlformats.org/officeDocument/2006/relationships/hyperlink" Target="http://eur-lex.europa.eu/legal-content/NL/TXT/PDF/?uri=CELEX:52010DC0546&amp;from=NL" TargetMode="External"/><Relationship Id="rId129" Type="http://schemas.openxmlformats.org/officeDocument/2006/relationships/hyperlink" Target="http://enrd.ec.europa.eu/enrd-static/app_templates/enrd_assets/pdf/guidebook/nrn_handbook_webversion.pdf" TargetMode="External"/><Relationship Id="rId20" Type="http://schemas.openxmlformats.org/officeDocument/2006/relationships/header" Target="header5.xml"/><Relationship Id="rId41" Type="http://schemas.openxmlformats.org/officeDocument/2006/relationships/hyperlink" Target="https://enrd.ec.europa.eu/evaluation/publications/guidelines-assessment-rdp-results-how-prepare-reporting-evaluation-2017_en" TargetMode="External"/><Relationship Id="rId54" Type="http://schemas.openxmlformats.org/officeDocument/2006/relationships/hyperlink" Target="http://enrd.ec.europa.eu/news-events/events/enrd-workshop-measure-16-cooperation_en" TargetMode="External"/><Relationship Id="rId62" Type="http://schemas.openxmlformats.org/officeDocument/2006/relationships/header" Target="header7.xml"/><Relationship Id="rId70" Type="http://schemas.openxmlformats.org/officeDocument/2006/relationships/hyperlink" Target="https://enrd.ec.europa.eu/evaluation/publications/guidelines-assessment-rdp-results-how-prepare-reporting-evaluation-2017_en" TargetMode="External"/><Relationship Id="rId75" Type="http://schemas.openxmlformats.org/officeDocument/2006/relationships/hyperlink" Target="http://enrd.ec.europa.eu/enrd-static/evaluation/good-practices-workshops/national-rural-networks/en/national-rural-networks_en.html" TargetMode="External"/><Relationship Id="rId83" Type="http://schemas.openxmlformats.org/officeDocument/2006/relationships/hyperlink" Target="http://www.men-d.de/index.php?id=81&amp;tx_ttnews%5btt_news%5d=195&amp;tx_ttnews%5bbackPid%5d=85&amp;cHash=08539b2ad7" TargetMode="External"/><Relationship Id="rId88" Type="http://schemas.openxmlformats.org/officeDocument/2006/relationships/hyperlink" Target="http://www.men-d.de/index.php?id=81&amp;tx_ttnews%5btt_news%5d=150&amp;tx_ttnews%5bbackPid%5d=85&amp;cHash=41ecd4ea5c" TargetMode="External"/><Relationship Id="rId91" Type="http://schemas.openxmlformats.org/officeDocument/2006/relationships/header" Target="header8.xml"/><Relationship Id="rId96" Type="http://schemas.openxmlformats.org/officeDocument/2006/relationships/hyperlink" Target="http://www.hnvlink.eu/download/D1.3BAcomplete.pdf" TargetMode="External"/><Relationship Id="rId111" Type="http://schemas.openxmlformats.org/officeDocument/2006/relationships/hyperlink" Target="http://betterevaluation.org/plan/approach/outcome_harvesting"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9.emf"/><Relationship Id="rId36" Type="http://schemas.openxmlformats.org/officeDocument/2006/relationships/footer" Target="footer8.xml"/><Relationship Id="rId49" Type="http://schemas.openxmlformats.org/officeDocument/2006/relationships/image" Target="media/image15.emf"/><Relationship Id="rId57" Type="http://schemas.openxmlformats.org/officeDocument/2006/relationships/hyperlink" Target="https://ec.europa.eu/eip/agriculture/sites/agri-eip/files/16_measure_fiche_art_35_co-operation.pdf" TargetMode="External"/><Relationship Id="rId106" Type="http://schemas.openxmlformats.org/officeDocument/2006/relationships/hyperlink" Target="http://www.tandfonline.com/doi/abs/10.1080/135467896394447" TargetMode="External"/><Relationship Id="rId114" Type="http://schemas.openxmlformats.org/officeDocument/2006/relationships/hyperlink" Target="http://ageconsearch.umn.edu/bitstream/52515/2/ILAC_Brief05_Histories.pdf" TargetMode="External"/><Relationship Id="rId119" Type="http://schemas.openxmlformats.org/officeDocument/2006/relationships/hyperlink" Target="http://journals.sagepub.com/doi/abs/10.1177/1356389012451663" TargetMode="External"/><Relationship Id="rId127" Type="http://schemas.openxmlformats.org/officeDocument/2006/relationships/hyperlink" Target="http://ec.europa.eu/eip/agriculture/sites/agri-eip/files/eip-guidelines-july-2014_en.pdf" TargetMode="External"/><Relationship Id="rId10" Type="http://schemas.openxmlformats.org/officeDocument/2006/relationships/image" Target="media/image1.jpg"/><Relationship Id="rId31" Type="http://schemas.openxmlformats.org/officeDocument/2006/relationships/image" Target="media/image12.emf"/><Relationship Id="rId44" Type="http://schemas.openxmlformats.org/officeDocument/2006/relationships/hyperlink" Target="http://enrd.ec.europa.eu/news-events/events/enrd-workshop-measure-16-cooperation_en" TargetMode="External"/><Relationship Id="rId52" Type="http://schemas.openxmlformats.org/officeDocument/2006/relationships/hyperlink" Target="https://enrd.ec.europa.eu/evaluation/publications/guidelines-assessment-rdp-results-how-prepare-reporting-evaluation-2017_en" TargetMode="External"/><Relationship Id="rId60" Type="http://schemas.openxmlformats.org/officeDocument/2006/relationships/hyperlink" Target="https://enrd.ec.europa.eu/evaluation/publications/guidelines-evaluation-national-rural-networks-2014-2020_en" TargetMode="External"/><Relationship Id="rId65" Type="http://schemas.openxmlformats.org/officeDocument/2006/relationships/hyperlink" Target="http://enrd.ec.europa.eu/enrd-static/app_templates/enrd_assets/pdf/guidebook/nrn_handbook_webversion.pdf" TargetMode="External"/><Relationship Id="rId73" Type="http://schemas.openxmlformats.org/officeDocument/2006/relationships/hyperlink" Target="https://enrd.ec.europa.eu/sites/enrd/files/twg-02-nrn-july2016.pdf" TargetMode="External"/><Relationship Id="rId78" Type="http://schemas.openxmlformats.org/officeDocument/2006/relationships/hyperlink" Target="http://eur-lex.europa.eu/LexUriServ/LexUriServ.do?uri=COM:2010:2020:FIN:NL:PDF" TargetMode="External"/><Relationship Id="rId81" Type="http://schemas.openxmlformats.org/officeDocument/2006/relationships/hyperlink" Target="http://www.men-d.de/uploads/media/MEN-D_Jahresveranstaltung_2017.pdf" TargetMode="External"/><Relationship Id="rId86" Type="http://schemas.openxmlformats.org/officeDocument/2006/relationships/hyperlink" Target="http://ec.europa.eu/eurostat/statistics-explained/index.php/Smarter,_greener,_more_inclusive_-_indicators_to_support_the_Europe_2020_strategy" TargetMode="External"/><Relationship Id="rId94" Type="http://schemas.openxmlformats.org/officeDocument/2006/relationships/hyperlink" Target="https://enrd.ec.europa.eu/sites/enrd/files/uploaded-files/wp_evaluation_questions_2015.pdf" TargetMode="External"/><Relationship Id="rId99" Type="http://schemas.openxmlformats.org/officeDocument/2006/relationships/hyperlink" Target="https://enrd.ec.europa.eu/sites/enrd/files/uploaded-files/wp_evaluation_questions_2015.pdf" TargetMode="External"/><Relationship Id="rId101" Type="http://schemas.openxmlformats.org/officeDocument/2006/relationships/hyperlink" Target="http://asq.org/quality-progress/2007/07/statistics/likert-scales-and-data-analyses.html" TargetMode="External"/><Relationship Id="rId122" Type="http://schemas.openxmlformats.org/officeDocument/2006/relationships/hyperlink" Target="http://betterevaluation.org/plan/approach/outcome_harvesting" TargetMode="External"/><Relationship Id="rId130"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yperlink" Target="https://enrd.ec.europa.eu/evaluation/publications/evaluation-innovation-rural-development-programmes-2014-2020_en"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enrd.ec.europa.eu/evaluation/publications/guidelines-assessment-rdp-results-how-prepare-reporting-evaluation-2017_en" TargetMode="External"/><Relationship Id="rId109" Type="http://schemas.openxmlformats.org/officeDocument/2006/relationships/hyperlink" Target="http://journals.sagepub.com/doi/abs/10.1177/1356389012451663" TargetMode="External"/><Relationship Id="rId34" Type="http://schemas.openxmlformats.org/officeDocument/2006/relationships/header" Target="header6.xml"/><Relationship Id="rId50" Type="http://schemas.openxmlformats.org/officeDocument/2006/relationships/hyperlink" Target="https://enrd.ec.europa.eu/evaluation/publications/guidelines-assessment-rdp-results-how-prepare-reporting-evaluation-2017_en" TargetMode="External"/><Relationship Id="rId55" Type="http://schemas.openxmlformats.org/officeDocument/2006/relationships/hyperlink" Target="https://enrd.ec.europa.eu/evaluation/publications/guidelines-assessment-rdp-results-how-prepare-reporting-evaluation-2017_en" TargetMode="External"/><Relationship Id="rId76" Type="http://schemas.openxmlformats.org/officeDocument/2006/relationships/hyperlink" Target="http://enrd.ec.europa.eu/enrd-static/evaluation/good-practices-workshops/national-rural-networks/en/national-rural-networks_en.html" TargetMode="External"/><Relationship Id="rId97" Type="http://schemas.openxmlformats.org/officeDocument/2006/relationships/hyperlink" Target="http://www.hnvlink.eu/" TargetMode="External"/><Relationship Id="rId104" Type="http://schemas.openxmlformats.org/officeDocument/2006/relationships/hyperlink" Target="https://www.gao.gov/products/GAO/PEMD-10.1.9" TargetMode="External"/><Relationship Id="rId120" Type="http://schemas.openxmlformats.org/officeDocument/2006/relationships/hyperlink" Target="http://journals.sagepub.com/doi/abs/10.1177/1356389012451663" TargetMode="External"/><Relationship Id="rId125" Type="http://schemas.openxmlformats.org/officeDocument/2006/relationships/hyperlink" Target="http://eur-lex.europa.eu/legal-content/NL/TXT/PDF/?uri=CELEX:52012DC0079&amp;from=NL" TargetMode="External"/><Relationship Id="rId7" Type="http://schemas.openxmlformats.org/officeDocument/2006/relationships/endnotes" Target="endnotes.xml"/><Relationship Id="rId71" Type="http://schemas.openxmlformats.org/officeDocument/2006/relationships/hyperlink" Target="https://enrd.ec.europa.eu/evaluation/publications/guidelines-assessment-rdp-results-how-prepare-reporting-evaluation-2017_en" TargetMode="External"/><Relationship Id="rId92" Type="http://schemas.openxmlformats.org/officeDocument/2006/relationships/header" Target="header9.xm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5.emf"/><Relationship Id="rId40" Type="http://schemas.openxmlformats.org/officeDocument/2006/relationships/image" Target="media/image14.jpg"/><Relationship Id="rId45" Type="http://schemas.openxmlformats.org/officeDocument/2006/relationships/hyperlink" Target="https://enrd.ec.europa.eu/evaluation/publications/guidelines-assessment-rdp-results-how-prepare-reporting-evaluation-2017_en" TargetMode="External"/><Relationship Id="rId66" Type="http://schemas.openxmlformats.org/officeDocument/2006/relationships/hyperlink" Target="https://enrd.ec.europa.eu/sites/enrd/files/twg-02-nrn-july2016.pdf" TargetMode="External"/><Relationship Id="rId87" Type="http://schemas.openxmlformats.org/officeDocument/2006/relationships/hyperlink" Target="http://www.men-d.de/uploads/media/MEN-D_Jahresveranstaltung_2017.pdf" TargetMode="External"/><Relationship Id="rId110" Type="http://schemas.openxmlformats.org/officeDocument/2006/relationships/hyperlink" Target="https://www.ncbi.nlm.nih.gov/pubmed/16053581" TargetMode="External"/><Relationship Id="rId115" Type="http://schemas.openxmlformats.org/officeDocument/2006/relationships/hyperlink" Target="https://www.gao.gov/products/GAO/PEMD-10.1.9" TargetMode="External"/><Relationship Id="rId131" Type="http://schemas.openxmlformats.org/officeDocument/2006/relationships/fontTable" Target="fontTable.xml"/><Relationship Id="rId61" Type="http://schemas.openxmlformats.org/officeDocument/2006/relationships/hyperlink" Target="https://enrd.ec.europa.eu/evaluation/publications/guidelines-evaluation-national-rural-networks-2014-2020_en" TargetMode="External"/><Relationship Id="rId82" Type="http://schemas.openxmlformats.org/officeDocument/2006/relationships/hyperlink" Target="http://www.men-d.de/index.php?id=81&amp;tx_ttnews%5btt_news%5d=150&amp;tx_ttnews%5bbackPid%5d=85&amp;cHash=41ecd4ea5c"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pe2020/europe-2020-in-a-nutshell/targets/index_nl.htm" TargetMode="External"/><Relationship Id="rId13" Type="http://schemas.openxmlformats.org/officeDocument/2006/relationships/hyperlink" Target="https://enrd.ec.europa.eu/evaluation/publications/working-document-common-evaluation-questions-rural-development-programmes_en" TargetMode="External"/><Relationship Id="rId18" Type="http://schemas.openxmlformats.org/officeDocument/2006/relationships/hyperlink" Target="http://enrd.ec.europa.eu/sites/enrd/files/w10_m16_finland_karlsson.pdf" TargetMode="External"/><Relationship Id="rId26" Type="http://schemas.openxmlformats.org/officeDocument/2006/relationships/hyperlink" Target="http://eur-lex.europa.eu/legal-content/nl/ALL/?uri=CELEX:52010DC2020" TargetMode="External"/><Relationship Id="rId3" Type="http://schemas.openxmlformats.org/officeDocument/2006/relationships/hyperlink" Target="https://ec.europa.eu/eip/agriculture/sites/agri-eip/files/eip-agri_brochure_multi-actor_projects_2017_en_web.pdf" TargetMode="External"/><Relationship Id="rId21" Type="http://schemas.openxmlformats.org/officeDocument/2006/relationships/hyperlink" Target="https://enrd.ec.europa.eu/evaluation/publications/guidelines-assessment-rdp-results-how-prepare-reporting-evaluation-2017_en" TargetMode="External"/><Relationship Id="rId34" Type="http://schemas.openxmlformats.org/officeDocument/2006/relationships/hyperlink" Target="http://www.betterevaluation.org/en/resources/tools/innovation_history/innovation_timeline" TargetMode="External"/><Relationship Id="rId7" Type="http://schemas.openxmlformats.org/officeDocument/2006/relationships/hyperlink" Target="http://ec.europa.eu/europe2020/europe-2020-in-a-nutshell/flagship-initiatives/index_en.htm" TargetMode="External"/><Relationship Id="rId12" Type="http://schemas.openxmlformats.org/officeDocument/2006/relationships/hyperlink" Target="https://www.jordbruksverket.se/utvardering" TargetMode="External"/><Relationship Id="rId17" Type="http://schemas.openxmlformats.org/officeDocument/2006/relationships/hyperlink" Target="https://ec.europa.eu/eip/agriculture/sites/agri-eip/files/16_measure_fiche_art_35_co-operation.pdf" TargetMode="External"/><Relationship Id="rId25" Type="http://schemas.openxmlformats.org/officeDocument/2006/relationships/hyperlink" Target="http://www.reterurale.it/flex/cm/pages/ServeBLOB.php/L/IT/IDPagina/16281" TargetMode="External"/><Relationship Id="rId33" Type="http://schemas.openxmlformats.org/officeDocument/2006/relationships/hyperlink" Target="%20http://www.betterevaluation.org/en/evaluation-options/processtracing" TargetMode="External"/><Relationship Id="rId2" Type="http://schemas.openxmlformats.org/officeDocument/2006/relationships/hyperlink" Target="http://ec.europa.eu/research/participants/data/ref/h2020/wp/2018-2020/main/h2020-wp1820-food_en.pdf" TargetMode="External"/><Relationship Id="rId16" Type="http://schemas.openxmlformats.org/officeDocument/2006/relationships/hyperlink" Target="http://enrd.ec.europa.eu/evaluation/publications/working-document-common-evaluation-questions-rural-development-programmes_en" TargetMode="External"/><Relationship Id="rId20" Type="http://schemas.openxmlformats.org/officeDocument/2006/relationships/hyperlink" Target="http://enrd.ec.europa.eu/sites/enrd/files/w10_m16.5_hesse_de_vonkutzleben.pdf" TargetMode="External"/><Relationship Id="rId29" Type="http://schemas.openxmlformats.org/officeDocument/2006/relationships/hyperlink" Target="http://www.oecd.org/publications/frascati-manual-2015-9789264239012-en.htm" TargetMode="External"/><Relationship Id="rId1" Type="http://schemas.openxmlformats.org/officeDocument/2006/relationships/hyperlink" Target="https://ec.europa.eu/eip/agriculture/sites/agri-eip/files/pb_guidelines_eip_implementation_2014_en.pdf" TargetMode="External"/><Relationship Id="rId6" Type="http://schemas.openxmlformats.org/officeDocument/2006/relationships/hyperlink" Target="https://ec.europa.eu/eip/agriculture/sites/agri-eip/files/eip-agri_factsheet_cities_and_food_en_web.pdf" TargetMode="External"/><Relationship Id="rId11" Type="http://schemas.openxmlformats.org/officeDocument/2006/relationships/hyperlink" Target="https://enrd.ec.europa.eu/evaluation/publications/guidelines-assessment-rdp-results-how-prepare-reporting-evaluation-2017_en" TargetMode="External"/><Relationship Id="rId24" Type="http://schemas.openxmlformats.org/officeDocument/2006/relationships/hyperlink" Target="https://enrd.ec.europa.eu/evaluation/publications/guidelines-evaluation-national-rural-networks-2014-2020_en" TargetMode="External"/><Relationship Id="rId32" Type="http://schemas.openxmlformats.org/officeDocument/2006/relationships/hyperlink" Target="http://www.analytictech.com/networks/whatis.htm" TargetMode="External"/><Relationship Id="rId5" Type="http://schemas.openxmlformats.org/officeDocument/2006/relationships/hyperlink" Target="https://ec.europa.eu/research/scar/pdf/akis-3_end_report.pdf" TargetMode="External"/><Relationship Id="rId15" Type="http://schemas.openxmlformats.org/officeDocument/2006/relationships/hyperlink" Target="http://ec.europa.eu/europe2020/targets/eu-targets/index_en.htm" TargetMode="External"/><Relationship Id="rId23" Type="http://schemas.openxmlformats.org/officeDocument/2006/relationships/hyperlink" Target="https://enrd.ec.europa.eu/evaluation/publications/guidelines-evaluation-national-rural-networks-2014-2020_en" TargetMode="External"/><Relationship Id="rId28" Type="http://schemas.openxmlformats.org/officeDocument/2006/relationships/hyperlink" Target="http://ec.europa.eu/eurostat/statistics-explained/index.php/R_&amp;_D_expenditure" TargetMode="External"/><Relationship Id="rId10" Type="http://schemas.openxmlformats.org/officeDocument/2006/relationships/hyperlink" Target="https://enrd.ec.europa.eu/evaluation/publications/guidelines-assessment-rdp-results-how-prepare-reporting-evaluation-2017_en" TargetMode="External"/><Relationship Id="rId19" Type="http://schemas.openxmlformats.org/officeDocument/2006/relationships/hyperlink" Target="https://ec.europa.eu/eip/agriculture/en/content/innovative-stable-reducing-ammonia-emissions" TargetMode="External"/><Relationship Id="rId31" Type="http://schemas.openxmlformats.org/officeDocument/2006/relationships/hyperlink" Target="http://enrd.ec.europa.eu/evaluation/publications/working-document-common-evaluation-questions-rural-development-programmes_en" TargetMode="External"/><Relationship Id="rId4" Type="http://schemas.openxmlformats.org/officeDocument/2006/relationships/hyperlink" Target="http://www.gppq.fct.pt/h2020/_docs/brochuras/bioeco/agricultural-knowledge-innovation-systems-towards-2020_en.pdf%20" TargetMode="External"/><Relationship Id="rId9" Type="http://schemas.openxmlformats.org/officeDocument/2006/relationships/hyperlink" Target="https://ec.europa.eu/eip/agriculture/sites/agri-eip/files/field_event_attachments/sem-knowledge-20151203-pres02-inge_van_oost.pdf" TargetMode="External"/><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enrd.ec.europa.eu/evaluation/publications/working-document-common-evaluation-questions-rural-development-programmes_en" TargetMode="External"/><Relationship Id="rId27" Type="http://schemas.openxmlformats.org/officeDocument/2006/relationships/hyperlink" Target="http://ec.europa.eu/europe2020/targets/eu-targets/index_nl.htm" TargetMode="External"/><Relationship Id="rId30" Type="http://schemas.openxmlformats.org/officeDocument/2006/relationships/hyperlink" Target="http://ec.europa.eu/eurostat/statistics-explained/index.php/Glossary:Gross_domestic_expenditure_on_R_&amp;_D_(GERD)" TargetMode="External"/><Relationship Id="rId35" Type="http://schemas.openxmlformats.org/officeDocument/2006/relationships/hyperlink" Target="http://www.socialresearchmethods.net/kb/scallik.php"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F07E3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cap="flat" cmpd="sng" algn="ctr">
          <a:solidFill>
            <a:srgbClr val="BE4A35"/>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ECF4-E9D5-4D84-8689-76A8B29E8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95</Pages>
  <Words>22273</Words>
  <Characters>126960</Characters>
  <Application>Microsoft Office Word</Application>
  <DocSecurity>0</DocSecurity>
  <Lines>1058</Lines>
  <Paragraphs>297</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European Commission</Company>
  <LinksUpToDate>false</LinksUpToDate>
  <CharactersWithSpaces>148936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STOOP Peter (DGT)</dc:creator>
  <cp:lastModifiedBy>Myles Stiffler</cp:lastModifiedBy>
  <cp:revision>13</cp:revision>
  <cp:lastPrinted>2018-01-12T09:16:00Z</cp:lastPrinted>
  <dcterms:created xsi:type="dcterms:W3CDTF">2018-04-24T09:09:00Z</dcterms:created>
  <dcterms:modified xsi:type="dcterms:W3CDTF">2018-04-24T14:37:00Z</dcterms:modified>
</cp:coreProperties>
</file>