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6B0" w:rsidRPr="00DD6E53" w:rsidRDefault="005716B0" w:rsidP="00E05D08">
                            <w:pPr>
                              <w:pStyle w:val="HTitle1"/>
                            </w:pPr>
                            <w:r>
                              <w:t xml:space="preserve">Pokyny </w:t>
                            </w:r>
                          </w:p>
                          <w:p w:rsidR="005716B0" w:rsidRPr="00DD6E53" w:rsidRDefault="005716B0" w:rsidP="00C947BA">
                            <w:pPr>
                              <w:pStyle w:val="HTitle2"/>
                              <w:jc w:val="left"/>
                            </w:pPr>
                            <w:bookmarkStart w:id="1" w:name="_Hlk501355929"/>
                            <w:r>
                              <w:t xml:space="preserve">Hodnocení inovací </w:t>
                            </w:r>
                            <w:r>
                              <w:br/>
                              <w:t>v rámci programů rozvoje venkova 2014–2020</w:t>
                            </w:r>
                            <w:bookmarkEnd w:id="1"/>
                            <w:r>
                              <w:t xml:space="preserve"> </w:t>
                            </w:r>
                          </w:p>
                          <w:p w:rsidR="005716B0" w:rsidRPr="00DD6E53" w:rsidRDefault="005716B0" w:rsidP="00E05D08">
                            <w:pPr>
                              <w:rPr>
                                <w:color w:val="6F6F6F"/>
                                <w:sz w:val="28"/>
                                <w:szCs w:val="28"/>
                              </w:rPr>
                            </w:pPr>
                          </w:p>
                          <w:p w:rsidR="005716B0" w:rsidRDefault="005716B0" w:rsidP="00E05D08">
                            <w:pPr>
                              <w:pStyle w:val="HTitle3"/>
                            </w:pPr>
                            <w:r>
                              <w:t xml:space="preserve">Prosinec 2017 </w:t>
                            </w:r>
                          </w:p>
                          <w:p w:rsidR="005716B0" w:rsidRDefault="005716B0" w:rsidP="00E05D08">
                            <w:pPr>
                              <w:pStyle w:val="HTitle3"/>
                            </w:pPr>
                          </w:p>
                          <w:p w:rsidR="005716B0" w:rsidRDefault="005716B0" w:rsidP="00E05D08">
                            <w:pPr>
                              <w:pStyle w:val="HTitle3"/>
                            </w:pPr>
                          </w:p>
                          <w:p w:rsidR="005716B0" w:rsidRDefault="005716B0" w:rsidP="00E05D08">
                            <w:pPr>
                              <w:pStyle w:val="HTitle3"/>
                            </w:pPr>
                          </w:p>
                          <w:p w:rsidR="005716B0" w:rsidRPr="00912430" w:rsidRDefault="005716B0" w:rsidP="00912430">
                            <w:pPr>
                              <w:rPr>
                                <w:color w:val="auto"/>
                                <w:sz w:val="18"/>
                                <w:szCs w:val="18"/>
                              </w:rPr>
                            </w:pPr>
                            <w:r>
                              <w:rPr>
                                <w:i/>
                                <w:sz w:val="18"/>
                                <w:szCs w:val="18"/>
                              </w:rPr>
                              <w:t xml:space="preserve">Tento dokument obsahuje překlad materiálu „Pokyny: Hodnocení inovací v rámci programů rozvoje venkova 2014–2020“, verze z prosince 2017. Účelem tohoto překladu je zvýšit užitečnost pokynů a zpřístupnit je všem zúčastněným stranám. Je třeba poznamenat, že jako rozhodné referenční znění je nutné používat verzi v anglickém jazyce. </w:t>
                            </w:r>
                            <w:r w:rsidRPr="00FB5D43">
                              <w:rPr>
                                <w:i/>
                                <w:sz w:val="18"/>
                                <w:szCs w:val="18"/>
                              </w:rPr>
                              <w:t>Anglická verze je dostupná</w:t>
                            </w:r>
                            <w:r>
                              <w:t xml:space="preserve"> </w:t>
                            </w:r>
                            <w:hyperlink r:id="rId8" w:tgtFrame="_blank" w:history="1">
                              <w:r>
                                <w:rPr>
                                  <w:rStyle w:val="Hyperlink"/>
                                  <w:i/>
                                  <w:sz w:val="18"/>
                                  <w:szCs w:val="18"/>
                                </w:rPr>
                                <w:t>zde</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5716B0" w:rsidRPr="00DD6E53" w:rsidRDefault="005716B0" w:rsidP="00E05D08">
                      <w:pPr>
                        <w:pStyle w:val="HTitle1"/>
                      </w:pPr>
                      <w:r>
                        <w:t xml:space="preserve">Pokyny </w:t>
                      </w:r>
                    </w:p>
                    <w:p w:rsidR="005716B0" w:rsidRPr="00DD6E53" w:rsidRDefault="005716B0" w:rsidP="00C947BA">
                      <w:pPr>
                        <w:pStyle w:val="HTitle2"/>
                        <w:jc w:val="left"/>
                      </w:pPr>
                      <w:bookmarkStart w:id="2" w:name="_Hlk501355929"/>
                      <w:r>
                        <w:t xml:space="preserve">Hodnocení inovací </w:t>
                      </w:r>
                      <w:r>
                        <w:br/>
                        <w:t>v rámci programů rozvoje venkova 2014–2020</w:t>
                      </w:r>
                      <w:bookmarkEnd w:id="2"/>
                      <w:r>
                        <w:t xml:space="preserve"> </w:t>
                      </w:r>
                    </w:p>
                    <w:p w:rsidR="005716B0" w:rsidRPr="00DD6E53" w:rsidRDefault="005716B0" w:rsidP="00E05D08">
                      <w:pPr>
                        <w:rPr>
                          <w:color w:val="6F6F6F"/>
                          <w:sz w:val="28"/>
                          <w:szCs w:val="28"/>
                        </w:rPr>
                      </w:pPr>
                    </w:p>
                    <w:p w:rsidR="005716B0" w:rsidRDefault="005716B0" w:rsidP="00E05D08">
                      <w:pPr>
                        <w:pStyle w:val="HTitle3"/>
                      </w:pPr>
                      <w:r>
                        <w:t xml:space="preserve">Prosinec 2017 </w:t>
                      </w:r>
                    </w:p>
                    <w:p w:rsidR="005716B0" w:rsidRDefault="005716B0" w:rsidP="00E05D08">
                      <w:pPr>
                        <w:pStyle w:val="HTitle3"/>
                      </w:pPr>
                    </w:p>
                    <w:p w:rsidR="005716B0" w:rsidRDefault="005716B0" w:rsidP="00E05D08">
                      <w:pPr>
                        <w:pStyle w:val="HTitle3"/>
                      </w:pPr>
                    </w:p>
                    <w:p w:rsidR="005716B0" w:rsidRDefault="005716B0" w:rsidP="00E05D08">
                      <w:pPr>
                        <w:pStyle w:val="HTitle3"/>
                      </w:pPr>
                    </w:p>
                    <w:p w:rsidR="005716B0" w:rsidRPr="00912430" w:rsidRDefault="005716B0" w:rsidP="00912430">
                      <w:pPr>
                        <w:rPr>
                          <w:color w:val="auto"/>
                          <w:sz w:val="18"/>
                          <w:szCs w:val="18"/>
                        </w:rPr>
                      </w:pPr>
                      <w:r>
                        <w:rPr>
                          <w:i/>
                          <w:sz w:val="18"/>
                          <w:szCs w:val="18"/>
                        </w:rPr>
                        <w:t xml:space="preserve">Tento dokument obsahuje překlad materiálu „Pokyny: Hodnocení inovací v rámci programů rozvoje venkova 2014–2020“, verze z prosince 2017. Účelem tohoto překladu je zvýšit užitečnost pokynů a zpřístupnit je všem zúčastněným stranám. Je třeba poznamenat, že jako rozhodné referenční znění je nutné používat verzi v anglickém jazyce. </w:t>
                      </w:r>
                      <w:r w:rsidRPr="00FB5D43">
                        <w:rPr>
                          <w:i/>
                          <w:sz w:val="18"/>
                          <w:szCs w:val="18"/>
                        </w:rPr>
                        <w:t>Anglická verze je dostupná</w:t>
                      </w:r>
                      <w:r>
                        <w:t xml:space="preserve"> </w:t>
                      </w:r>
                      <w:hyperlink r:id="rId9" w:tgtFrame="_blank" w:history="1">
                        <w:r>
                          <w:rPr>
                            <w:rStyle w:val="Hyperlink"/>
                            <w:i/>
                            <w:sz w:val="18"/>
                            <w:szCs w:val="18"/>
                          </w:rPr>
                          <w:t>zde</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5716B0" w:rsidRPr="007F1B7F" w:rsidRDefault="005716B0" w:rsidP="00E05D08">
                            <w:pPr>
                              <w:pStyle w:val="Normal12PTcouleurgris"/>
                              <w:rPr>
                                <w:sz w:val="18"/>
                              </w:rPr>
                            </w:pPr>
                            <w:r>
                              <w:rPr>
                                <w:sz w:val="18"/>
                              </w:rPr>
                              <w:t>Upozornění o ochraně autorských práv</w:t>
                            </w:r>
                          </w:p>
                          <w:p w:rsidR="005716B0" w:rsidRPr="007F1B7F" w:rsidRDefault="005716B0" w:rsidP="00E05D08">
                            <w:pPr>
                              <w:pStyle w:val="Normal12PTcouleurgris"/>
                              <w:rPr>
                                <w:sz w:val="18"/>
                              </w:rPr>
                            </w:pPr>
                            <w:r>
                              <w:rPr>
                                <w:sz w:val="18"/>
                              </w:rPr>
                              <w:t>© Evropská unie, 2017</w:t>
                            </w:r>
                          </w:p>
                          <w:p w:rsidR="005716B0" w:rsidRPr="007F1B7F" w:rsidRDefault="005716B0" w:rsidP="00E05D08">
                            <w:pPr>
                              <w:pStyle w:val="Normal12PTcouleurgris"/>
                              <w:rPr>
                                <w:sz w:val="18"/>
                              </w:rPr>
                            </w:pPr>
                            <w:r>
                              <w:rPr>
                                <w:sz w:val="18"/>
                              </w:rPr>
                              <w:t>Reprodukce povolena pod podmínkou uvedení zdroje.</w:t>
                            </w:r>
                          </w:p>
                          <w:p w:rsidR="005716B0" w:rsidRPr="0002668A" w:rsidRDefault="005716B0" w:rsidP="00E05D08">
                            <w:pPr>
                              <w:pStyle w:val="Normal12PTcouleurgris"/>
                              <w:rPr>
                                <w:sz w:val="18"/>
                              </w:rPr>
                            </w:pPr>
                            <w:r>
                              <w:rPr>
                                <w:bCs/>
                                <w:sz w:val="18"/>
                                <w:u w:val="single"/>
                              </w:rPr>
                              <w:t>Doporučená citace</w:t>
                            </w:r>
                            <w:r>
                              <w:rPr>
                                <w:bCs/>
                                <w:sz w:val="18"/>
                              </w:rPr>
                              <w:t>:</w:t>
                            </w:r>
                            <w:r>
                              <w:rPr>
                                <w:sz w:val="18"/>
                              </w:rPr>
                              <w:t xml:space="preserve"> </w:t>
                            </w:r>
                          </w:p>
                          <w:p w:rsidR="005716B0" w:rsidRPr="0002668A" w:rsidRDefault="005716B0" w:rsidP="00E05D08">
                            <w:pPr>
                              <w:pStyle w:val="Normal12PTcouleurgris"/>
                              <w:rPr>
                                <w:sz w:val="18"/>
                              </w:rPr>
                            </w:pPr>
                            <w:r>
                              <w:rPr>
                                <w:sz w:val="18"/>
                              </w:rPr>
                              <w:t>EVROPSKÁ KOMISE – Generální ředitelství pro zemědělství a rozvoj venkova – Oddělení C.4 (2017): Pokyny: Hodnocení inovací v rámci programů rozvoje venkova 2014–2020.</w:t>
                            </w:r>
                          </w:p>
                          <w:p w:rsidR="005716B0" w:rsidRPr="0002668A" w:rsidRDefault="005716B0" w:rsidP="00E05D08">
                            <w:pPr>
                              <w:pStyle w:val="Normal12PTcouleurgris"/>
                              <w:rPr>
                                <w:bCs/>
                                <w:sz w:val="18"/>
                                <w:u w:val="single"/>
                              </w:rPr>
                            </w:pPr>
                            <w:r>
                              <w:rPr>
                                <w:bCs/>
                                <w:sz w:val="18"/>
                                <w:u w:val="single"/>
                              </w:rPr>
                              <w:t>Upozornění:</w:t>
                            </w:r>
                          </w:p>
                          <w:p w:rsidR="005716B0" w:rsidRPr="0002668A" w:rsidRDefault="005716B0" w:rsidP="00E05D08">
                            <w:pPr>
                              <w:pStyle w:val="Normal12PTcouleurgris"/>
                              <w:rPr>
                                <w:sz w:val="18"/>
                              </w:rPr>
                            </w:pPr>
                            <w:r>
                              <w:rPr>
                                <w:sz w:val="18"/>
                              </w:rPr>
                              <w:t>Informace a názory uvedené v této zprávě představují informace a názory autora (autorů) a nemusejí vždy odrážet oficiální stanovisko Komise. Komise nezaručuje přesnost údajů obsažených v této zprávě. Komise a žádná osoba vystupující jejím jménem není zodpovědná za využití informací obsažených v této zprávě.</w:t>
                            </w:r>
                          </w:p>
                          <w:p w:rsidR="005716B0" w:rsidRPr="000B1DDA" w:rsidRDefault="005716B0" w:rsidP="00E05D08">
                            <w:pPr>
                              <w:pStyle w:val="Normal12PTcouleurgris"/>
                            </w:pPr>
                          </w:p>
                          <w:p w:rsidR="005716B0" w:rsidRPr="004D4D87" w:rsidRDefault="005716B0"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716B0" w:rsidRPr="00E05D08" w:rsidRDefault="005716B0" w:rsidP="00E05D08">
                            <w:pPr>
                              <w:pStyle w:val="Normal12PTcouleurgris"/>
                              <w:rPr>
                                <w:color w:val="BFBFBF"/>
                              </w:rPr>
                            </w:pPr>
                          </w:p>
                          <w:p w:rsidR="005716B0" w:rsidRPr="007F1B7F" w:rsidRDefault="005716B0" w:rsidP="00E05D08">
                            <w:pPr>
                              <w:pStyle w:val="Normal12PTcouleurgris"/>
                              <w:rPr>
                                <w:sz w:val="18"/>
                              </w:rPr>
                            </w:pPr>
                            <w:r>
                              <w:rPr>
                                <w:sz w:val="18"/>
                              </w:rPr>
                              <w:t>Asistenční služba pro účely hodnocení je útvar odpovědný za hodnocení v rámci Evropské sítě pro rozvoj venkova tím, že poskytuje pokyny pro hodnocení programů rozvoje venkova a politik spadajících do příslušnosti a vedení generálního ředitelství pro zemědělství a rozvoj venkova (GŘ AGRI) Evropské komise (EK), oddělení C.4 „Monitorování a hodnocení“. V zájmu zlepšení hodnocení politiky rozvoje venkova v EU asistenční služba pro účely hodnocení podporuje všechny zúčastněné strany podílející se na hodnocení, zejména GŘ AGRI, vnitrostátní orgány, řídící orgány a hodnotitele programu rozvoje venkova prostřednictvím vypracovávání vhodných metodik a nástrojů a jejich šíření, shromažďování a výměny osvědčených postupů, budování kapacit a komunikace s členy sítě o tématech souvisejících s hodnocením.</w:t>
                            </w:r>
                          </w:p>
                          <w:p w:rsidR="005716B0" w:rsidRPr="007F1B7F" w:rsidRDefault="005716B0" w:rsidP="00E05D08">
                            <w:pPr>
                              <w:pStyle w:val="Normal12PTcouleurgris"/>
                              <w:rPr>
                                <w:sz w:val="18"/>
                              </w:rPr>
                            </w:pPr>
                            <w:r>
                              <w:rPr>
                                <w:sz w:val="18"/>
                              </w:rPr>
                              <w:t>Další informace o činnostech evropské asistenční služby pro účely hodnocení politiky rozvoje venkova jsou k dispozici na internetu na serveru Europa (http://enrd.ec.europa.eu).</w:t>
                            </w:r>
                          </w:p>
                          <w:p w:rsidR="005716B0" w:rsidRPr="00811EF1" w:rsidRDefault="005716B0"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5716B0" w:rsidRPr="007F1B7F" w:rsidRDefault="005716B0" w:rsidP="00E05D08">
                      <w:pPr>
                        <w:pStyle w:val="Normal12PTcouleurgris"/>
                        <w:rPr>
                          <w:sz w:val="18"/>
                        </w:rPr>
                      </w:pPr>
                      <w:r>
                        <w:rPr>
                          <w:sz w:val="18"/>
                        </w:rPr>
                        <w:t>Upozornění o ochraně autorských práv</w:t>
                      </w:r>
                    </w:p>
                    <w:p w:rsidR="005716B0" w:rsidRPr="007F1B7F" w:rsidRDefault="005716B0" w:rsidP="00E05D08">
                      <w:pPr>
                        <w:pStyle w:val="Normal12PTcouleurgris"/>
                        <w:rPr>
                          <w:sz w:val="18"/>
                        </w:rPr>
                      </w:pPr>
                      <w:r>
                        <w:rPr>
                          <w:sz w:val="18"/>
                        </w:rPr>
                        <w:t>© Evropská unie, 2017</w:t>
                      </w:r>
                    </w:p>
                    <w:p w:rsidR="005716B0" w:rsidRPr="007F1B7F" w:rsidRDefault="005716B0" w:rsidP="00E05D08">
                      <w:pPr>
                        <w:pStyle w:val="Normal12PTcouleurgris"/>
                        <w:rPr>
                          <w:sz w:val="18"/>
                        </w:rPr>
                      </w:pPr>
                      <w:r>
                        <w:rPr>
                          <w:sz w:val="18"/>
                        </w:rPr>
                        <w:t>Reprodukce povolena pod podmínkou uvedení zdroje.</w:t>
                      </w:r>
                    </w:p>
                    <w:p w:rsidR="005716B0" w:rsidRPr="0002668A" w:rsidRDefault="005716B0" w:rsidP="00E05D08">
                      <w:pPr>
                        <w:pStyle w:val="Normal12PTcouleurgris"/>
                        <w:rPr>
                          <w:sz w:val="18"/>
                        </w:rPr>
                      </w:pPr>
                      <w:r>
                        <w:rPr>
                          <w:bCs/>
                          <w:sz w:val="18"/>
                          <w:u w:val="single"/>
                        </w:rPr>
                        <w:t>Doporučená citace</w:t>
                      </w:r>
                      <w:r>
                        <w:rPr>
                          <w:bCs/>
                          <w:sz w:val="18"/>
                        </w:rPr>
                        <w:t>:</w:t>
                      </w:r>
                      <w:r>
                        <w:rPr>
                          <w:sz w:val="18"/>
                        </w:rPr>
                        <w:t xml:space="preserve"> </w:t>
                      </w:r>
                    </w:p>
                    <w:p w:rsidR="005716B0" w:rsidRPr="0002668A" w:rsidRDefault="005716B0" w:rsidP="00E05D08">
                      <w:pPr>
                        <w:pStyle w:val="Normal12PTcouleurgris"/>
                        <w:rPr>
                          <w:sz w:val="18"/>
                        </w:rPr>
                      </w:pPr>
                      <w:r>
                        <w:rPr>
                          <w:sz w:val="18"/>
                        </w:rPr>
                        <w:t>EVROPSKÁ KOMISE – Generální ředitelství pro zemědělství a rozvoj venkova – Oddělení C.4 (2017): Pokyny: Hodnocení inovací v rámci programů rozvoje venkova 2014–2020.</w:t>
                      </w:r>
                    </w:p>
                    <w:p w:rsidR="005716B0" w:rsidRPr="0002668A" w:rsidRDefault="005716B0" w:rsidP="00E05D08">
                      <w:pPr>
                        <w:pStyle w:val="Normal12PTcouleurgris"/>
                        <w:rPr>
                          <w:bCs/>
                          <w:sz w:val="18"/>
                          <w:u w:val="single"/>
                        </w:rPr>
                      </w:pPr>
                      <w:r>
                        <w:rPr>
                          <w:bCs/>
                          <w:sz w:val="18"/>
                          <w:u w:val="single"/>
                        </w:rPr>
                        <w:t>Upozornění:</w:t>
                      </w:r>
                    </w:p>
                    <w:p w:rsidR="005716B0" w:rsidRPr="0002668A" w:rsidRDefault="005716B0" w:rsidP="00E05D08">
                      <w:pPr>
                        <w:pStyle w:val="Normal12PTcouleurgris"/>
                        <w:rPr>
                          <w:sz w:val="18"/>
                        </w:rPr>
                      </w:pPr>
                      <w:r>
                        <w:rPr>
                          <w:sz w:val="18"/>
                        </w:rPr>
                        <w:t>Informace a názory uvedené v této zprávě představují informace a názory autora (autorů) a nemusejí vždy odrážet oficiální stanovisko Komise. Komise nezaručuje přesnost údajů obsažených v této zprávě. Komise a žádná osoba vystupující jejím jménem není zodpovědná za využití informací obsažených v této zprávě.</w:t>
                      </w:r>
                    </w:p>
                    <w:p w:rsidR="005716B0" w:rsidRPr="000B1DDA" w:rsidRDefault="005716B0" w:rsidP="00E05D08">
                      <w:pPr>
                        <w:pStyle w:val="Normal12PTcouleurgris"/>
                      </w:pPr>
                    </w:p>
                    <w:p w:rsidR="005716B0" w:rsidRPr="004D4D87" w:rsidRDefault="005716B0"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716B0" w:rsidRPr="00E05D08" w:rsidRDefault="005716B0" w:rsidP="00E05D08">
                      <w:pPr>
                        <w:pStyle w:val="Normal12PTcouleurgris"/>
                        <w:rPr>
                          <w:color w:val="BFBFBF"/>
                        </w:rPr>
                      </w:pPr>
                    </w:p>
                    <w:p w:rsidR="005716B0" w:rsidRPr="007F1B7F" w:rsidRDefault="005716B0" w:rsidP="00E05D08">
                      <w:pPr>
                        <w:pStyle w:val="Normal12PTcouleurgris"/>
                        <w:rPr>
                          <w:sz w:val="18"/>
                        </w:rPr>
                      </w:pPr>
                      <w:r>
                        <w:rPr>
                          <w:sz w:val="18"/>
                        </w:rPr>
                        <w:t>Asistenční služba pro účely hodnocení je útvar odpovědný za hodnocení v rámci Evropské sítě pro rozvoj venkova tím, že poskytuje pokyny pro hodnocení programů rozvoje venkova a politik spadajících do příslušnosti a vedení generálního ředitelství pro zemědělství a rozvoj venkova (GŘ AGRI) Evropské komise (EK), oddělení C.4 „Monitorování a hodnocení“. V zájmu zlepšení hodnocení politiky rozvoje venkova v EU asistenční služba pro účely hodnocení podporuje všechny zúčastněné strany podílející se na hodnocení, zejména GŘ AGRI, vnitrostátní orgány, řídící orgány a hodnotitele programu rozvoje venkova prostřednictvím vypracovávání vhodných metodik a nástrojů a jejich šíření, shromažďování a výměny osvědčených postupů, budování kapacit a komunikace s členy sítě o tématech souvisejících s hodnocením.</w:t>
                      </w:r>
                    </w:p>
                    <w:p w:rsidR="005716B0" w:rsidRPr="007F1B7F" w:rsidRDefault="005716B0" w:rsidP="00E05D08">
                      <w:pPr>
                        <w:pStyle w:val="Normal12PTcouleurgris"/>
                        <w:rPr>
                          <w:sz w:val="18"/>
                        </w:rPr>
                      </w:pPr>
                      <w:r>
                        <w:rPr>
                          <w:sz w:val="18"/>
                        </w:rPr>
                        <w:t>Další informace o činnostech evropské asistenční služby pro účely hodnocení politiky rozvoje venkova jsou k dispozici na internetu na serveru Europa (http://enrd.ec.europa.eu).</w:t>
                      </w:r>
                    </w:p>
                    <w:p w:rsidR="005716B0" w:rsidRPr="00811EF1" w:rsidRDefault="005716B0"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6B0" w:rsidRPr="002D3552" w:rsidRDefault="005716B0" w:rsidP="00E05D08">
                            <w:pPr>
                              <w:pStyle w:val="HTitle1"/>
                            </w:pPr>
                            <w:r>
                              <w:t xml:space="preserve">Pokyny </w:t>
                            </w:r>
                          </w:p>
                          <w:p w:rsidR="005716B0" w:rsidRPr="00DD6E53" w:rsidRDefault="005716B0" w:rsidP="00C947BA">
                            <w:pPr>
                              <w:pStyle w:val="HTitle2"/>
                              <w:jc w:val="left"/>
                            </w:pPr>
                            <w:r>
                              <w:t xml:space="preserve">Hodnocení inovací </w:t>
                            </w:r>
                            <w:r>
                              <w:br/>
                              <w:t xml:space="preserve">v rámci programů rozvoje venkova 2014–2020 </w:t>
                            </w:r>
                          </w:p>
                          <w:p w:rsidR="005716B0" w:rsidRPr="00DD6E53" w:rsidRDefault="005716B0" w:rsidP="00E05D08">
                            <w:pPr>
                              <w:rPr>
                                <w:color w:val="6F6F6F"/>
                                <w:sz w:val="28"/>
                                <w:szCs w:val="28"/>
                              </w:rPr>
                            </w:pPr>
                          </w:p>
                          <w:p w:rsidR="005716B0" w:rsidRDefault="005716B0" w:rsidP="00E05D08">
                            <w:pPr>
                              <w:pStyle w:val="HTitle3"/>
                            </w:pPr>
                            <w:r>
                              <w:t xml:space="preserve">Prosinec 2017 </w:t>
                            </w:r>
                          </w:p>
                          <w:p w:rsidR="005716B0" w:rsidRPr="00BE49CF" w:rsidRDefault="005716B0"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5716B0" w:rsidRPr="002D3552" w:rsidRDefault="005716B0" w:rsidP="00E05D08">
                      <w:pPr>
                        <w:pStyle w:val="HTitle1"/>
                      </w:pPr>
                      <w:r>
                        <w:t xml:space="preserve">Pokyny </w:t>
                      </w:r>
                    </w:p>
                    <w:p w:rsidR="005716B0" w:rsidRPr="00DD6E53" w:rsidRDefault="005716B0" w:rsidP="00C947BA">
                      <w:pPr>
                        <w:pStyle w:val="HTitle2"/>
                        <w:jc w:val="left"/>
                      </w:pPr>
                      <w:r>
                        <w:t xml:space="preserve">Hodnocení inovací </w:t>
                      </w:r>
                      <w:r>
                        <w:br/>
                        <w:t xml:space="preserve">v rámci programů rozvoje venkova 2014–2020 </w:t>
                      </w:r>
                    </w:p>
                    <w:p w:rsidR="005716B0" w:rsidRPr="00DD6E53" w:rsidRDefault="005716B0" w:rsidP="00E05D08">
                      <w:pPr>
                        <w:rPr>
                          <w:color w:val="6F6F6F"/>
                          <w:sz w:val="28"/>
                          <w:szCs w:val="28"/>
                        </w:rPr>
                      </w:pPr>
                    </w:p>
                    <w:p w:rsidR="005716B0" w:rsidRDefault="005716B0" w:rsidP="00E05D08">
                      <w:pPr>
                        <w:pStyle w:val="HTitle3"/>
                      </w:pPr>
                      <w:r>
                        <w:t xml:space="preserve">Prosinec 2017 </w:t>
                      </w:r>
                    </w:p>
                    <w:p w:rsidR="005716B0" w:rsidRPr="00BE49CF" w:rsidRDefault="005716B0"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Obsah</w:t>
      </w:r>
    </w:p>
    <w:p w:rsidR="00024983" w:rsidRDefault="009837FF">
      <w:pPr>
        <w:pStyle w:val="TOC1"/>
        <w:tabs>
          <w:tab w:val="right" w:leader="dot" w:pos="9040"/>
        </w:tabs>
        <w:rPr>
          <w:rFonts w:asciiTheme="minorHAnsi" w:eastAsiaTheme="minorEastAsia" w:hAnsiTheme="minorHAnsi"/>
          <w:b w:val="0"/>
          <w:caps w:val="0"/>
          <w:noProof/>
          <w:color w:val="auto"/>
          <w:sz w:val="22"/>
          <w:lang w:eastAsia="cs-CZ"/>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607825" w:history="1">
        <w:r w:rsidR="00024983" w:rsidRPr="00C83E40">
          <w:rPr>
            <w:rStyle w:val="Hyperlink"/>
            <w:noProof/>
          </w:rPr>
          <w:t>1.</w:t>
        </w:r>
        <w:r w:rsidR="00024983">
          <w:rPr>
            <w:rFonts w:asciiTheme="minorHAnsi" w:eastAsiaTheme="minorEastAsia" w:hAnsiTheme="minorHAnsi"/>
            <w:b w:val="0"/>
            <w:caps w:val="0"/>
            <w:noProof/>
            <w:color w:val="auto"/>
            <w:sz w:val="22"/>
            <w:lang w:eastAsia="cs-CZ"/>
          </w:rPr>
          <w:tab/>
        </w:r>
        <w:r w:rsidR="00024983" w:rsidRPr="00C83E40">
          <w:rPr>
            <w:rStyle w:val="Hyperlink"/>
            <w:noProof/>
          </w:rPr>
          <w:t>KONCEPČNÍ RÁMEC</w:t>
        </w:r>
        <w:r w:rsidR="00024983">
          <w:rPr>
            <w:noProof/>
            <w:webHidden/>
          </w:rPr>
          <w:tab/>
        </w:r>
        <w:r w:rsidR="00024983">
          <w:rPr>
            <w:noProof/>
            <w:webHidden/>
          </w:rPr>
          <w:fldChar w:fldCharType="begin"/>
        </w:r>
        <w:r w:rsidR="00024983">
          <w:rPr>
            <w:noProof/>
            <w:webHidden/>
          </w:rPr>
          <w:instrText xml:space="preserve"> PAGEREF _Toc508607825 \h </w:instrText>
        </w:r>
        <w:r w:rsidR="00024983">
          <w:rPr>
            <w:noProof/>
            <w:webHidden/>
          </w:rPr>
        </w:r>
        <w:r w:rsidR="00024983">
          <w:rPr>
            <w:noProof/>
            <w:webHidden/>
          </w:rPr>
          <w:fldChar w:fldCharType="separate"/>
        </w:r>
        <w:r w:rsidR="008D6A98">
          <w:rPr>
            <w:noProof/>
            <w:webHidden/>
          </w:rPr>
          <w:t>3</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26" w:history="1">
        <w:r w:rsidR="00024983" w:rsidRPr="00C83E40">
          <w:rPr>
            <w:rStyle w:val="Hyperlink"/>
            <w:noProof/>
          </w:rPr>
          <w:t>1.1</w:t>
        </w:r>
        <w:r w:rsidR="00024983">
          <w:rPr>
            <w:rFonts w:asciiTheme="minorHAnsi" w:eastAsiaTheme="minorEastAsia" w:hAnsiTheme="minorHAnsi"/>
            <w:noProof/>
            <w:color w:val="auto"/>
            <w:sz w:val="22"/>
            <w:lang w:eastAsia="cs-CZ"/>
          </w:rPr>
          <w:tab/>
        </w:r>
        <w:r w:rsidR="00024983" w:rsidRPr="00C83E40">
          <w:rPr>
            <w:rStyle w:val="Hyperlink"/>
            <w:noProof/>
          </w:rPr>
          <w:t>Inovace a rozvoj venkova</w:t>
        </w:r>
        <w:r w:rsidR="00024983">
          <w:rPr>
            <w:noProof/>
            <w:webHidden/>
          </w:rPr>
          <w:tab/>
        </w:r>
        <w:r w:rsidR="00024983">
          <w:rPr>
            <w:noProof/>
            <w:webHidden/>
          </w:rPr>
          <w:fldChar w:fldCharType="begin"/>
        </w:r>
        <w:r w:rsidR="00024983">
          <w:rPr>
            <w:noProof/>
            <w:webHidden/>
          </w:rPr>
          <w:instrText xml:space="preserve"> PAGEREF _Toc508607826 \h </w:instrText>
        </w:r>
        <w:r w:rsidR="00024983">
          <w:rPr>
            <w:noProof/>
            <w:webHidden/>
          </w:rPr>
        </w:r>
        <w:r w:rsidR="00024983">
          <w:rPr>
            <w:noProof/>
            <w:webHidden/>
          </w:rPr>
          <w:fldChar w:fldCharType="separate"/>
        </w:r>
        <w:r w:rsidR="008D6A98">
          <w:rPr>
            <w:noProof/>
            <w:webHidden/>
          </w:rPr>
          <w:t>3</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27" w:history="1">
        <w:r w:rsidR="00024983" w:rsidRPr="00C83E40">
          <w:rPr>
            <w:rStyle w:val="Hyperlink"/>
            <w:noProof/>
          </w:rPr>
          <w:t>1.2</w:t>
        </w:r>
        <w:r w:rsidR="00024983">
          <w:rPr>
            <w:rFonts w:asciiTheme="minorHAnsi" w:eastAsiaTheme="minorEastAsia" w:hAnsiTheme="minorHAnsi"/>
            <w:noProof/>
            <w:color w:val="auto"/>
            <w:sz w:val="22"/>
            <w:lang w:eastAsia="cs-CZ"/>
          </w:rPr>
          <w:tab/>
        </w:r>
        <w:r w:rsidR="00024983" w:rsidRPr="00C83E40">
          <w:rPr>
            <w:rStyle w:val="Hyperlink"/>
            <w:noProof/>
          </w:rPr>
          <w:t>Politický rámec EU</w:t>
        </w:r>
        <w:r w:rsidR="00024983">
          <w:rPr>
            <w:noProof/>
            <w:webHidden/>
          </w:rPr>
          <w:tab/>
        </w:r>
        <w:r w:rsidR="00024983">
          <w:rPr>
            <w:noProof/>
            <w:webHidden/>
          </w:rPr>
          <w:fldChar w:fldCharType="begin"/>
        </w:r>
        <w:r w:rsidR="00024983">
          <w:rPr>
            <w:noProof/>
            <w:webHidden/>
          </w:rPr>
          <w:instrText xml:space="preserve"> PAGEREF _Toc508607827 \h </w:instrText>
        </w:r>
        <w:r w:rsidR="00024983">
          <w:rPr>
            <w:noProof/>
            <w:webHidden/>
          </w:rPr>
        </w:r>
        <w:r w:rsidR="00024983">
          <w:rPr>
            <w:noProof/>
            <w:webHidden/>
          </w:rPr>
          <w:fldChar w:fldCharType="separate"/>
        </w:r>
        <w:r w:rsidR="008D6A98">
          <w:rPr>
            <w:noProof/>
            <w:webHidden/>
          </w:rPr>
          <w:t>9</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28" w:history="1">
        <w:r w:rsidR="00024983" w:rsidRPr="00C83E40">
          <w:rPr>
            <w:rStyle w:val="Hyperlink"/>
            <w:noProof/>
          </w:rPr>
          <w:t>1.2.1</w:t>
        </w:r>
        <w:r w:rsidR="00024983">
          <w:rPr>
            <w:rFonts w:asciiTheme="minorHAnsi" w:eastAsiaTheme="minorEastAsia" w:hAnsiTheme="minorHAnsi"/>
            <w:noProof/>
            <w:color w:val="auto"/>
            <w:sz w:val="22"/>
            <w:lang w:eastAsia="cs-CZ"/>
          </w:rPr>
          <w:tab/>
        </w:r>
        <w:r w:rsidR="00024983" w:rsidRPr="00C83E40">
          <w:rPr>
            <w:rStyle w:val="Hyperlink"/>
            <w:noProof/>
          </w:rPr>
          <w:t>Politický rámec pro inovace v EU a pro politiku rozvoje venkova</w:t>
        </w:r>
        <w:r w:rsidR="00024983">
          <w:rPr>
            <w:noProof/>
            <w:webHidden/>
          </w:rPr>
          <w:tab/>
        </w:r>
        <w:r w:rsidR="00024983">
          <w:rPr>
            <w:noProof/>
            <w:webHidden/>
          </w:rPr>
          <w:fldChar w:fldCharType="begin"/>
        </w:r>
        <w:r w:rsidR="00024983">
          <w:rPr>
            <w:noProof/>
            <w:webHidden/>
          </w:rPr>
          <w:instrText xml:space="preserve"> PAGEREF _Toc508607828 \h </w:instrText>
        </w:r>
        <w:r w:rsidR="00024983">
          <w:rPr>
            <w:noProof/>
            <w:webHidden/>
          </w:rPr>
        </w:r>
        <w:r w:rsidR="00024983">
          <w:rPr>
            <w:noProof/>
            <w:webHidden/>
          </w:rPr>
          <w:fldChar w:fldCharType="separate"/>
        </w:r>
        <w:r w:rsidR="008D6A98">
          <w:rPr>
            <w:noProof/>
            <w:webHidden/>
          </w:rPr>
          <w:t>9</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29" w:history="1">
        <w:r w:rsidR="00024983" w:rsidRPr="00C83E40">
          <w:rPr>
            <w:rStyle w:val="Hyperlink"/>
            <w:noProof/>
          </w:rPr>
          <w:t>1.2.2</w:t>
        </w:r>
        <w:r w:rsidR="00024983">
          <w:rPr>
            <w:rFonts w:asciiTheme="minorHAnsi" w:eastAsiaTheme="minorEastAsia" w:hAnsiTheme="minorHAnsi"/>
            <w:noProof/>
            <w:color w:val="auto"/>
            <w:sz w:val="22"/>
            <w:lang w:eastAsia="cs-CZ"/>
          </w:rPr>
          <w:tab/>
        </w:r>
        <w:r w:rsidR="00024983" w:rsidRPr="00C83E40">
          <w:rPr>
            <w:rStyle w:val="Hyperlink"/>
            <w:noProof/>
          </w:rPr>
          <w:t>Společné prvky hodnocení inovací</w:t>
        </w:r>
        <w:r w:rsidR="00024983">
          <w:rPr>
            <w:noProof/>
            <w:webHidden/>
          </w:rPr>
          <w:tab/>
        </w:r>
        <w:r w:rsidR="00024983">
          <w:rPr>
            <w:noProof/>
            <w:webHidden/>
          </w:rPr>
          <w:fldChar w:fldCharType="begin"/>
        </w:r>
        <w:r w:rsidR="00024983">
          <w:rPr>
            <w:noProof/>
            <w:webHidden/>
          </w:rPr>
          <w:instrText xml:space="preserve"> PAGEREF _Toc508607829 \h </w:instrText>
        </w:r>
        <w:r w:rsidR="00024983">
          <w:rPr>
            <w:noProof/>
            <w:webHidden/>
          </w:rPr>
        </w:r>
        <w:r w:rsidR="00024983">
          <w:rPr>
            <w:noProof/>
            <w:webHidden/>
          </w:rPr>
          <w:fldChar w:fldCharType="separate"/>
        </w:r>
        <w:r w:rsidR="008D6A98">
          <w:rPr>
            <w:noProof/>
            <w:webHidden/>
          </w:rPr>
          <w:t>12</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30" w:history="1">
        <w:r w:rsidR="00024983" w:rsidRPr="00C83E40">
          <w:rPr>
            <w:rStyle w:val="Hyperlink"/>
            <w:noProof/>
          </w:rPr>
          <w:t>1.3</w:t>
        </w:r>
        <w:r w:rsidR="00024983">
          <w:rPr>
            <w:rFonts w:asciiTheme="minorHAnsi" w:eastAsiaTheme="minorEastAsia" w:hAnsiTheme="minorHAnsi"/>
            <w:noProof/>
            <w:color w:val="auto"/>
            <w:sz w:val="22"/>
            <w:lang w:eastAsia="cs-CZ"/>
          </w:rPr>
          <w:tab/>
        </w:r>
        <w:r w:rsidR="00024983" w:rsidRPr="00C83E40">
          <w:rPr>
            <w:rStyle w:val="Hyperlink"/>
            <w:noProof/>
          </w:rPr>
          <w:t>Problémy při hodnocení inovací</w:t>
        </w:r>
        <w:r w:rsidR="00024983">
          <w:rPr>
            <w:noProof/>
            <w:webHidden/>
          </w:rPr>
          <w:tab/>
        </w:r>
        <w:r w:rsidR="00024983">
          <w:rPr>
            <w:noProof/>
            <w:webHidden/>
          </w:rPr>
          <w:fldChar w:fldCharType="begin"/>
        </w:r>
        <w:r w:rsidR="00024983">
          <w:rPr>
            <w:noProof/>
            <w:webHidden/>
          </w:rPr>
          <w:instrText xml:space="preserve"> PAGEREF _Toc508607830 \h </w:instrText>
        </w:r>
        <w:r w:rsidR="00024983">
          <w:rPr>
            <w:noProof/>
            <w:webHidden/>
          </w:rPr>
        </w:r>
        <w:r w:rsidR="00024983">
          <w:rPr>
            <w:noProof/>
            <w:webHidden/>
          </w:rPr>
          <w:fldChar w:fldCharType="separate"/>
        </w:r>
        <w:r w:rsidR="008D6A98">
          <w:rPr>
            <w:noProof/>
            <w:webHidden/>
          </w:rPr>
          <w:t>14</w:t>
        </w:r>
        <w:r w:rsidR="00024983">
          <w:rPr>
            <w:noProof/>
            <w:webHidden/>
          </w:rPr>
          <w:fldChar w:fldCharType="end"/>
        </w:r>
      </w:hyperlink>
    </w:p>
    <w:p w:rsidR="00024983" w:rsidRDefault="005716B0">
      <w:pPr>
        <w:pStyle w:val="TOC1"/>
        <w:tabs>
          <w:tab w:val="right" w:leader="dot" w:pos="9040"/>
        </w:tabs>
        <w:rPr>
          <w:rFonts w:asciiTheme="minorHAnsi" w:eastAsiaTheme="minorEastAsia" w:hAnsiTheme="minorHAnsi"/>
          <w:b w:val="0"/>
          <w:caps w:val="0"/>
          <w:noProof/>
          <w:color w:val="auto"/>
          <w:sz w:val="22"/>
          <w:lang w:eastAsia="cs-CZ"/>
        </w:rPr>
      </w:pPr>
      <w:hyperlink w:anchor="_Toc508607831" w:history="1">
        <w:r w:rsidR="00024983" w:rsidRPr="00C83E40">
          <w:rPr>
            <w:rStyle w:val="Hyperlink"/>
            <w:noProof/>
          </w:rPr>
          <w:t>2.</w:t>
        </w:r>
        <w:r w:rsidR="00024983">
          <w:rPr>
            <w:rFonts w:asciiTheme="minorHAnsi" w:eastAsiaTheme="minorEastAsia" w:hAnsiTheme="minorHAnsi"/>
            <w:b w:val="0"/>
            <w:caps w:val="0"/>
            <w:noProof/>
            <w:color w:val="auto"/>
            <w:sz w:val="22"/>
            <w:lang w:eastAsia="cs-CZ"/>
          </w:rPr>
          <w:tab/>
        </w:r>
        <w:r w:rsidR="00024983" w:rsidRPr="00C83E40">
          <w:rPr>
            <w:rStyle w:val="Hyperlink"/>
            <w:noProof/>
          </w:rPr>
          <w:t>Jak hodnotit inovace v rámci PRV</w:t>
        </w:r>
        <w:r w:rsidR="00024983">
          <w:rPr>
            <w:noProof/>
            <w:webHidden/>
          </w:rPr>
          <w:tab/>
        </w:r>
        <w:r w:rsidR="00024983">
          <w:rPr>
            <w:noProof/>
            <w:webHidden/>
          </w:rPr>
          <w:fldChar w:fldCharType="begin"/>
        </w:r>
        <w:r w:rsidR="00024983">
          <w:rPr>
            <w:noProof/>
            <w:webHidden/>
          </w:rPr>
          <w:instrText xml:space="preserve"> PAGEREF _Toc508607831 \h </w:instrText>
        </w:r>
        <w:r w:rsidR="00024983">
          <w:rPr>
            <w:noProof/>
            <w:webHidden/>
          </w:rPr>
        </w:r>
        <w:r w:rsidR="00024983">
          <w:rPr>
            <w:noProof/>
            <w:webHidden/>
          </w:rPr>
          <w:fldChar w:fldCharType="separate"/>
        </w:r>
        <w:r w:rsidR="008D6A98">
          <w:rPr>
            <w:noProof/>
            <w:webHidden/>
          </w:rPr>
          <w:t>15</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32" w:history="1">
        <w:r w:rsidR="00024983" w:rsidRPr="00C83E40">
          <w:rPr>
            <w:rStyle w:val="Hyperlink"/>
            <w:noProof/>
          </w:rPr>
          <w:t>2.1</w:t>
        </w:r>
        <w:r w:rsidR="00024983">
          <w:rPr>
            <w:rFonts w:asciiTheme="minorHAnsi" w:eastAsiaTheme="minorEastAsia" w:hAnsiTheme="minorHAnsi"/>
            <w:noProof/>
            <w:color w:val="auto"/>
            <w:sz w:val="22"/>
            <w:lang w:eastAsia="cs-CZ"/>
          </w:rPr>
          <w:tab/>
        </w:r>
        <w:r w:rsidR="00024983" w:rsidRPr="00C83E40">
          <w:rPr>
            <w:rStyle w:val="Hyperlink"/>
            <w:noProof/>
          </w:rPr>
          <w:t>Navrhovaný přístup k hodnocení inovací v rámci PRV 2014–2020 (přehled)</w:t>
        </w:r>
        <w:r w:rsidR="00024983">
          <w:rPr>
            <w:noProof/>
            <w:webHidden/>
          </w:rPr>
          <w:tab/>
        </w:r>
        <w:r w:rsidR="00024983">
          <w:rPr>
            <w:noProof/>
            <w:webHidden/>
          </w:rPr>
          <w:fldChar w:fldCharType="begin"/>
        </w:r>
        <w:r w:rsidR="00024983">
          <w:rPr>
            <w:noProof/>
            <w:webHidden/>
          </w:rPr>
          <w:instrText xml:space="preserve"> PAGEREF _Toc508607832 \h </w:instrText>
        </w:r>
        <w:r w:rsidR="00024983">
          <w:rPr>
            <w:noProof/>
            <w:webHidden/>
          </w:rPr>
        </w:r>
        <w:r w:rsidR="00024983">
          <w:rPr>
            <w:noProof/>
            <w:webHidden/>
          </w:rPr>
          <w:fldChar w:fldCharType="separate"/>
        </w:r>
        <w:r w:rsidR="008D6A98">
          <w:rPr>
            <w:noProof/>
            <w:webHidden/>
          </w:rPr>
          <w:t>15</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33" w:history="1">
        <w:r w:rsidR="00024983" w:rsidRPr="00C83E40">
          <w:rPr>
            <w:rStyle w:val="Hyperlink"/>
            <w:noProof/>
          </w:rPr>
          <w:t>2.2</w:t>
        </w:r>
        <w:r w:rsidR="00024983">
          <w:rPr>
            <w:rFonts w:asciiTheme="minorHAnsi" w:eastAsiaTheme="minorEastAsia" w:hAnsiTheme="minorHAnsi"/>
            <w:noProof/>
            <w:color w:val="auto"/>
            <w:sz w:val="22"/>
            <w:lang w:eastAsia="cs-CZ"/>
          </w:rPr>
          <w:tab/>
        </w:r>
        <w:r w:rsidR="00024983" w:rsidRPr="00C83E40">
          <w:rPr>
            <w:rStyle w:val="Hyperlink"/>
            <w:noProof/>
          </w:rPr>
          <w:t>Posouzení inovačního potenciálu opatření/podopatření PRV (doporučeno)</w:t>
        </w:r>
        <w:r w:rsidR="00024983">
          <w:rPr>
            <w:noProof/>
            <w:webHidden/>
          </w:rPr>
          <w:tab/>
        </w:r>
        <w:r w:rsidR="00024983">
          <w:rPr>
            <w:noProof/>
            <w:webHidden/>
          </w:rPr>
          <w:fldChar w:fldCharType="begin"/>
        </w:r>
        <w:r w:rsidR="00024983">
          <w:rPr>
            <w:noProof/>
            <w:webHidden/>
          </w:rPr>
          <w:instrText xml:space="preserve"> PAGEREF _Toc508607833 \h </w:instrText>
        </w:r>
        <w:r w:rsidR="00024983">
          <w:rPr>
            <w:noProof/>
            <w:webHidden/>
          </w:rPr>
        </w:r>
        <w:r w:rsidR="00024983">
          <w:rPr>
            <w:noProof/>
            <w:webHidden/>
          </w:rPr>
          <w:fldChar w:fldCharType="separate"/>
        </w:r>
        <w:r w:rsidR="008D6A98">
          <w:rPr>
            <w:noProof/>
            <w:webHidden/>
          </w:rPr>
          <w:t>18</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34" w:history="1">
        <w:r w:rsidR="00024983" w:rsidRPr="00C83E40">
          <w:rPr>
            <w:rStyle w:val="Hyperlink"/>
            <w:noProof/>
          </w:rPr>
          <w:t>2.3</w:t>
        </w:r>
        <w:r w:rsidR="00024983">
          <w:rPr>
            <w:rFonts w:asciiTheme="minorHAnsi" w:eastAsiaTheme="minorEastAsia" w:hAnsiTheme="minorHAnsi"/>
            <w:noProof/>
            <w:color w:val="auto"/>
            <w:sz w:val="22"/>
            <w:lang w:eastAsia="cs-CZ"/>
          </w:rPr>
          <w:tab/>
        </w:r>
        <w:r w:rsidR="00024983" w:rsidRPr="00C83E40">
          <w:rPr>
            <w:rStyle w:val="Hyperlink"/>
            <w:noProof/>
          </w:rPr>
          <w:t>Doplnění společných prvků hodnocení inovací (doporučeno)</w:t>
        </w:r>
        <w:r w:rsidR="00024983">
          <w:rPr>
            <w:noProof/>
            <w:webHidden/>
          </w:rPr>
          <w:tab/>
        </w:r>
        <w:r w:rsidR="00024983">
          <w:rPr>
            <w:noProof/>
            <w:webHidden/>
          </w:rPr>
          <w:fldChar w:fldCharType="begin"/>
        </w:r>
        <w:r w:rsidR="00024983">
          <w:rPr>
            <w:noProof/>
            <w:webHidden/>
          </w:rPr>
          <w:instrText xml:space="preserve"> PAGEREF _Toc508607834 \h </w:instrText>
        </w:r>
        <w:r w:rsidR="00024983">
          <w:rPr>
            <w:noProof/>
            <w:webHidden/>
          </w:rPr>
        </w:r>
        <w:r w:rsidR="00024983">
          <w:rPr>
            <w:noProof/>
            <w:webHidden/>
          </w:rPr>
          <w:fldChar w:fldCharType="separate"/>
        </w:r>
        <w:r w:rsidR="008D6A98">
          <w:rPr>
            <w:noProof/>
            <w:webHidden/>
          </w:rPr>
          <w:t>21</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35" w:history="1">
        <w:r w:rsidR="00024983" w:rsidRPr="00C83E40">
          <w:rPr>
            <w:rStyle w:val="Hyperlink"/>
            <w:noProof/>
            <w:snapToGrid w:val="0"/>
          </w:rPr>
          <w:t>2.4</w:t>
        </w:r>
        <w:r w:rsidR="00024983">
          <w:rPr>
            <w:rFonts w:asciiTheme="minorHAnsi" w:eastAsiaTheme="minorEastAsia" w:hAnsiTheme="minorHAnsi"/>
            <w:noProof/>
            <w:color w:val="auto"/>
            <w:sz w:val="22"/>
            <w:lang w:eastAsia="cs-CZ"/>
          </w:rPr>
          <w:tab/>
        </w:r>
        <w:r w:rsidR="00024983" w:rsidRPr="00C83E40">
          <w:rPr>
            <w:rStyle w:val="Hyperlink"/>
            <w:noProof/>
          </w:rPr>
          <w:t>Zodpovězení příslušných společných hodnotících otázek (povinné)</w:t>
        </w:r>
        <w:r w:rsidR="00024983">
          <w:rPr>
            <w:noProof/>
            <w:webHidden/>
          </w:rPr>
          <w:tab/>
        </w:r>
        <w:r w:rsidR="00024983">
          <w:rPr>
            <w:noProof/>
            <w:webHidden/>
          </w:rPr>
          <w:fldChar w:fldCharType="begin"/>
        </w:r>
        <w:r w:rsidR="00024983">
          <w:rPr>
            <w:noProof/>
            <w:webHidden/>
          </w:rPr>
          <w:instrText xml:space="preserve"> PAGEREF _Toc508607835 \h </w:instrText>
        </w:r>
        <w:r w:rsidR="00024983">
          <w:rPr>
            <w:noProof/>
            <w:webHidden/>
          </w:rPr>
        </w:r>
        <w:r w:rsidR="00024983">
          <w:rPr>
            <w:noProof/>
            <w:webHidden/>
          </w:rPr>
          <w:fldChar w:fldCharType="separate"/>
        </w:r>
        <w:r w:rsidR="008D6A98">
          <w:rPr>
            <w:noProof/>
            <w:webHidden/>
          </w:rPr>
          <w:t>22</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36" w:history="1">
        <w:r w:rsidR="00024983" w:rsidRPr="00C83E40">
          <w:rPr>
            <w:rStyle w:val="Hyperlink"/>
            <w:noProof/>
          </w:rPr>
          <w:t>2.4.1</w:t>
        </w:r>
        <w:r w:rsidR="00024983">
          <w:rPr>
            <w:rFonts w:asciiTheme="minorHAnsi" w:eastAsiaTheme="minorEastAsia" w:hAnsiTheme="minorHAnsi"/>
            <w:noProof/>
            <w:color w:val="auto"/>
            <w:sz w:val="22"/>
            <w:lang w:eastAsia="cs-CZ"/>
          </w:rPr>
          <w:tab/>
        </w:r>
        <w:r w:rsidR="00024983" w:rsidRPr="00C83E40">
          <w:rPr>
            <w:rStyle w:val="Hyperlink"/>
            <w:noProof/>
          </w:rPr>
          <w:t>Společná hodnotící otázka č. 1: „Do jaké míry podpořily intervence programu rozvoje venkova inovace, spolupráci a rozvoj znalostní základny ve venkovských oblastech?“</w:t>
        </w:r>
        <w:r w:rsidR="00024983">
          <w:rPr>
            <w:noProof/>
            <w:webHidden/>
          </w:rPr>
          <w:tab/>
        </w:r>
        <w:r w:rsidR="00024983">
          <w:rPr>
            <w:noProof/>
            <w:webHidden/>
          </w:rPr>
          <w:fldChar w:fldCharType="begin"/>
        </w:r>
        <w:r w:rsidR="00024983">
          <w:rPr>
            <w:noProof/>
            <w:webHidden/>
          </w:rPr>
          <w:instrText xml:space="preserve"> PAGEREF _Toc508607836 \h </w:instrText>
        </w:r>
        <w:r w:rsidR="00024983">
          <w:rPr>
            <w:noProof/>
            <w:webHidden/>
          </w:rPr>
        </w:r>
        <w:r w:rsidR="00024983">
          <w:rPr>
            <w:noProof/>
            <w:webHidden/>
          </w:rPr>
          <w:fldChar w:fldCharType="separate"/>
        </w:r>
        <w:r w:rsidR="008D6A98">
          <w:rPr>
            <w:noProof/>
            <w:webHidden/>
          </w:rPr>
          <w:t>23</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37" w:history="1">
        <w:r w:rsidR="00024983" w:rsidRPr="00C83E40">
          <w:rPr>
            <w:rStyle w:val="Hyperlink"/>
            <w:noProof/>
          </w:rPr>
          <w:t>2.4.2</w:t>
        </w:r>
        <w:r w:rsidR="00024983">
          <w:rPr>
            <w:rFonts w:asciiTheme="minorHAnsi" w:eastAsiaTheme="minorEastAsia" w:hAnsiTheme="minorHAnsi"/>
            <w:noProof/>
            <w:color w:val="auto"/>
            <w:sz w:val="22"/>
            <w:lang w:eastAsia="cs-CZ"/>
          </w:rPr>
          <w:tab/>
        </w:r>
        <w:r w:rsidR="00024983" w:rsidRPr="00C83E40">
          <w:rPr>
            <w:rStyle w:val="Hyperlink"/>
            <w:noProof/>
          </w:rPr>
          <w:t>Společná hodnotící otázka č. 2: „Do jaké míry podpořily intervence programu rozvoje venkova posílení vazeb mezi zemědělstvím, produkcí potravin a lesnictvím a výzkumem a inovacemi, mimo jiné za účelem zlepšeného řízení v oblasti životního prostředí a environmentálního profilu?“</w:t>
        </w:r>
        <w:r w:rsidR="00024983">
          <w:rPr>
            <w:noProof/>
            <w:webHidden/>
          </w:rPr>
          <w:tab/>
        </w:r>
        <w:r w:rsidR="00024983">
          <w:rPr>
            <w:noProof/>
            <w:webHidden/>
          </w:rPr>
          <w:fldChar w:fldCharType="begin"/>
        </w:r>
        <w:r w:rsidR="00024983">
          <w:rPr>
            <w:noProof/>
            <w:webHidden/>
          </w:rPr>
          <w:instrText xml:space="preserve"> PAGEREF _Toc508607837 \h </w:instrText>
        </w:r>
        <w:r w:rsidR="00024983">
          <w:rPr>
            <w:noProof/>
            <w:webHidden/>
          </w:rPr>
        </w:r>
        <w:r w:rsidR="00024983">
          <w:rPr>
            <w:noProof/>
            <w:webHidden/>
          </w:rPr>
          <w:fldChar w:fldCharType="separate"/>
        </w:r>
        <w:r w:rsidR="008D6A98">
          <w:rPr>
            <w:noProof/>
            <w:webHidden/>
          </w:rPr>
          <w:t>32</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38" w:history="1">
        <w:r w:rsidR="00024983" w:rsidRPr="00C83E40">
          <w:rPr>
            <w:rStyle w:val="Hyperlink"/>
            <w:noProof/>
          </w:rPr>
          <w:t>2.4.3</w:t>
        </w:r>
        <w:r w:rsidR="00024983">
          <w:rPr>
            <w:rFonts w:asciiTheme="minorHAnsi" w:eastAsiaTheme="minorEastAsia" w:hAnsiTheme="minorHAnsi"/>
            <w:noProof/>
            <w:color w:val="auto"/>
            <w:sz w:val="22"/>
            <w:lang w:eastAsia="cs-CZ"/>
          </w:rPr>
          <w:tab/>
        </w:r>
        <w:r w:rsidR="00024983" w:rsidRPr="00C83E40">
          <w:rPr>
            <w:rStyle w:val="Hyperlink"/>
            <w:noProof/>
          </w:rPr>
          <w:t>Společná hodnotící otázka č. 21: „Do jaké míry přispěla celostátní síť pro venkov k dosažení cílů stanovených v čl. 54 odst. 2 nařízení (EU) č. 1305/2013?“</w:t>
        </w:r>
        <w:r w:rsidR="00024983">
          <w:rPr>
            <w:noProof/>
            <w:webHidden/>
          </w:rPr>
          <w:tab/>
        </w:r>
        <w:r w:rsidR="00024983">
          <w:rPr>
            <w:noProof/>
            <w:webHidden/>
          </w:rPr>
          <w:fldChar w:fldCharType="begin"/>
        </w:r>
        <w:r w:rsidR="00024983">
          <w:rPr>
            <w:noProof/>
            <w:webHidden/>
          </w:rPr>
          <w:instrText xml:space="preserve"> PAGEREF _Toc508607838 \h </w:instrText>
        </w:r>
        <w:r w:rsidR="00024983">
          <w:rPr>
            <w:noProof/>
            <w:webHidden/>
          </w:rPr>
        </w:r>
        <w:r w:rsidR="00024983">
          <w:rPr>
            <w:noProof/>
            <w:webHidden/>
          </w:rPr>
          <w:fldChar w:fldCharType="separate"/>
        </w:r>
        <w:r w:rsidR="008D6A98">
          <w:rPr>
            <w:noProof/>
            <w:webHidden/>
          </w:rPr>
          <w:t>41</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39" w:history="1">
        <w:r w:rsidR="00024983" w:rsidRPr="00C83E40">
          <w:rPr>
            <w:rStyle w:val="Hyperlink"/>
            <w:noProof/>
          </w:rPr>
          <w:t>2.4.4</w:t>
        </w:r>
        <w:r w:rsidR="00024983">
          <w:rPr>
            <w:rFonts w:asciiTheme="minorHAnsi" w:eastAsiaTheme="minorEastAsia" w:hAnsiTheme="minorHAnsi"/>
            <w:noProof/>
            <w:color w:val="auto"/>
            <w:sz w:val="22"/>
            <w:lang w:eastAsia="cs-CZ"/>
          </w:rPr>
          <w:tab/>
        </w:r>
        <w:r w:rsidR="00024983" w:rsidRPr="00C83E40">
          <w:rPr>
            <w:rStyle w:val="Hyperlink"/>
            <w:noProof/>
          </w:rPr>
          <w:t>Společná hodnotící otázka č. 23: „Do jaké míry přispěl program rozvoje venkova k plnění hlavního cíle strategie Evropa 2020 týkajícího se investic do výzkumu, vývoje a inovací ve výši 3 % HDP EU?“</w:t>
        </w:r>
        <w:r w:rsidR="00024983">
          <w:rPr>
            <w:noProof/>
            <w:webHidden/>
          </w:rPr>
          <w:tab/>
        </w:r>
        <w:r w:rsidR="00024983">
          <w:rPr>
            <w:noProof/>
            <w:webHidden/>
          </w:rPr>
          <w:fldChar w:fldCharType="begin"/>
        </w:r>
        <w:r w:rsidR="00024983">
          <w:rPr>
            <w:noProof/>
            <w:webHidden/>
          </w:rPr>
          <w:instrText xml:space="preserve"> PAGEREF _Toc508607839 \h </w:instrText>
        </w:r>
        <w:r w:rsidR="00024983">
          <w:rPr>
            <w:noProof/>
            <w:webHidden/>
          </w:rPr>
        </w:r>
        <w:r w:rsidR="00024983">
          <w:rPr>
            <w:noProof/>
            <w:webHidden/>
          </w:rPr>
          <w:fldChar w:fldCharType="separate"/>
        </w:r>
        <w:r w:rsidR="008D6A98">
          <w:rPr>
            <w:noProof/>
            <w:webHidden/>
          </w:rPr>
          <w:t>51</w:t>
        </w:r>
        <w:r w:rsidR="00024983">
          <w:rPr>
            <w:noProof/>
            <w:webHidden/>
          </w:rPr>
          <w:fldChar w:fldCharType="end"/>
        </w:r>
      </w:hyperlink>
    </w:p>
    <w:p w:rsidR="00024983" w:rsidRDefault="005716B0">
      <w:pPr>
        <w:pStyle w:val="TOC3"/>
        <w:tabs>
          <w:tab w:val="right" w:leader="dot" w:pos="9040"/>
        </w:tabs>
        <w:rPr>
          <w:rFonts w:asciiTheme="minorHAnsi" w:eastAsiaTheme="minorEastAsia" w:hAnsiTheme="minorHAnsi"/>
          <w:noProof/>
          <w:color w:val="auto"/>
          <w:sz w:val="22"/>
          <w:lang w:eastAsia="cs-CZ"/>
        </w:rPr>
      </w:pPr>
      <w:hyperlink w:anchor="_Toc508607840" w:history="1">
        <w:r w:rsidR="00024983" w:rsidRPr="00C83E40">
          <w:rPr>
            <w:rStyle w:val="Hyperlink"/>
            <w:noProof/>
          </w:rPr>
          <w:t>2.4.5</w:t>
        </w:r>
        <w:r w:rsidR="00024983">
          <w:rPr>
            <w:rFonts w:asciiTheme="minorHAnsi" w:eastAsiaTheme="minorEastAsia" w:hAnsiTheme="minorHAnsi"/>
            <w:noProof/>
            <w:color w:val="auto"/>
            <w:sz w:val="22"/>
            <w:lang w:eastAsia="cs-CZ"/>
          </w:rPr>
          <w:tab/>
        </w:r>
        <w:r w:rsidR="00024983" w:rsidRPr="00C83E40">
          <w:rPr>
            <w:rStyle w:val="Hyperlink"/>
            <w:noProof/>
          </w:rPr>
          <w:t>Společná hodnotící otázka č. 30: „Do jaké míry přispěly intervence programu rozvoje venkova k podpoře inovací?“</w:t>
        </w:r>
        <w:r w:rsidR="00024983">
          <w:rPr>
            <w:noProof/>
            <w:webHidden/>
          </w:rPr>
          <w:tab/>
        </w:r>
        <w:r w:rsidR="00024983">
          <w:rPr>
            <w:noProof/>
            <w:webHidden/>
          </w:rPr>
          <w:fldChar w:fldCharType="begin"/>
        </w:r>
        <w:r w:rsidR="00024983">
          <w:rPr>
            <w:noProof/>
            <w:webHidden/>
          </w:rPr>
          <w:instrText xml:space="preserve"> PAGEREF _Toc508607840 \h </w:instrText>
        </w:r>
        <w:r w:rsidR="00024983">
          <w:rPr>
            <w:noProof/>
            <w:webHidden/>
          </w:rPr>
        </w:r>
        <w:r w:rsidR="00024983">
          <w:rPr>
            <w:noProof/>
            <w:webHidden/>
          </w:rPr>
          <w:fldChar w:fldCharType="separate"/>
        </w:r>
        <w:r w:rsidR="008D6A98">
          <w:rPr>
            <w:noProof/>
            <w:webHidden/>
          </w:rPr>
          <w:t>58</w:t>
        </w:r>
        <w:r w:rsidR="00024983">
          <w:rPr>
            <w:noProof/>
            <w:webHidden/>
          </w:rPr>
          <w:fldChar w:fldCharType="end"/>
        </w:r>
      </w:hyperlink>
    </w:p>
    <w:p w:rsidR="00024983" w:rsidRDefault="005716B0">
      <w:pPr>
        <w:pStyle w:val="TOC1"/>
        <w:tabs>
          <w:tab w:val="right" w:leader="dot" w:pos="9040"/>
        </w:tabs>
        <w:rPr>
          <w:rFonts w:asciiTheme="minorHAnsi" w:eastAsiaTheme="minorEastAsia" w:hAnsiTheme="minorHAnsi"/>
          <w:b w:val="0"/>
          <w:caps w:val="0"/>
          <w:noProof/>
          <w:color w:val="auto"/>
          <w:sz w:val="22"/>
          <w:lang w:eastAsia="cs-CZ"/>
        </w:rPr>
      </w:pPr>
      <w:hyperlink w:anchor="_Toc508607841" w:history="1">
        <w:r w:rsidR="00024983" w:rsidRPr="00C83E40">
          <w:rPr>
            <w:rStyle w:val="Hyperlink"/>
            <w:noProof/>
          </w:rPr>
          <w:t>3.</w:t>
        </w:r>
        <w:r w:rsidR="00024983">
          <w:rPr>
            <w:rFonts w:asciiTheme="minorHAnsi" w:eastAsiaTheme="minorEastAsia" w:hAnsiTheme="minorHAnsi"/>
            <w:b w:val="0"/>
            <w:caps w:val="0"/>
            <w:noProof/>
            <w:color w:val="auto"/>
            <w:sz w:val="22"/>
            <w:lang w:eastAsia="cs-CZ"/>
          </w:rPr>
          <w:tab/>
        </w:r>
        <w:r w:rsidR="00024983" w:rsidRPr="00C83E40">
          <w:rPr>
            <w:rStyle w:val="Hyperlink"/>
            <w:noProof/>
          </w:rPr>
          <w:t>PŘÍLOHY</w:t>
        </w:r>
        <w:r w:rsidR="00024983">
          <w:rPr>
            <w:noProof/>
            <w:webHidden/>
          </w:rPr>
          <w:tab/>
        </w:r>
        <w:r w:rsidR="00024983">
          <w:rPr>
            <w:noProof/>
            <w:webHidden/>
          </w:rPr>
          <w:fldChar w:fldCharType="begin"/>
        </w:r>
        <w:r w:rsidR="00024983">
          <w:rPr>
            <w:noProof/>
            <w:webHidden/>
          </w:rPr>
          <w:instrText xml:space="preserve"> PAGEREF _Toc508607841 \h </w:instrText>
        </w:r>
        <w:r w:rsidR="00024983">
          <w:rPr>
            <w:noProof/>
            <w:webHidden/>
          </w:rPr>
        </w:r>
        <w:r w:rsidR="00024983">
          <w:rPr>
            <w:noProof/>
            <w:webHidden/>
          </w:rPr>
          <w:fldChar w:fldCharType="separate"/>
        </w:r>
        <w:r w:rsidR="008D6A98">
          <w:rPr>
            <w:noProof/>
            <w:webHidden/>
          </w:rPr>
          <w:t>69</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42" w:history="1">
        <w:r w:rsidR="00024983" w:rsidRPr="00C83E40">
          <w:rPr>
            <w:rStyle w:val="Hyperlink"/>
            <w:noProof/>
          </w:rPr>
          <w:t>3.1</w:t>
        </w:r>
        <w:r w:rsidR="00024983">
          <w:rPr>
            <w:rFonts w:asciiTheme="minorHAnsi" w:eastAsiaTheme="minorEastAsia" w:hAnsiTheme="minorHAnsi"/>
            <w:noProof/>
            <w:color w:val="auto"/>
            <w:sz w:val="22"/>
            <w:lang w:eastAsia="cs-CZ"/>
          </w:rPr>
          <w:tab/>
        </w:r>
        <w:r w:rsidR="00024983" w:rsidRPr="00C83E40">
          <w:rPr>
            <w:rStyle w:val="Hyperlink"/>
            <w:noProof/>
          </w:rPr>
          <w:t>Glosář</w:t>
        </w:r>
        <w:r w:rsidR="00024983">
          <w:rPr>
            <w:noProof/>
            <w:webHidden/>
          </w:rPr>
          <w:tab/>
        </w:r>
        <w:r w:rsidR="00024983">
          <w:rPr>
            <w:noProof/>
            <w:webHidden/>
          </w:rPr>
          <w:fldChar w:fldCharType="begin"/>
        </w:r>
        <w:r w:rsidR="00024983">
          <w:rPr>
            <w:noProof/>
            <w:webHidden/>
          </w:rPr>
          <w:instrText xml:space="preserve"> PAGEREF _Toc508607842 \h </w:instrText>
        </w:r>
        <w:r w:rsidR="00024983">
          <w:rPr>
            <w:noProof/>
            <w:webHidden/>
          </w:rPr>
        </w:r>
        <w:r w:rsidR="00024983">
          <w:rPr>
            <w:noProof/>
            <w:webHidden/>
          </w:rPr>
          <w:fldChar w:fldCharType="separate"/>
        </w:r>
        <w:r w:rsidR="008D6A98">
          <w:rPr>
            <w:noProof/>
            <w:webHidden/>
          </w:rPr>
          <w:t>69</w:t>
        </w:r>
        <w:r w:rsidR="00024983">
          <w:rPr>
            <w:noProof/>
            <w:webHidden/>
          </w:rPr>
          <w:fldChar w:fldCharType="end"/>
        </w:r>
      </w:hyperlink>
    </w:p>
    <w:p w:rsidR="00024983" w:rsidRDefault="005716B0">
      <w:pPr>
        <w:pStyle w:val="TOC2"/>
        <w:tabs>
          <w:tab w:val="right" w:leader="dot" w:pos="9040"/>
        </w:tabs>
        <w:rPr>
          <w:rFonts w:asciiTheme="minorHAnsi" w:eastAsiaTheme="minorEastAsia" w:hAnsiTheme="minorHAnsi"/>
          <w:noProof/>
          <w:color w:val="auto"/>
          <w:sz w:val="22"/>
          <w:lang w:eastAsia="cs-CZ"/>
        </w:rPr>
      </w:pPr>
      <w:hyperlink w:anchor="_Toc508607843" w:history="1">
        <w:r w:rsidR="00024983" w:rsidRPr="00C83E40">
          <w:rPr>
            <w:rStyle w:val="Hyperlink"/>
            <w:noProof/>
          </w:rPr>
          <w:t>3.2</w:t>
        </w:r>
        <w:r w:rsidR="00024983">
          <w:rPr>
            <w:rFonts w:asciiTheme="minorHAnsi" w:eastAsiaTheme="minorEastAsia" w:hAnsiTheme="minorHAnsi"/>
            <w:noProof/>
            <w:color w:val="auto"/>
            <w:sz w:val="22"/>
            <w:lang w:eastAsia="cs-CZ"/>
          </w:rPr>
          <w:tab/>
        </w:r>
        <w:r w:rsidR="00024983" w:rsidRPr="00C83E40">
          <w:rPr>
            <w:rStyle w:val="Hyperlink"/>
            <w:noProof/>
          </w:rPr>
          <w:t>Určení inovačního potenciálu programu rozvoje venkova: krok za krokem</w:t>
        </w:r>
        <w:r w:rsidR="00024983">
          <w:rPr>
            <w:noProof/>
            <w:webHidden/>
          </w:rPr>
          <w:tab/>
        </w:r>
        <w:r w:rsidR="00024983">
          <w:rPr>
            <w:noProof/>
            <w:webHidden/>
          </w:rPr>
          <w:fldChar w:fldCharType="begin"/>
        </w:r>
        <w:r w:rsidR="00024983">
          <w:rPr>
            <w:noProof/>
            <w:webHidden/>
          </w:rPr>
          <w:instrText xml:space="preserve"> PAGEREF _Toc508607843 \h </w:instrText>
        </w:r>
        <w:r w:rsidR="00024983">
          <w:rPr>
            <w:noProof/>
            <w:webHidden/>
          </w:rPr>
        </w:r>
        <w:r w:rsidR="00024983">
          <w:rPr>
            <w:noProof/>
            <w:webHidden/>
          </w:rPr>
          <w:fldChar w:fldCharType="separate"/>
        </w:r>
        <w:r w:rsidR="008D6A98">
          <w:rPr>
            <w:noProof/>
            <w:webHidden/>
          </w:rPr>
          <w:t>71</w:t>
        </w:r>
        <w:r w:rsidR="00024983">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Tabulky a grafy</w:t>
      </w:r>
    </w:p>
    <w:p w:rsidR="00732CE0" w:rsidRDefault="00E05D08">
      <w:pPr>
        <w:pStyle w:val="TOC2"/>
        <w:tabs>
          <w:tab w:val="left" w:pos="132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703602" w:history="1">
        <w:r w:rsidR="00732CE0" w:rsidRPr="00855C66">
          <w:rPr>
            <w:rStyle w:val="Hyperlink"/>
            <w:noProof/>
            <w14:scene3d>
              <w14:camera w14:prst="orthographicFront"/>
              <w14:lightRig w14:rig="threePt" w14:dir="t">
                <w14:rot w14:lat="0" w14:lon="0" w14:rev="0"/>
              </w14:lightRig>
            </w14:scene3d>
          </w:rPr>
          <w:t>Tabulka 1.</w:t>
        </w:r>
        <w:r w:rsidR="00732CE0">
          <w:rPr>
            <w:rFonts w:asciiTheme="minorHAnsi" w:eastAsiaTheme="minorEastAsia" w:hAnsiTheme="minorHAnsi"/>
            <w:noProof/>
            <w:color w:val="auto"/>
            <w:sz w:val="22"/>
            <w:lang w:val="en-GB" w:eastAsia="en-GB"/>
          </w:rPr>
          <w:tab/>
        </w:r>
        <w:r w:rsidR="00732CE0" w:rsidRPr="00855C66">
          <w:rPr>
            <w:rStyle w:val="Hyperlink"/>
            <w:noProof/>
          </w:rPr>
          <w:t>Prvky hodnocení a informační zdroje v souvislosti se společnou hodnotící otázkou č. 1</w:t>
        </w:r>
        <w:r w:rsidR="00732CE0">
          <w:rPr>
            <w:noProof/>
            <w:webHidden/>
          </w:rPr>
          <w:tab/>
        </w:r>
        <w:r w:rsidR="00732CE0">
          <w:rPr>
            <w:noProof/>
            <w:webHidden/>
          </w:rPr>
          <w:tab/>
        </w:r>
        <w:r w:rsidR="00732CE0">
          <w:rPr>
            <w:noProof/>
            <w:webHidden/>
          </w:rPr>
          <w:tab/>
        </w:r>
        <w:r w:rsidR="00732CE0">
          <w:rPr>
            <w:noProof/>
            <w:webHidden/>
          </w:rPr>
          <w:fldChar w:fldCharType="begin"/>
        </w:r>
        <w:r w:rsidR="00732CE0">
          <w:rPr>
            <w:noProof/>
            <w:webHidden/>
          </w:rPr>
          <w:instrText xml:space="preserve"> PAGEREF _Toc508703602 \h </w:instrText>
        </w:r>
        <w:r w:rsidR="00732CE0">
          <w:rPr>
            <w:noProof/>
            <w:webHidden/>
          </w:rPr>
        </w:r>
        <w:r w:rsidR="00732CE0">
          <w:rPr>
            <w:noProof/>
            <w:webHidden/>
          </w:rPr>
          <w:fldChar w:fldCharType="separate"/>
        </w:r>
        <w:r w:rsidR="008D6A98">
          <w:rPr>
            <w:noProof/>
            <w:webHidden/>
          </w:rPr>
          <w:t>27</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3" w:history="1">
        <w:r w:rsidR="00732CE0" w:rsidRPr="00855C66">
          <w:rPr>
            <w:rStyle w:val="Hyperlink"/>
            <w:noProof/>
            <w14:scene3d>
              <w14:camera w14:prst="orthographicFront"/>
              <w14:lightRig w14:rig="threePt" w14:dir="t">
                <w14:rot w14:lat="0" w14:lon="0" w14:rev="0"/>
              </w14:lightRig>
            </w14:scene3d>
          </w:rPr>
          <w:t>Tabulka 2.</w:t>
        </w:r>
        <w:r w:rsidR="00732CE0">
          <w:rPr>
            <w:rFonts w:asciiTheme="minorHAnsi" w:eastAsiaTheme="minorEastAsia" w:hAnsiTheme="minorHAnsi"/>
            <w:noProof/>
            <w:color w:val="auto"/>
            <w:sz w:val="22"/>
            <w:lang w:val="en-GB" w:eastAsia="en-GB"/>
          </w:rPr>
          <w:tab/>
        </w:r>
        <w:r w:rsidR="00732CE0" w:rsidRPr="00855C66">
          <w:rPr>
            <w:rStyle w:val="Hyperlink"/>
            <w:noProof/>
          </w:rPr>
          <w:t>Doporučené metody pro společnou hodnotící otázku č. 1</w:t>
        </w:r>
        <w:r w:rsidR="00732CE0">
          <w:rPr>
            <w:noProof/>
            <w:webHidden/>
          </w:rPr>
          <w:tab/>
        </w:r>
        <w:r w:rsidR="00732CE0">
          <w:rPr>
            <w:noProof/>
            <w:webHidden/>
          </w:rPr>
          <w:fldChar w:fldCharType="begin"/>
        </w:r>
        <w:r w:rsidR="00732CE0">
          <w:rPr>
            <w:noProof/>
            <w:webHidden/>
          </w:rPr>
          <w:instrText xml:space="preserve"> PAGEREF _Toc508703603 \h </w:instrText>
        </w:r>
        <w:r w:rsidR="00732CE0">
          <w:rPr>
            <w:noProof/>
            <w:webHidden/>
          </w:rPr>
        </w:r>
        <w:r w:rsidR="00732CE0">
          <w:rPr>
            <w:noProof/>
            <w:webHidden/>
          </w:rPr>
          <w:fldChar w:fldCharType="separate"/>
        </w:r>
        <w:r w:rsidR="008D6A98">
          <w:rPr>
            <w:noProof/>
            <w:webHidden/>
          </w:rPr>
          <w:t>29</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4" w:history="1">
        <w:r w:rsidR="00732CE0" w:rsidRPr="00855C66">
          <w:rPr>
            <w:rStyle w:val="Hyperlink"/>
            <w:noProof/>
            <w14:scene3d>
              <w14:camera w14:prst="orthographicFront"/>
              <w14:lightRig w14:rig="threePt" w14:dir="t">
                <w14:rot w14:lat="0" w14:lon="0" w14:rev="0"/>
              </w14:lightRig>
            </w14:scene3d>
          </w:rPr>
          <w:t>Tabulka 3.</w:t>
        </w:r>
        <w:r w:rsidR="00732CE0">
          <w:rPr>
            <w:rFonts w:asciiTheme="minorHAnsi" w:eastAsiaTheme="minorEastAsia" w:hAnsiTheme="minorHAnsi"/>
            <w:noProof/>
            <w:color w:val="auto"/>
            <w:sz w:val="22"/>
            <w:lang w:val="en-GB" w:eastAsia="en-GB"/>
          </w:rPr>
          <w:tab/>
        </w:r>
        <w:r w:rsidR="00732CE0" w:rsidRPr="00855C66">
          <w:rPr>
            <w:rStyle w:val="Hyperlink"/>
            <w:noProof/>
          </w:rPr>
          <w:t>Hodnotící kritéria, ukazatele, potřeby údajů a zdroje údajů</w:t>
        </w:r>
        <w:r w:rsidR="00732CE0">
          <w:rPr>
            <w:noProof/>
            <w:webHidden/>
          </w:rPr>
          <w:tab/>
        </w:r>
        <w:r w:rsidR="00732CE0">
          <w:rPr>
            <w:noProof/>
            <w:webHidden/>
          </w:rPr>
          <w:fldChar w:fldCharType="begin"/>
        </w:r>
        <w:r w:rsidR="00732CE0">
          <w:rPr>
            <w:noProof/>
            <w:webHidden/>
          </w:rPr>
          <w:instrText xml:space="preserve"> PAGEREF _Toc508703604 \h </w:instrText>
        </w:r>
        <w:r w:rsidR="00732CE0">
          <w:rPr>
            <w:noProof/>
            <w:webHidden/>
          </w:rPr>
        </w:r>
        <w:r w:rsidR="00732CE0">
          <w:rPr>
            <w:noProof/>
            <w:webHidden/>
          </w:rPr>
          <w:fldChar w:fldCharType="separate"/>
        </w:r>
        <w:r w:rsidR="008D6A98">
          <w:rPr>
            <w:noProof/>
            <w:webHidden/>
          </w:rPr>
          <w:t>36</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5" w:history="1">
        <w:r w:rsidR="00732CE0" w:rsidRPr="00855C66">
          <w:rPr>
            <w:rStyle w:val="Hyperlink"/>
            <w:noProof/>
            <w14:scene3d>
              <w14:camera w14:prst="orthographicFront"/>
              <w14:lightRig w14:rig="threePt" w14:dir="t">
                <w14:rot w14:lat="0" w14:lon="0" w14:rev="0"/>
              </w14:lightRig>
            </w14:scene3d>
          </w:rPr>
          <w:t>Tabulka 4.</w:t>
        </w:r>
        <w:r w:rsidR="00732CE0">
          <w:rPr>
            <w:rFonts w:asciiTheme="minorHAnsi" w:eastAsiaTheme="minorEastAsia" w:hAnsiTheme="minorHAnsi"/>
            <w:noProof/>
            <w:color w:val="auto"/>
            <w:sz w:val="22"/>
            <w:lang w:val="en-GB" w:eastAsia="en-GB"/>
          </w:rPr>
          <w:tab/>
        </w:r>
        <w:r w:rsidR="00732CE0" w:rsidRPr="00855C66">
          <w:rPr>
            <w:rStyle w:val="Hyperlink"/>
            <w:noProof/>
          </w:rPr>
          <w:t>Doporučené metody pro společnou hodnotící otázku č. 2</w:t>
        </w:r>
        <w:r w:rsidR="00732CE0">
          <w:rPr>
            <w:noProof/>
            <w:webHidden/>
          </w:rPr>
          <w:tab/>
        </w:r>
        <w:r w:rsidR="00732CE0">
          <w:rPr>
            <w:noProof/>
            <w:webHidden/>
          </w:rPr>
          <w:fldChar w:fldCharType="begin"/>
        </w:r>
        <w:r w:rsidR="00732CE0">
          <w:rPr>
            <w:noProof/>
            <w:webHidden/>
          </w:rPr>
          <w:instrText xml:space="preserve"> PAGEREF _Toc508703605 \h </w:instrText>
        </w:r>
        <w:r w:rsidR="00732CE0">
          <w:rPr>
            <w:noProof/>
            <w:webHidden/>
          </w:rPr>
        </w:r>
        <w:r w:rsidR="00732CE0">
          <w:rPr>
            <w:noProof/>
            <w:webHidden/>
          </w:rPr>
          <w:fldChar w:fldCharType="separate"/>
        </w:r>
        <w:r w:rsidR="008D6A98">
          <w:rPr>
            <w:noProof/>
            <w:webHidden/>
          </w:rPr>
          <w:t>38</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6" w:history="1">
        <w:r w:rsidR="00732CE0" w:rsidRPr="00855C66">
          <w:rPr>
            <w:rStyle w:val="Hyperlink"/>
            <w:noProof/>
            <w14:scene3d>
              <w14:camera w14:prst="orthographicFront"/>
              <w14:lightRig w14:rig="threePt" w14:dir="t">
                <w14:rot w14:lat="0" w14:lon="0" w14:rev="0"/>
              </w14:lightRig>
            </w14:scene3d>
          </w:rPr>
          <w:t>Tabulka 5.</w:t>
        </w:r>
        <w:r w:rsidR="00732CE0">
          <w:rPr>
            <w:rFonts w:asciiTheme="minorHAnsi" w:eastAsiaTheme="minorEastAsia" w:hAnsiTheme="minorHAnsi"/>
            <w:noProof/>
            <w:color w:val="auto"/>
            <w:sz w:val="22"/>
            <w:lang w:val="en-GB" w:eastAsia="en-GB"/>
          </w:rPr>
          <w:tab/>
        </w:r>
        <w:r w:rsidR="00732CE0" w:rsidRPr="00855C66">
          <w:rPr>
            <w:rStyle w:val="Hyperlink"/>
            <w:noProof/>
          </w:rPr>
          <w:t>Navrhovaná dodatečná hodnotící kritéria, ukazatele a údaje pro zodpovězení společné hodnotící otázky č. 21</w:t>
        </w:r>
        <w:r w:rsidR="00732CE0">
          <w:rPr>
            <w:noProof/>
            <w:webHidden/>
          </w:rPr>
          <w:tab/>
        </w:r>
        <w:r w:rsidR="00732CE0">
          <w:rPr>
            <w:noProof/>
            <w:webHidden/>
          </w:rPr>
          <w:fldChar w:fldCharType="begin"/>
        </w:r>
        <w:r w:rsidR="00732CE0">
          <w:rPr>
            <w:noProof/>
            <w:webHidden/>
          </w:rPr>
          <w:instrText xml:space="preserve"> PAGEREF _Toc508703606 \h </w:instrText>
        </w:r>
        <w:r w:rsidR="00732CE0">
          <w:rPr>
            <w:noProof/>
            <w:webHidden/>
          </w:rPr>
        </w:r>
        <w:r w:rsidR="00732CE0">
          <w:rPr>
            <w:noProof/>
            <w:webHidden/>
          </w:rPr>
          <w:fldChar w:fldCharType="separate"/>
        </w:r>
        <w:r w:rsidR="008D6A98">
          <w:rPr>
            <w:noProof/>
            <w:webHidden/>
          </w:rPr>
          <w:t>45</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7" w:history="1">
        <w:r w:rsidR="00732CE0" w:rsidRPr="00855C66">
          <w:rPr>
            <w:rStyle w:val="Hyperlink"/>
            <w:noProof/>
            <w14:scene3d>
              <w14:camera w14:prst="orthographicFront"/>
              <w14:lightRig w14:rig="threePt" w14:dir="t">
                <w14:rot w14:lat="0" w14:lon="0" w14:rev="0"/>
              </w14:lightRig>
            </w14:scene3d>
          </w:rPr>
          <w:t>Tabulka 6.</w:t>
        </w:r>
        <w:r w:rsidR="00732CE0">
          <w:rPr>
            <w:rFonts w:asciiTheme="minorHAnsi" w:eastAsiaTheme="minorEastAsia" w:hAnsiTheme="minorHAnsi"/>
            <w:noProof/>
            <w:color w:val="auto"/>
            <w:sz w:val="22"/>
            <w:lang w:val="en-GB" w:eastAsia="en-GB"/>
          </w:rPr>
          <w:tab/>
        </w:r>
        <w:r w:rsidR="00732CE0" w:rsidRPr="00855C66">
          <w:rPr>
            <w:rStyle w:val="Hyperlink"/>
            <w:noProof/>
          </w:rPr>
          <w:t>Doporučené metody pro společnou hodnotící otázku č. 21</w:t>
        </w:r>
        <w:r w:rsidR="00732CE0">
          <w:rPr>
            <w:noProof/>
            <w:webHidden/>
          </w:rPr>
          <w:tab/>
        </w:r>
        <w:r w:rsidR="00732CE0">
          <w:rPr>
            <w:noProof/>
            <w:webHidden/>
          </w:rPr>
          <w:fldChar w:fldCharType="begin"/>
        </w:r>
        <w:r w:rsidR="00732CE0">
          <w:rPr>
            <w:noProof/>
            <w:webHidden/>
          </w:rPr>
          <w:instrText xml:space="preserve"> PAGEREF _Toc508703607 \h </w:instrText>
        </w:r>
        <w:r w:rsidR="00732CE0">
          <w:rPr>
            <w:noProof/>
            <w:webHidden/>
          </w:rPr>
        </w:r>
        <w:r w:rsidR="00732CE0">
          <w:rPr>
            <w:noProof/>
            <w:webHidden/>
          </w:rPr>
          <w:fldChar w:fldCharType="separate"/>
        </w:r>
        <w:r w:rsidR="008D6A98">
          <w:rPr>
            <w:noProof/>
            <w:webHidden/>
          </w:rPr>
          <w:t>49</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8" w:history="1">
        <w:r w:rsidR="00732CE0" w:rsidRPr="00855C66">
          <w:rPr>
            <w:rStyle w:val="Hyperlink"/>
            <w:noProof/>
            <w14:scene3d>
              <w14:camera w14:prst="orthographicFront"/>
              <w14:lightRig w14:rig="threePt" w14:dir="t">
                <w14:rot w14:lat="0" w14:lon="0" w14:rev="0"/>
              </w14:lightRig>
            </w14:scene3d>
          </w:rPr>
          <w:t>Tabulka 7.</w:t>
        </w:r>
        <w:r w:rsidR="00732CE0">
          <w:rPr>
            <w:rFonts w:asciiTheme="minorHAnsi" w:eastAsiaTheme="minorEastAsia" w:hAnsiTheme="minorHAnsi"/>
            <w:noProof/>
            <w:color w:val="auto"/>
            <w:sz w:val="22"/>
            <w:lang w:val="en-GB" w:eastAsia="en-GB"/>
          </w:rPr>
          <w:tab/>
        </w:r>
        <w:r w:rsidR="00732CE0" w:rsidRPr="00855C66">
          <w:rPr>
            <w:rStyle w:val="Hyperlink"/>
            <w:noProof/>
          </w:rPr>
          <w:t>Hodnotící kritéria, ukazatele a údaje požadované pro zodpovězení společné hodnotící otázky č. 23</w:t>
        </w:r>
        <w:r w:rsidR="00732CE0">
          <w:rPr>
            <w:noProof/>
            <w:webHidden/>
          </w:rPr>
          <w:tab/>
        </w:r>
        <w:r w:rsidR="00732CE0">
          <w:rPr>
            <w:noProof/>
            <w:webHidden/>
          </w:rPr>
          <w:fldChar w:fldCharType="begin"/>
        </w:r>
        <w:r w:rsidR="00732CE0">
          <w:rPr>
            <w:noProof/>
            <w:webHidden/>
          </w:rPr>
          <w:instrText xml:space="preserve"> PAGEREF _Toc508703608 \h </w:instrText>
        </w:r>
        <w:r w:rsidR="00732CE0">
          <w:rPr>
            <w:noProof/>
            <w:webHidden/>
          </w:rPr>
        </w:r>
        <w:r w:rsidR="00732CE0">
          <w:rPr>
            <w:noProof/>
            <w:webHidden/>
          </w:rPr>
          <w:fldChar w:fldCharType="separate"/>
        </w:r>
        <w:r w:rsidR="008D6A98">
          <w:rPr>
            <w:noProof/>
            <w:webHidden/>
          </w:rPr>
          <w:t>54</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09" w:history="1">
        <w:r w:rsidR="00732CE0" w:rsidRPr="00855C66">
          <w:rPr>
            <w:rStyle w:val="Hyperlink"/>
            <w:noProof/>
            <w14:scene3d>
              <w14:camera w14:prst="orthographicFront"/>
              <w14:lightRig w14:rig="threePt" w14:dir="t">
                <w14:rot w14:lat="0" w14:lon="0" w14:rev="0"/>
              </w14:lightRig>
            </w14:scene3d>
          </w:rPr>
          <w:t>Tabulka 8.</w:t>
        </w:r>
        <w:r w:rsidR="00732CE0">
          <w:rPr>
            <w:rFonts w:asciiTheme="minorHAnsi" w:eastAsiaTheme="minorEastAsia" w:hAnsiTheme="minorHAnsi"/>
            <w:noProof/>
            <w:color w:val="auto"/>
            <w:sz w:val="22"/>
            <w:lang w:val="en-GB" w:eastAsia="en-GB"/>
          </w:rPr>
          <w:tab/>
        </w:r>
        <w:r w:rsidR="00732CE0" w:rsidRPr="00855C66">
          <w:rPr>
            <w:rStyle w:val="Hyperlink"/>
            <w:noProof/>
          </w:rPr>
          <w:t>Příklad plánovaných a skutečných hodnot společných a dodatečných ukazatelů</w:t>
        </w:r>
        <w:r w:rsidR="00732CE0">
          <w:rPr>
            <w:noProof/>
            <w:webHidden/>
          </w:rPr>
          <w:tab/>
        </w:r>
        <w:r w:rsidR="00732CE0">
          <w:rPr>
            <w:noProof/>
            <w:webHidden/>
          </w:rPr>
          <w:fldChar w:fldCharType="begin"/>
        </w:r>
        <w:r w:rsidR="00732CE0">
          <w:rPr>
            <w:noProof/>
            <w:webHidden/>
          </w:rPr>
          <w:instrText xml:space="preserve"> PAGEREF _Toc508703609 \h </w:instrText>
        </w:r>
        <w:r w:rsidR="00732CE0">
          <w:rPr>
            <w:noProof/>
            <w:webHidden/>
          </w:rPr>
        </w:r>
        <w:r w:rsidR="00732CE0">
          <w:rPr>
            <w:noProof/>
            <w:webHidden/>
          </w:rPr>
          <w:fldChar w:fldCharType="separate"/>
        </w:r>
        <w:r w:rsidR="008D6A98">
          <w:rPr>
            <w:noProof/>
            <w:webHidden/>
          </w:rPr>
          <w:t>57</w:t>
        </w:r>
        <w:r w:rsidR="00732CE0">
          <w:rPr>
            <w:noProof/>
            <w:webHidden/>
          </w:rPr>
          <w:fldChar w:fldCharType="end"/>
        </w:r>
      </w:hyperlink>
    </w:p>
    <w:p w:rsidR="00732CE0" w:rsidRDefault="005716B0">
      <w:pPr>
        <w:pStyle w:val="TOC2"/>
        <w:tabs>
          <w:tab w:val="left" w:pos="1320"/>
          <w:tab w:val="right" w:leader="dot" w:pos="9040"/>
        </w:tabs>
        <w:rPr>
          <w:rFonts w:asciiTheme="minorHAnsi" w:eastAsiaTheme="minorEastAsia" w:hAnsiTheme="minorHAnsi"/>
          <w:noProof/>
          <w:color w:val="auto"/>
          <w:sz w:val="22"/>
          <w:lang w:val="en-GB" w:eastAsia="en-GB"/>
        </w:rPr>
      </w:pPr>
      <w:hyperlink w:anchor="_Toc508703610" w:history="1">
        <w:r w:rsidR="00732CE0" w:rsidRPr="00855C66">
          <w:rPr>
            <w:rStyle w:val="Hyperlink"/>
            <w:noProof/>
            <w14:scene3d>
              <w14:camera w14:prst="orthographicFront"/>
              <w14:lightRig w14:rig="threePt" w14:dir="t">
                <w14:rot w14:lat="0" w14:lon="0" w14:rev="0"/>
              </w14:lightRig>
            </w14:scene3d>
          </w:rPr>
          <w:t>Tabulka 9.</w:t>
        </w:r>
        <w:r w:rsidR="00732CE0">
          <w:rPr>
            <w:rFonts w:asciiTheme="minorHAnsi" w:eastAsiaTheme="minorEastAsia" w:hAnsiTheme="minorHAnsi"/>
            <w:noProof/>
            <w:color w:val="auto"/>
            <w:sz w:val="22"/>
            <w:lang w:val="en-GB" w:eastAsia="en-GB"/>
          </w:rPr>
          <w:tab/>
        </w:r>
        <w:r w:rsidR="00732CE0" w:rsidRPr="00855C66">
          <w:rPr>
            <w:rStyle w:val="Hyperlink"/>
            <w:noProof/>
          </w:rPr>
          <w:t>Prvky hodnocení související se společnou hodnotící otázkou č. 30</w:t>
        </w:r>
        <w:r w:rsidR="00732CE0">
          <w:rPr>
            <w:noProof/>
            <w:webHidden/>
          </w:rPr>
          <w:tab/>
        </w:r>
        <w:r w:rsidR="00732CE0">
          <w:rPr>
            <w:noProof/>
            <w:webHidden/>
          </w:rPr>
          <w:fldChar w:fldCharType="begin"/>
        </w:r>
        <w:r w:rsidR="00732CE0">
          <w:rPr>
            <w:noProof/>
            <w:webHidden/>
          </w:rPr>
          <w:instrText xml:space="preserve"> PAGEREF _Toc508703610 \h </w:instrText>
        </w:r>
        <w:r w:rsidR="00732CE0">
          <w:rPr>
            <w:noProof/>
            <w:webHidden/>
          </w:rPr>
        </w:r>
        <w:r w:rsidR="00732CE0">
          <w:rPr>
            <w:noProof/>
            <w:webHidden/>
          </w:rPr>
          <w:fldChar w:fldCharType="separate"/>
        </w:r>
        <w:r w:rsidR="008D6A98">
          <w:rPr>
            <w:noProof/>
            <w:webHidden/>
          </w:rPr>
          <w:t>62</w:t>
        </w:r>
        <w:r w:rsidR="00732CE0">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732CE0" w:rsidRDefault="002F11D9">
      <w:pPr>
        <w:pStyle w:val="TOC4"/>
        <w:tabs>
          <w:tab w:val="left" w:pos="88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703628" w:history="1">
        <w:r w:rsidR="00732CE0" w:rsidRPr="003F0EFE">
          <w:rPr>
            <w:rStyle w:val="Hyperlink"/>
          </w:rPr>
          <w:t>Graf 1.</w:t>
        </w:r>
        <w:r w:rsidR="00732CE0">
          <w:rPr>
            <w:rFonts w:asciiTheme="minorHAnsi" w:eastAsiaTheme="minorEastAsia" w:hAnsiTheme="minorHAnsi"/>
            <w:color w:val="auto"/>
            <w:sz w:val="22"/>
            <w:lang w:val="en-GB" w:eastAsia="en-GB"/>
          </w:rPr>
          <w:tab/>
        </w:r>
        <w:r w:rsidR="00732CE0" w:rsidRPr="003F0EFE">
          <w:rPr>
            <w:rStyle w:val="Hyperlink"/>
          </w:rPr>
          <w:t>Zjednodušené schéma, jak programy rozvoje venkova podporují inovace</w:t>
        </w:r>
        <w:r w:rsidR="00732CE0">
          <w:rPr>
            <w:webHidden/>
          </w:rPr>
          <w:tab/>
        </w:r>
        <w:r w:rsidR="00732CE0">
          <w:rPr>
            <w:webHidden/>
          </w:rPr>
          <w:fldChar w:fldCharType="begin"/>
        </w:r>
        <w:r w:rsidR="00732CE0">
          <w:rPr>
            <w:webHidden/>
          </w:rPr>
          <w:instrText xml:space="preserve"> PAGEREF _Toc508703628 \h </w:instrText>
        </w:r>
        <w:r w:rsidR="00732CE0">
          <w:rPr>
            <w:webHidden/>
          </w:rPr>
        </w:r>
        <w:r w:rsidR="00732CE0">
          <w:rPr>
            <w:webHidden/>
          </w:rPr>
          <w:fldChar w:fldCharType="separate"/>
        </w:r>
        <w:r w:rsidR="008D6A98">
          <w:rPr>
            <w:webHidden/>
          </w:rPr>
          <w:t>4</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29" w:history="1">
        <w:r w:rsidR="00732CE0" w:rsidRPr="003F0EFE">
          <w:rPr>
            <w:rStyle w:val="Hyperlink"/>
          </w:rPr>
          <w:t>Graf 2.</w:t>
        </w:r>
        <w:r w:rsidR="00732CE0">
          <w:rPr>
            <w:rFonts w:asciiTheme="minorHAnsi" w:eastAsiaTheme="minorEastAsia" w:hAnsiTheme="minorHAnsi"/>
            <w:color w:val="auto"/>
            <w:sz w:val="22"/>
            <w:lang w:val="en-GB" w:eastAsia="en-GB"/>
          </w:rPr>
          <w:tab/>
        </w:r>
        <w:r w:rsidR="00732CE0" w:rsidRPr="003F0EFE">
          <w:rPr>
            <w:rStyle w:val="Hyperlink"/>
          </w:rPr>
          <w:t>Politický rámec pro inovace v EU a pro politiku rozvoje venkova</w:t>
        </w:r>
        <w:r w:rsidR="00732CE0">
          <w:rPr>
            <w:webHidden/>
          </w:rPr>
          <w:tab/>
        </w:r>
        <w:r w:rsidR="00732CE0">
          <w:rPr>
            <w:webHidden/>
          </w:rPr>
          <w:fldChar w:fldCharType="begin"/>
        </w:r>
        <w:r w:rsidR="00732CE0">
          <w:rPr>
            <w:webHidden/>
          </w:rPr>
          <w:instrText xml:space="preserve"> PAGEREF _Toc508703629 \h </w:instrText>
        </w:r>
        <w:r w:rsidR="00732CE0">
          <w:rPr>
            <w:webHidden/>
          </w:rPr>
        </w:r>
        <w:r w:rsidR="00732CE0">
          <w:rPr>
            <w:webHidden/>
          </w:rPr>
          <w:fldChar w:fldCharType="separate"/>
        </w:r>
        <w:r w:rsidR="008D6A98">
          <w:rPr>
            <w:webHidden/>
          </w:rPr>
          <w:t>9</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0" w:history="1">
        <w:r w:rsidR="00732CE0" w:rsidRPr="003F0EFE">
          <w:rPr>
            <w:rStyle w:val="Hyperlink"/>
          </w:rPr>
          <w:t>Graf 3.</w:t>
        </w:r>
        <w:r w:rsidR="00732CE0">
          <w:rPr>
            <w:rFonts w:asciiTheme="minorHAnsi" w:eastAsiaTheme="minorEastAsia" w:hAnsiTheme="minorHAnsi"/>
            <w:color w:val="auto"/>
            <w:sz w:val="22"/>
            <w:lang w:val="en-GB" w:eastAsia="en-GB"/>
          </w:rPr>
          <w:tab/>
        </w:r>
        <w:r w:rsidR="00732CE0" w:rsidRPr="003F0EFE">
          <w:rPr>
            <w:rStyle w:val="Hyperlink"/>
          </w:rPr>
          <w:t>Společné prvky hodnocení pro hodnocení inovací</w:t>
        </w:r>
        <w:r w:rsidR="00732CE0">
          <w:rPr>
            <w:webHidden/>
          </w:rPr>
          <w:tab/>
        </w:r>
        <w:r w:rsidR="00732CE0">
          <w:rPr>
            <w:webHidden/>
          </w:rPr>
          <w:fldChar w:fldCharType="begin"/>
        </w:r>
        <w:r w:rsidR="00732CE0">
          <w:rPr>
            <w:webHidden/>
          </w:rPr>
          <w:instrText xml:space="preserve"> PAGEREF _Toc508703630 \h </w:instrText>
        </w:r>
        <w:r w:rsidR="00732CE0">
          <w:rPr>
            <w:webHidden/>
          </w:rPr>
        </w:r>
        <w:r w:rsidR="00732CE0">
          <w:rPr>
            <w:webHidden/>
          </w:rPr>
          <w:fldChar w:fldCharType="separate"/>
        </w:r>
        <w:r w:rsidR="008D6A98">
          <w:rPr>
            <w:webHidden/>
          </w:rPr>
          <w:t>13</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1" w:history="1">
        <w:r w:rsidR="00732CE0" w:rsidRPr="003F0EFE">
          <w:rPr>
            <w:rStyle w:val="Hyperlink"/>
          </w:rPr>
          <w:t>Graf 4.</w:t>
        </w:r>
        <w:r w:rsidR="00732CE0">
          <w:rPr>
            <w:rFonts w:asciiTheme="minorHAnsi" w:eastAsiaTheme="minorEastAsia" w:hAnsiTheme="minorHAnsi"/>
            <w:color w:val="auto"/>
            <w:sz w:val="22"/>
            <w:lang w:val="en-GB" w:eastAsia="en-GB"/>
          </w:rPr>
          <w:tab/>
        </w:r>
        <w:r w:rsidR="00732CE0" w:rsidRPr="003F0EFE">
          <w:rPr>
            <w:rStyle w:val="Hyperlink"/>
          </w:rPr>
          <w:t>Řízení hodnocení inovací v rámci PRV 2014–2020</w:t>
        </w:r>
        <w:r w:rsidR="00732CE0">
          <w:rPr>
            <w:webHidden/>
          </w:rPr>
          <w:tab/>
        </w:r>
        <w:r w:rsidR="00732CE0">
          <w:rPr>
            <w:webHidden/>
          </w:rPr>
          <w:fldChar w:fldCharType="begin"/>
        </w:r>
        <w:r w:rsidR="00732CE0">
          <w:rPr>
            <w:webHidden/>
          </w:rPr>
          <w:instrText xml:space="preserve"> PAGEREF _Toc508703631 \h </w:instrText>
        </w:r>
        <w:r w:rsidR="00732CE0">
          <w:rPr>
            <w:webHidden/>
          </w:rPr>
        </w:r>
        <w:r w:rsidR="00732CE0">
          <w:rPr>
            <w:webHidden/>
          </w:rPr>
          <w:fldChar w:fldCharType="separate"/>
        </w:r>
        <w:r w:rsidR="008D6A98">
          <w:rPr>
            <w:webHidden/>
          </w:rPr>
          <w:t>15</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2" w:history="1">
        <w:r w:rsidR="00732CE0" w:rsidRPr="003F0EFE">
          <w:rPr>
            <w:rStyle w:val="Hyperlink"/>
          </w:rPr>
          <w:t>Graf 5.</w:t>
        </w:r>
        <w:r w:rsidR="00732CE0">
          <w:rPr>
            <w:rFonts w:asciiTheme="minorHAnsi" w:eastAsiaTheme="minorEastAsia" w:hAnsiTheme="minorHAnsi"/>
            <w:color w:val="auto"/>
            <w:sz w:val="22"/>
            <w:lang w:val="en-GB" w:eastAsia="en-GB"/>
          </w:rPr>
          <w:tab/>
        </w:r>
        <w:r w:rsidR="00732CE0" w:rsidRPr="003F0EFE">
          <w:rPr>
            <w:rStyle w:val="Hyperlink"/>
          </w:rPr>
          <w:t>Požadavky týkající se podávání zpráv v souvislosti s inovacemi</w:t>
        </w:r>
        <w:r w:rsidR="00732CE0">
          <w:rPr>
            <w:webHidden/>
          </w:rPr>
          <w:tab/>
        </w:r>
        <w:r w:rsidR="00732CE0">
          <w:rPr>
            <w:webHidden/>
          </w:rPr>
          <w:fldChar w:fldCharType="begin"/>
        </w:r>
        <w:r w:rsidR="00732CE0">
          <w:rPr>
            <w:webHidden/>
          </w:rPr>
          <w:instrText xml:space="preserve"> PAGEREF _Toc508703632 \h </w:instrText>
        </w:r>
        <w:r w:rsidR="00732CE0">
          <w:rPr>
            <w:webHidden/>
          </w:rPr>
        </w:r>
        <w:r w:rsidR="00732CE0">
          <w:rPr>
            <w:webHidden/>
          </w:rPr>
          <w:fldChar w:fldCharType="separate"/>
        </w:r>
        <w:r w:rsidR="008D6A98">
          <w:rPr>
            <w:webHidden/>
          </w:rPr>
          <w:t>16</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3" w:history="1">
        <w:r w:rsidR="00732CE0" w:rsidRPr="003F0EFE">
          <w:rPr>
            <w:rStyle w:val="Hyperlink"/>
          </w:rPr>
          <w:t>Graf 6.</w:t>
        </w:r>
        <w:r w:rsidR="00732CE0">
          <w:rPr>
            <w:rFonts w:asciiTheme="minorHAnsi" w:eastAsiaTheme="minorEastAsia" w:hAnsiTheme="minorHAnsi"/>
            <w:color w:val="auto"/>
            <w:sz w:val="22"/>
            <w:lang w:val="en-GB" w:eastAsia="en-GB"/>
          </w:rPr>
          <w:tab/>
        </w:r>
        <w:r w:rsidR="00732CE0" w:rsidRPr="003F0EFE">
          <w:rPr>
            <w:rStyle w:val="Hyperlink"/>
          </w:rPr>
          <w:t>Přístup k hodnocení inovací v rámci PRV</w:t>
        </w:r>
        <w:r w:rsidR="00732CE0">
          <w:rPr>
            <w:webHidden/>
          </w:rPr>
          <w:tab/>
        </w:r>
        <w:r w:rsidR="00732CE0">
          <w:rPr>
            <w:webHidden/>
          </w:rPr>
          <w:fldChar w:fldCharType="begin"/>
        </w:r>
        <w:r w:rsidR="00732CE0">
          <w:rPr>
            <w:webHidden/>
          </w:rPr>
          <w:instrText xml:space="preserve"> PAGEREF _Toc508703633 \h </w:instrText>
        </w:r>
        <w:r w:rsidR="00732CE0">
          <w:rPr>
            <w:webHidden/>
          </w:rPr>
        </w:r>
        <w:r w:rsidR="00732CE0">
          <w:rPr>
            <w:webHidden/>
          </w:rPr>
          <w:fldChar w:fldCharType="separate"/>
        </w:r>
        <w:r w:rsidR="008D6A98">
          <w:rPr>
            <w:webHidden/>
          </w:rPr>
          <w:t>18</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4" w:history="1">
        <w:r w:rsidR="00732CE0" w:rsidRPr="003F0EFE">
          <w:rPr>
            <w:rStyle w:val="Hyperlink"/>
          </w:rPr>
          <w:t>Graf 7.</w:t>
        </w:r>
        <w:r w:rsidR="00732CE0">
          <w:rPr>
            <w:rFonts w:asciiTheme="minorHAnsi" w:eastAsiaTheme="minorEastAsia" w:hAnsiTheme="minorHAnsi"/>
            <w:color w:val="auto"/>
            <w:sz w:val="22"/>
            <w:lang w:val="en-GB" w:eastAsia="en-GB"/>
          </w:rPr>
          <w:tab/>
        </w:r>
        <w:r w:rsidR="00732CE0" w:rsidRPr="003F0EFE">
          <w:rPr>
            <w:rStyle w:val="Hyperlink"/>
          </w:rPr>
          <w:t>Kroky při posuzování opatření/podopatření PRV z hlediska jejich inovačního potenciálu</w:t>
        </w:r>
        <w:r w:rsidR="00732CE0">
          <w:rPr>
            <w:webHidden/>
          </w:rPr>
          <w:tab/>
        </w:r>
        <w:r w:rsidR="00732CE0">
          <w:rPr>
            <w:webHidden/>
          </w:rPr>
          <w:fldChar w:fldCharType="begin"/>
        </w:r>
        <w:r w:rsidR="00732CE0">
          <w:rPr>
            <w:webHidden/>
          </w:rPr>
          <w:instrText xml:space="preserve"> PAGEREF _Toc508703634 \h </w:instrText>
        </w:r>
        <w:r w:rsidR="00732CE0">
          <w:rPr>
            <w:webHidden/>
          </w:rPr>
        </w:r>
        <w:r w:rsidR="00732CE0">
          <w:rPr>
            <w:webHidden/>
          </w:rPr>
          <w:fldChar w:fldCharType="separate"/>
        </w:r>
        <w:r w:rsidR="008D6A98">
          <w:rPr>
            <w:webHidden/>
          </w:rPr>
          <w:t>19</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5" w:history="1">
        <w:r w:rsidR="00732CE0" w:rsidRPr="003F0EFE">
          <w:rPr>
            <w:rStyle w:val="Hyperlink"/>
          </w:rPr>
          <w:t>Graf 8.</w:t>
        </w:r>
        <w:r w:rsidR="00732CE0">
          <w:rPr>
            <w:rFonts w:asciiTheme="minorHAnsi" w:eastAsiaTheme="minorEastAsia" w:hAnsiTheme="minorHAnsi"/>
            <w:color w:val="auto"/>
            <w:sz w:val="22"/>
            <w:lang w:val="en-GB" w:eastAsia="en-GB"/>
          </w:rPr>
          <w:tab/>
        </w:r>
        <w:r w:rsidR="00732CE0" w:rsidRPr="003F0EFE">
          <w:rPr>
            <w:rStyle w:val="Hyperlink"/>
          </w:rPr>
          <w:t>Příklad intervenční logiky spojené se společnou hodnotící otázkou č. 1</w:t>
        </w:r>
        <w:r w:rsidR="00732CE0">
          <w:rPr>
            <w:webHidden/>
          </w:rPr>
          <w:tab/>
        </w:r>
        <w:r w:rsidR="00732CE0">
          <w:rPr>
            <w:webHidden/>
          </w:rPr>
          <w:fldChar w:fldCharType="begin"/>
        </w:r>
        <w:r w:rsidR="00732CE0">
          <w:rPr>
            <w:webHidden/>
          </w:rPr>
          <w:instrText xml:space="preserve"> PAGEREF _Toc508703635 \h </w:instrText>
        </w:r>
        <w:r w:rsidR="00732CE0">
          <w:rPr>
            <w:webHidden/>
          </w:rPr>
        </w:r>
        <w:r w:rsidR="00732CE0">
          <w:rPr>
            <w:webHidden/>
          </w:rPr>
          <w:fldChar w:fldCharType="separate"/>
        </w:r>
        <w:r w:rsidR="008D6A98">
          <w:rPr>
            <w:webHidden/>
          </w:rPr>
          <w:t>25</w:t>
        </w:r>
        <w:r w:rsidR="00732CE0">
          <w:rPr>
            <w:webHidden/>
          </w:rPr>
          <w:fldChar w:fldCharType="end"/>
        </w:r>
      </w:hyperlink>
    </w:p>
    <w:p w:rsidR="00732CE0" w:rsidRDefault="005716B0">
      <w:pPr>
        <w:pStyle w:val="TOC4"/>
        <w:tabs>
          <w:tab w:val="left" w:pos="880"/>
          <w:tab w:val="right" w:leader="dot" w:pos="9040"/>
        </w:tabs>
        <w:rPr>
          <w:rFonts w:asciiTheme="minorHAnsi" w:eastAsiaTheme="minorEastAsia" w:hAnsiTheme="minorHAnsi"/>
          <w:color w:val="auto"/>
          <w:sz w:val="22"/>
          <w:lang w:val="en-GB" w:eastAsia="en-GB"/>
        </w:rPr>
      </w:pPr>
      <w:hyperlink w:anchor="_Toc508703636" w:history="1">
        <w:r w:rsidR="00732CE0" w:rsidRPr="003F0EFE">
          <w:rPr>
            <w:rStyle w:val="Hyperlink"/>
          </w:rPr>
          <w:t>Graf 9.</w:t>
        </w:r>
        <w:r w:rsidR="00732CE0">
          <w:rPr>
            <w:rFonts w:asciiTheme="minorHAnsi" w:eastAsiaTheme="minorEastAsia" w:hAnsiTheme="minorHAnsi"/>
            <w:color w:val="auto"/>
            <w:sz w:val="22"/>
            <w:lang w:val="en-GB" w:eastAsia="en-GB"/>
          </w:rPr>
          <w:tab/>
        </w:r>
        <w:r w:rsidR="00732CE0" w:rsidRPr="003F0EFE">
          <w:rPr>
            <w:rStyle w:val="Hyperlink"/>
          </w:rPr>
          <w:t>Příklad inovačního potenciálu každého podopatření opatření M16</w:t>
        </w:r>
        <w:r w:rsidR="00732CE0">
          <w:rPr>
            <w:webHidden/>
          </w:rPr>
          <w:tab/>
        </w:r>
        <w:r w:rsidR="00732CE0">
          <w:rPr>
            <w:webHidden/>
          </w:rPr>
          <w:fldChar w:fldCharType="begin"/>
        </w:r>
        <w:r w:rsidR="00732CE0">
          <w:rPr>
            <w:webHidden/>
          </w:rPr>
          <w:instrText xml:space="preserve"> PAGEREF _Toc508703636 \h </w:instrText>
        </w:r>
        <w:r w:rsidR="00732CE0">
          <w:rPr>
            <w:webHidden/>
          </w:rPr>
        </w:r>
        <w:r w:rsidR="00732CE0">
          <w:rPr>
            <w:webHidden/>
          </w:rPr>
          <w:fldChar w:fldCharType="separate"/>
        </w:r>
        <w:r w:rsidR="008D6A98">
          <w:rPr>
            <w:webHidden/>
          </w:rPr>
          <w:t>34</w:t>
        </w:r>
        <w:r w:rsidR="00732CE0">
          <w:rPr>
            <w:webHidden/>
          </w:rPr>
          <w:fldChar w:fldCharType="end"/>
        </w:r>
      </w:hyperlink>
    </w:p>
    <w:p w:rsidR="00732CE0" w:rsidRDefault="005716B0">
      <w:pPr>
        <w:pStyle w:val="TOC4"/>
        <w:tabs>
          <w:tab w:val="left" w:pos="1100"/>
          <w:tab w:val="right" w:leader="dot" w:pos="9040"/>
        </w:tabs>
        <w:rPr>
          <w:rFonts w:asciiTheme="minorHAnsi" w:eastAsiaTheme="minorEastAsia" w:hAnsiTheme="minorHAnsi"/>
          <w:color w:val="auto"/>
          <w:sz w:val="22"/>
          <w:lang w:val="en-GB" w:eastAsia="en-GB"/>
        </w:rPr>
      </w:pPr>
      <w:hyperlink w:anchor="_Toc508703637" w:history="1">
        <w:r w:rsidR="00732CE0" w:rsidRPr="003F0EFE">
          <w:rPr>
            <w:rStyle w:val="Hyperlink"/>
          </w:rPr>
          <w:t>Graf 10.</w:t>
        </w:r>
        <w:r w:rsidR="00732CE0">
          <w:rPr>
            <w:rFonts w:asciiTheme="minorHAnsi" w:eastAsiaTheme="minorEastAsia" w:hAnsiTheme="minorHAnsi"/>
            <w:color w:val="auto"/>
            <w:sz w:val="22"/>
            <w:lang w:val="en-GB" w:eastAsia="en-GB"/>
          </w:rPr>
          <w:tab/>
        </w:r>
        <w:r w:rsidR="00732CE0" w:rsidRPr="003F0EFE">
          <w:rPr>
            <w:rStyle w:val="Hyperlink"/>
          </w:rPr>
          <w:t>Intervenční logika CSV ve vztahu k inova</w:t>
        </w:r>
        <w:bookmarkStart w:id="3" w:name="_GoBack"/>
        <w:bookmarkEnd w:id="3"/>
        <w:r w:rsidR="00732CE0" w:rsidRPr="003F0EFE">
          <w:rPr>
            <w:rStyle w:val="Hyperlink"/>
          </w:rPr>
          <w:t>cím</w:t>
        </w:r>
        <w:r w:rsidR="00732CE0">
          <w:rPr>
            <w:webHidden/>
          </w:rPr>
          <w:tab/>
        </w:r>
        <w:r w:rsidR="00732CE0">
          <w:rPr>
            <w:webHidden/>
          </w:rPr>
          <w:fldChar w:fldCharType="begin"/>
        </w:r>
        <w:r w:rsidR="00732CE0">
          <w:rPr>
            <w:webHidden/>
          </w:rPr>
          <w:instrText xml:space="preserve"> PAGEREF _Toc508703637 \h </w:instrText>
        </w:r>
        <w:r w:rsidR="00732CE0">
          <w:rPr>
            <w:webHidden/>
          </w:rPr>
        </w:r>
        <w:r w:rsidR="00732CE0">
          <w:rPr>
            <w:webHidden/>
          </w:rPr>
          <w:fldChar w:fldCharType="separate"/>
        </w:r>
        <w:r w:rsidR="008D6A98">
          <w:rPr>
            <w:webHidden/>
          </w:rPr>
          <w:t>44</w:t>
        </w:r>
        <w:r w:rsidR="00732CE0">
          <w:rPr>
            <w:webHidden/>
          </w:rPr>
          <w:fldChar w:fldCharType="end"/>
        </w:r>
      </w:hyperlink>
    </w:p>
    <w:p w:rsidR="00732CE0" w:rsidRDefault="005716B0">
      <w:pPr>
        <w:pStyle w:val="TOC4"/>
        <w:tabs>
          <w:tab w:val="left" w:pos="1100"/>
          <w:tab w:val="right" w:leader="dot" w:pos="9040"/>
        </w:tabs>
        <w:rPr>
          <w:rFonts w:asciiTheme="minorHAnsi" w:eastAsiaTheme="minorEastAsia" w:hAnsiTheme="minorHAnsi"/>
          <w:color w:val="auto"/>
          <w:sz w:val="22"/>
          <w:lang w:val="en-GB" w:eastAsia="en-GB"/>
        </w:rPr>
      </w:pPr>
      <w:hyperlink w:anchor="_Toc508703638" w:history="1">
        <w:r w:rsidR="00732CE0" w:rsidRPr="003F0EFE">
          <w:rPr>
            <w:rStyle w:val="Hyperlink"/>
          </w:rPr>
          <w:t>Graf 11.</w:t>
        </w:r>
        <w:r w:rsidR="00732CE0">
          <w:rPr>
            <w:rFonts w:asciiTheme="minorHAnsi" w:eastAsiaTheme="minorEastAsia" w:hAnsiTheme="minorHAnsi"/>
            <w:color w:val="auto"/>
            <w:sz w:val="22"/>
            <w:lang w:val="en-GB" w:eastAsia="en-GB"/>
          </w:rPr>
          <w:tab/>
        </w:r>
        <w:r w:rsidR="00732CE0" w:rsidRPr="003F0EFE">
          <w:rPr>
            <w:rStyle w:val="Hyperlink"/>
          </w:rPr>
          <w:t>Příklad intervenční logiky pro společnou hodnotící otázku č. 30</w:t>
        </w:r>
        <w:r w:rsidR="00732CE0">
          <w:rPr>
            <w:webHidden/>
          </w:rPr>
          <w:tab/>
        </w:r>
        <w:r w:rsidR="00732CE0">
          <w:rPr>
            <w:webHidden/>
          </w:rPr>
          <w:fldChar w:fldCharType="begin"/>
        </w:r>
        <w:r w:rsidR="00732CE0">
          <w:rPr>
            <w:webHidden/>
          </w:rPr>
          <w:instrText xml:space="preserve"> PAGEREF _Toc508703638 \h </w:instrText>
        </w:r>
        <w:r w:rsidR="00732CE0">
          <w:rPr>
            <w:webHidden/>
          </w:rPr>
        </w:r>
        <w:r w:rsidR="00732CE0">
          <w:rPr>
            <w:webHidden/>
          </w:rPr>
          <w:fldChar w:fldCharType="separate"/>
        </w:r>
        <w:r w:rsidR="008D6A98">
          <w:rPr>
            <w:webHidden/>
          </w:rPr>
          <w:t>60</w:t>
        </w:r>
        <w:r w:rsidR="00732CE0">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Poděkování</w:t>
      </w:r>
    </w:p>
    <w:p w:rsidR="00E05D08" w:rsidRPr="00E05D08" w:rsidRDefault="00E05D08" w:rsidP="00E05D08">
      <w:pPr>
        <w:spacing w:after="120" w:line="280" w:lineRule="atLeast"/>
        <w:mirrorIndents/>
        <w:rPr>
          <w:rFonts w:eastAsia="Times New Roman" w:cs="Times New Roman"/>
          <w:i/>
          <w:szCs w:val="20"/>
        </w:rPr>
      </w:pPr>
      <w:r>
        <w:rPr>
          <w:i/>
          <w:szCs w:val="20"/>
        </w:rPr>
        <w:t xml:space="preserve">Tyto pokyny vypracoval tým odborníků z evropské asistenční služby pro účely hodnocení politiky rozvoje venkova ve složení Boru Douthwaite, Marili Parissakiová, Andreas Resch, Jela Tvrdonova, Valérie Dumontová, Matteo Metta, Myles Stiffler a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Další odborníci působili v roli nezávislých oponentů (Anna Maria Augustynová, Simona Cristianová, Anikó Juhászová, Bill Slee) nebo přispěli svými znalostmi o hodnotících postupech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Soudržnost pokynů s politickým rámcem EU zajistili zástupci GŘ pro zemědělství a rozvoj venkova.</w:t>
      </w:r>
    </w:p>
    <w:p w:rsidR="00E05D08" w:rsidRPr="00E05D08" w:rsidRDefault="00E05D08" w:rsidP="00E05D08">
      <w:pPr>
        <w:spacing w:after="120" w:line="280" w:lineRule="atLeast"/>
        <w:mirrorIndents/>
        <w:rPr>
          <w:rFonts w:eastAsia="Times New Roman" w:cs="Times New Roman"/>
          <w:i/>
          <w:szCs w:val="20"/>
        </w:rPr>
      </w:pPr>
      <w:r>
        <w:rPr>
          <w:i/>
          <w:szCs w:val="20"/>
        </w:rPr>
        <w:t xml:space="preserve">K verzím návrhů pokynů se vyjádřili zástupci členských států na zasedání diskusního fóra dne 22. března 2017 a během 11. setkání skupiny odborníků pro monitorování a hodnocení SZP dne 10. května 2017.  </w:t>
      </w:r>
    </w:p>
    <w:p w:rsidR="00E05D08" w:rsidRPr="00E05D08" w:rsidRDefault="00E05D08" w:rsidP="00E05D08">
      <w:pPr>
        <w:spacing w:after="120" w:line="280" w:lineRule="atLeast"/>
        <w:mirrorIndents/>
        <w:rPr>
          <w:rFonts w:eastAsia="Times New Roman" w:cs="Times New Roman"/>
          <w:i/>
          <w:szCs w:val="20"/>
        </w:rPr>
      </w:pPr>
      <w:r>
        <w:rPr>
          <w:i/>
          <w:szCs w:val="20"/>
        </w:rPr>
        <w:t>O vyjádření k pokynům byly požádány také kontaktní místo Evropské sítě pro rozvoj venkova a středisko služeb EIP.</w:t>
      </w:r>
    </w:p>
    <w:p w:rsidR="00E05D08" w:rsidRPr="00E05D08" w:rsidRDefault="00E05D08" w:rsidP="00E05D08">
      <w:pPr>
        <w:spacing w:after="0" w:line="240" w:lineRule="auto"/>
        <w:rPr>
          <w:rFonts w:eastAsia="Times New Roman" w:cs="Times New Roman"/>
          <w:szCs w:val="20"/>
        </w:rPr>
      </w:pPr>
      <w:r>
        <w:br w:type="page"/>
      </w:r>
    </w:p>
    <w:p w:rsidR="00E05D08" w:rsidRPr="00024983" w:rsidRDefault="00E05D08" w:rsidP="00E05D08">
      <w:pPr>
        <w:spacing w:after="120" w:line="280" w:lineRule="atLeast"/>
        <w:mirrorIndents/>
        <w:rPr>
          <w:rFonts w:eastAsia="Times New Roman" w:cs="Arial"/>
          <w:smallCaps/>
          <w:color w:val="F07E31"/>
          <w:sz w:val="36"/>
          <w:szCs w:val="60"/>
          <w:lang w:eastAsia="de-DE"/>
        </w:rPr>
        <w:sectPr w:rsidR="00E05D08" w:rsidRPr="00024983"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ÚVOD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Proč hodnotit inovace v rámci programů rozvoje venkova?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Inovace jsou jedním ze tří průřezových cílů politiky venkova</w:t>
      </w:r>
      <w:r>
        <w:rPr>
          <w:rFonts w:eastAsia="Times New Roman" w:cs="Arial"/>
          <w:b/>
          <w:bCs/>
          <w:iCs/>
          <w:color w:val="000000"/>
          <w:szCs w:val="20"/>
          <w:vertAlign w:val="superscript"/>
          <w:lang w:eastAsia="de-DE"/>
        </w:rPr>
        <w:footnoteReference w:id="1"/>
      </w:r>
      <w:r>
        <w:rPr>
          <w:b/>
          <w:bCs/>
          <w:i/>
          <w:iCs/>
          <w:color w:val="000000"/>
          <w:szCs w:val="20"/>
        </w:rPr>
        <w:t xml:space="preserve"> </w:t>
      </w:r>
      <w:r>
        <w:rPr>
          <w:b/>
          <w:bCs/>
          <w:i/>
          <w:iCs/>
          <w:szCs w:val="20"/>
        </w:rPr>
        <w:t>a lze se na ně zaměřit pomocí intervencí prováděných v rámci opatření a prioritních oblastí programů rozvoje venkova (PRV) na období 2014–2020</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Předmětem hodnocení</w:t>
      </w:r>
      <w:r>
        <w:t xml:space="preserve"> </w:t>
      </w:r>
      <w:r>
        <w:rPr>
          <w:b/>
          <w:szCs w:val="20"/>
        </w:rPr>
        <w:t>inovací jsou výsledky dosažené při plnění tohoto průřezového cíle</w:t>
      </w:r>
      <w:r>
        <w:rPr>
          <w:rFonts w:eastAsia="Times New Roman" w:cs="Arial"/>
          <w:bCs/>
          <w:iCs/>
          <w:color w:val="000000"/>
          <w:szCs w:val="20"/>
          <w:vertAlign w:val="superscript"/>
          <w:lang w:eastAsia="de-DE"/>
        </w:rPr>
        <w:footnoteReference w:id="3"/>
      </w:r>
      <w:r>
        <w:t>. V této souvislosti se hodnotí přispění inovací podpořených z Evropského zemědělského fondu pro rozvoj venkova (EZFRV) k cíli programu rozvoje venkova a cílům politik EU, aby bylo možné zodpovědět společné hodnotící otázky týkající se inovací.</w:t>
      </w:r>
    </w:p>
    <w:p w:rsidR="00A45935" w:rsidRPr="00E05D08" w:rsidRDefault="00A45935" w:rsidP="00E05D08">
      <w:pPr>
        <w:spacing w:after="120" w:line="280" w:lineRule="atLeast"/>
        <w:mirrorIndents/>
        <w:rPr>
          <w:rFonts w:eastAsia="Times New Roman" w:cs="Times New Roman"/>
          <w:szCs w:val="20"/>
        </w:rPr>
      </w:pPr>
      <w:r>
        <w:t>Existují různé důvody, proč by inovace měly být hodnoceny:</w:t>
      </w:r>
    </w:p>
    <w:p w:rsidR="00A45935" w:rsidRPr="00B05B45" w:rsidRDefault="00A45935" w:rsidP="00D77B96">
      <w:pPr>
        <w:pStyle w:val="Hlistbullet"/>
      </w:pPr>
      <w:r>
        <w:rPr>
          <w:b/>
        </w:rPr>
        <w:t>Zajistit odpovědnost za opatření v oblasti rozvoje venkova</w:t>
      </w:r>
      <w:r>
        <w:t xml:space="preserve"> a prokázat, jak tato opatření podpořila inovace ve venkovských oblastech a přispěla k výsledkům programů a jejich dopadům na politiku v oblasti venkova a na cíle strategie Evropa 2020. </w:t>
      </w:r>
    </w:p>
    <w:p w:rsidR="00A45935" w:rsidRPr="00B05B45" w:rsidRDefault="00A45935" w:rsidP="00D77B96">
      <w:pPr>
        <w:pStyle w:val="Hlistbullet"/>
      </w:pPr>
      <w:r>
        <w:rPr>
          <w:b/>
        </w:rPr>
        <w:t>Lépe zaměřit podporu z EZFRV na inovace</w:t>
      </w:r>
      <w:r>
        <w:t xml:space="preserve"> výběrem nejvhodnějších příjemců a území pro provádění programů a nejvhodnějších a způsobilých opatření. </w:t>
      </w:r>
    </w:p>
    <w:p w:rsidR="00A45935" w:rsidRPr="00B05B45" w:rsidRDefault="00A45935" w:rsidP="00D77B96">
      <w:pPr>
        <w:pStyle w:val="Hlistbullet"/>
      </w:pPr>
      <w:r>
        <w:rPr>
          <w:b/>
        </w:rPr>
        <w:t>Posílit společné vzájemné učení zúčastněných stran</w:t>
      </w:r>
      <w:r>
        <w:t xml:space="preserve">, jak co nejlépe podporovat a provádět inovační projekty, na základě poučení z dosavadních zkušeností a pochopení podmínek, jež vedou k úspěchu.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702272" behindDoc="0" locked="0" layoutInCell="1" allowOverlap="1" wp14:anchorId="4554A0C8" wp14:editId="6744DD29">
                <wp:simplePos x="0" y="0"/>
                <wp:positionH relativeFrom="column">
                  <wp:posOffset>3115945</wp:posOffset>
                </wp:positionH>
                <wp:positionV relativeFrom="paragraph">
                  <wp:posOffset>187960</wp:posOffset>
                </wp:positionV>
                <wp:extent cx="2649855" cy="3108960"/>
                <wp:effectExtent l="0" t="0" r="17145" b="1524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108960"/>
                        </a:xfrm>
                        <a:prstGeom prst="round2DiagRect">
                          <a:avLst>
                            <a:gd name="adj1" fmla="val 8733"/>
                            <a:gd name="adj2" fmla="val 0"/>
                          </a:avLst>
                        </a:prstGeom>
                        <a:noFill/>
                        <a:ln w="25400" cap="flat" cmpd="sng" algn="ctr">
                          <a:solidFill>
                            <a:srgbClr val="BE4A35"/>
                          </a:solidFill>
                          <a:prstDash val="solid"/>
                        </a:ln>
                        <a:effectLst/>
                      </wps:spPr>
                      <wps:txbx>
                        <w:txbxContent>
                          <w:p w:rsidR="005716B0" w:rsidRPr="00D74B10" w:rsidRDefault="005716B0"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Hlavním cílem tohoto dokumentu je doplnit stávající pokyny a nabídnout zúčastněným stranám podílejícím se na hodnocení programů rozvoje venkova poradenství ohledně toho, jak provádět hodnotící činnosti formou </w:t>
                            </w:r>
                            <w:r>
                              <w:rPr>
                                <w:b/>
                              </w:rPr>
                              <w:t xml:space="preserve">zodpovězení společných hodnotících otázek týkajících se inovací. </w:t>
                            </w:r>
                            <w:r>
                              <w:t>Jelikož lze předpokládat, že účinky programů rozvoje venkova se ve venkovských oblastech nejspíše projeví v </w:t>
                            </w:r>
                            <w:r>
                              <w:rPr>
                                <w:b/>
                              </w:rPr>
                              <w:t>dlouhodobé perspektivě</w:t>
                            </w:r>
                            <w:r>
                              <w:t xml:space="preserve">, tyto pokyny se zaměřují zejména na hodnotící činností, jež budou vykázány ve výroční zprávě o provádění, jež bude předložena v roce 2019, a ve zprávě o hodnocení </w:t>
                            </w:r>
                            <w:r>
                              <w:rPr>
                                <w:i/>
                              </w:rPr>
                              <w:t>ex post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35pt;margin-top:14.8pt;width:208.65pt;height:24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10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" adj="-11796480,,5400" path="m231412,l2649855,r,l2649855,2877548v,127805,-103607,231412,-231412,231412l,3108960r,l,231412c,103607,103607,,231412,xe" filled="f" strokecolor="#be4a35" strokeweight="2pt">
                <v:stroke joinstyle="miter"/>
                <v:formulas/>
                <v:path arrowok="t" o:connecttype="custom" o:connectlocs="231412,0;2649855,0;2649855,0;2649855,2877548;2418443,3108960;0,3108960;0,3108960;0,231412;231412,0" o:connectangles="0,0,0,0,0,0,0,0,0" textboxrect="0,0,2649855,3108960"/>
                <v:textbox>
                  <w:txbxContent>
                    <w:p w:rsidR="005716B0" w:rsidRPr="00D74B10" w:rsidRDefault="005716B0"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Hlavním cílem tohoto dokumentu je doplnit stávající pokyny a nabídnout zúčastněným stranám podílejícím se na hodnocení programů rozvoje venkova poradenství ohledně toho, jak provádět hodnotící činnosti formou </w:t>
                      </w:r>
                      <w:r>
                        <w:rPr>
                          <w:b/>
                        </w:rPr>
                        <w:t xml:space="preserve">zodpovězení společných hodnotících otázek týkajících se inovací. </w:t>
                      </w:r>
                      <w:r>
                        <w:t>Jelikož lze předpokládat, že účinky programů rozvoje venkova se ve venkovských oblastech nejspíše projeví v </w:t>
                      </w:r>
                      <w:r>
                        <w:rPr>
                          <w:b/>
                        </w:rPr>
                        <w:t>dlouhodobé perspektivě</w:t>
                      </w:r>
                      <w:r>
                        <w:t xml:space="preserve">, tyto pokyny se zaměřují zejména na hodnotící činností, jež budou vykázány ve výroční zprávě o provádění, jež bude předložena v roce 2019, a ve zprávě o hodnocení </w:t>
                      </w:r>
                      <w:r>
                        <w:rPr>
                          <w:i/>
                        </w:rPr>
                        <w:t>ex post</w:t>
                      </w:r>
                      <w:r>
                        <w:t>.</w:t>
                      </w:r>
                    </w:p>
                  </w:txbxContent>
                </v:textbox>
                <w10:wrap type="square"/>
              </v:shape>
            </w:pict>
          </mc:Fallback>
        </mc:AlternateContent>
      </w:r>
      <w:r>
        <w:rPr>
          <w:b/>
          <w:color w:val="57825E"/>
          <w:szCs w:val="20"/>
        </w:rPr>
        <w:t>Proč jsou tyto pokyny zapotřebí?</w:t>
      </w:r>
    </w:p>
    <w:p w:rsidR="00A45935" w:rsidRPr="00E05D08" w:rsidRDefault="00A45935" w:rsidP="00E05D08">
      <w:pPr>
        <w:spacing w:after="120" w:line="280" w:lineRule="atLeast"/>
        <w:mirrorIndents/>
        <w:rPr>
          <w:rFonts w:eastAsia="Times New Roman" w:cs="Times New Roman"/>
          <w:szCs w:val="20"/>
        </w:rPr>
      </w:pPr>
      <w:r>
        <w:t xml:space="preserve">V programovém období 2014–2020 </w:t>
      </w:r>
      <w:r>
        <w:rPr>
          <w:b/>
        </w:rPr>
        <w:t>hodnocení inovací nabylo na významu</w:t>
      </w:r>
      <w:r>
        <w:t xml:space="preserve"> v důsledku toho, že </w:t>
      </w:r>
      <w:r w:rsidR="001D287F">
        <w:t xml:space="preserve">se </w:t>
      </w:r>
      <w:r>
        <w:t xml:space="preserve">toto téma stalo jedním z klíčových témat celkové politické agendy. Programy rozvoje venkova mohou podpořit inovační procesy, přinášet různé hmatatelné i nehmatatelné výsledky v programové oblasti a v inovačním systému jako celku. </w:t>
      </w:r>
    </w:p>
    <w:p w:rsidR="00A45935" w:rsidRPr="00E05D08" w:rsidRDefault="00A45935" w:rsidP="00E05D08">
      <w:pPr>
        <w:spacing w:after="120" w:line="280" w:lineRule="atLeast"/>
        <w:mirrorIndents/>
        <w:rPr>
          <w:rFonts w:eastAsia="Times New Roman" w:cs="Times New Roman"/>
          <w:szCs w:val="20"/>
        </w:rPr>
      </w:pPr>
      <w:r>
        <w:t>Z hlediska hodnocení</w:t>
      </w:r>
      <w:r>
        <w:rPr>
          <w:b/>
        </w:rPr>
        <w:t xml:space="preserve"> je zachycení těchto účinků spojeno s několika metodickými problémy</w:t>
      </w:r>
      <w:r>
        <w:t>.</w:t>
      </w:r>
      <w:r>
        <w:rPr>
          <w:b/>
          <w:szCs w:val="20"/>
        </w:rPr>
        <w:t xml:space="preserve"> </w:t>
      </w:r>
      <w:r>
        <w:t xml:space="preserve">Jak vymezit předmět hodnocení? Které účinky přispívající k inovačním procesům ve venkovských oblastech lze přičítat programu rozvoje venkova? Jak lze posuzovat přispění inovací, jež byly </w:t>
      </w:r>
      <w:r w:rsidR="0007516A">
        <w:t>vytvořeny</w:t>
      </w:r>
      <w:r>
        <w:t xml:space="preserve"> s podporou z EZFRV, k širším výsledkům a dopadům PRV? Jak lze měřit dosažení regionálních/vnitrostátních/unijních cílů politik?</w:t>
      </w:r>
    </w:p>
    <w:p w:rsidR="00055039" w:rsidRDefault="00A45935" w:rsidP="00A6785E">
      <w:r>
        <w:rPr>
          <w:b/>
        </w:rPr>
        <w:t>4. tematická pracovní skupina „Hodnocení inovací v rámci programů rozvoje venkova 2014–2020“</w:t>
      </w:r>
      <w:r>
        <w:t xml:space="preserve"> asistenční služby pro účely hodnocení si vytyčila cíl 1) prozkoumat a řešit hlavní výzvy při hodnocení inovací; 2) přezkoumat stávající zkušenosti s hodnoceními v této oblasti; 3) identifikovat a navrhnout praktická řešení pro hodnocení inovací v rámci programů rozvoje venkova; 4) vypracovat </w:t>
      </w:r>
      <w:r>
        <w:rPr>
          <w:b/>
        </w:rPr>
        <w:lastRenderedPageBreak/>
        <w:t>nezávazné pokyny pro zodpovězení společných hodnotících otázek týkajících se inovací</w:t>
      </w:r>
      <w:r>
        <w:t xml:space="preserve">, jež doplní stávající pokyny a společný systém monitorování a hodnocení.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Jaké jsou cílové skupiny těchto pokynů?</w:t>
      </w:r>
    </w:p>
    <w:p w:rsidR="00A45935" w:rsidRPr="00E05D08" w:rsidRDefault="00A45935" w:rsidP="00E05D08">
      <w:pPr>
        <w:spacing w:after="120" w:line="280" w:lineRule="atLeast"/>
        <w:mirrorIndents/>
        <w:rPr>
          <w:rFonts w:eastAsia="Times New Roman" w:cs="Times New Roman"/>
          <w:szCs w:val="20"/>
        </w:rPr>
      </w:pPr>
      <w:r>
        <w:t xml:space="preserve">Pokyny </w:t>
      </w:r>
      <w:r>
        <w:rPr>
          <w:i/>
        </w:rPr>
        <w:t>Hodnocení inovací v rámci programů rozvoje venkova 2014–2020</w:t>
      </w:r>
      <w:r>
        <w:t xml:space="preserve"> jsou navrženy pro různé skupiny zúčastněných stran podílejících se na rozvoji venkova.</w:t>
      </w:r>
    </w:p>
    <w:p w:rsidR="00A45935" w:rsidRPr="00E16522" w:rsidRDefault="00A45935" w:rsidP="00D77B96">
      <w:r>
        <w:rPr>
          <w:b/>
        </w:rPr>
        <w:t>Řídící orgány</w:t>
      </w:r>
      <w:r>
        <w:t xml:space="preserve"> zde naleznou informace o hodnocení inovací na úrovni PRV: koncepci, politický rámec a zaměření hodnotících otázek týkajících se inovací. Jsou poskytnuty praktické pokyny s cílem ukázat, jak připravit, řídit a koordinovat hodnocení a jak posuzovat přispění inovací k cílům PRV. </w:t>
      </w:r>
    </w:p>
    <w:p w:rsidR="00A45935" w:rsidRPr="00C37C7A" w:rsidRDefault="00A45935" w:rsidP="00C37C7A">
      <w:r>
        <w:rPr>
          <w:b/>
        </w:rPr>
        <w:t>Hodnotící odborníci</w:t>
      </w:r>
      <w:r>
        <w:t xml:space="preserve"> zde naleznou řešení různých problémů spojených s hodnocením inovací (např. jak posuzovat inovační potenciál PRV při stanovení intervenční logiky PRV týkající se inovací, jak analyzovat přispění inovací k dosažení cílů PRV a k výsledkům a dopadům PRV). Hodnotitelé zde rovněž naleznou podporu, pokud jde o to, jak vybrat nejlepší přístup k hodnocení a shromáždit důkazy pro zodpovězení hodnotících otázek. </w:t>
      </w:r>
    </w:p>
    <w:p w:rsidR="00A45935" w:rsidRPr="00E16522" w:rsidRDefault="00A45935" w:rsidP="00AA5817">
      <w:pPr>
        <w:pStyle w:val="HStandard"/>
      </w:pPr>
      <w:r>
        <w:t xml:space="preserve">Jako referenční dokument mohou pokyny používat také </w:t>
      </w:r>
      <w:r>
        <w:rPr>
          <w:b/>
        </w:rPr>
        <w:t>další zúčastněné strany</w:t>
      </w:r>
      <w:r>
        <w:t xml:space="preserve">: </w:t>
      </w:r>
      <w:r>
        <w:rPr>
          <w:b/>
        </w:rPr>
        <w:t>úředníci Evropské komise (EK)</w:t>
      </w:r>
      <w:r>
        <w:t xml:space="preserve"> (pro otázky vyvstávající v souvislosti s hodnocením inovací); </w:t>
      </w:r>
      <w:r>
        <w:rPr>
          <w:b/>
        </w:rPr>
        <w:t xml:space="preserve">operační skupiny </w:t>
      </w:r>
      <w:r w:rsidR="00304D50">
        <w:rPr>
          <w:b/>
        </w:rPr>
        <w:t>e</w:t>
      </w:r>
      <w:r>
        <w:rPr>
          <w:b/>
        </w:rPr>
        <w:t>vropského inovačního partnerství (EIP)</w:t>
      </w:r>
      <w:r>
        <w:t xml:space="preserve"> (jako podkladové informace při koncipování projektů a pro pochopení jejich inovačního potenciálu); </w:t>
      </w:r>
      <w:r>
        <w:rPr>
          <w:b/>
        </w:rPr>
        <w:t>členové místních akčních skupin</w:t>
      </w:r>
      <w:r>
        <w:t xml:space="preserve"> (při hodnocení/sebehodnocení inovativních prvků v jejich strategiích komunitně vedeného místního rozvoje a jejich účinků na inovace ve venkovských oblastech; </w:t>
      </w:r>
      <w:r>
        <w:rPr>
          <w:b/>
        </w:rPr>
        <w:t>celostátní sítě pro venkov (CSV)</w:t>
      </w:r>
      <w:r>
        <w:t xml:space="preserve"> pří přípravě a podpoře místních akčních skupin a operačních skupin EIP.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Jak jsou tyto pokyny strukturovány?</w:t>
      </w:r>
    </w:p>
    <w:p w:rsidR="00A45935" w:rsidRPr="00E05D08" w:rsidRDefault="00A45935" w:rsidP="00E05D08">
      <w:pPr>
        <w:spacing w:after="120" w:line="280" w:lineRule="atLeast"/>
        <w:mirrorIndents/>
        <w:rPr>
          <w:rFonts w:eastAsia="Times New Roman" w:cs="Times New Roman"/>
          <w:szCs w:val="20"/>
        </w:rPr>
      </w:pPr>
      <w:r>
        <w:t xml:space="preserve">Pokyny se skládají ze tří částí: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Kapitola 1 </w:t>
      </w:r>
      <w:r>
        <w:t xml:space="preserve">vysvětluje inovační systém ve venkovských oblastech a koncepci hodnocení inovací v rámci rozvoje venkova. Tato koncepce zavádí politický rámec EU a programů rozvoje venkova, ukazuje, jak jsou navzájem propojeny, a obsahuje přehled společných prvků hodnocení. Oddíl 1.3 se také zabývá problémy spojenými s hodnocením inovací v rámci politiky rozvoje venkova. </w:t>
      </w:r>
    </w:p>
    <w:p w:rsidR="00A45935" w:rsidRPr="00E05D08" w:rsidRDefault="00A45935" w:rsidP="00E05D08">
      <w:pPr>
        <w:spacing w:after="120" w:line="280" w:lineRule="atLeast"/>
        <w:mirrorIndents/>
        <w:rPr>
          <w:rFonts w:eastAsia="Times New Roman" w:cs="Times New Roman"/>
          <w:szCs w:val="20"/>
        </w:rPr>
      </w:pPr>
      <w:r>
        <w:rPr>
          <w:b/>
          <w:color w:val="F07E31"/>
          <w:szCs w:val="20"/>
        </w:rPr>
        <w:t>Kapitola 2</w:t>
      </w:r>
      <w:r>
        <w:rPr>
          <w:color w:val="F07E31"/>
          <w:szCs w:val="20"/>
        </w:rPr>
        <w:t xml:space="preserve"> </w:t>
      </w:r>
      <w:r>
        <w:t xml:space="preserve">informuje řídící orgány o specifických aspektech řízení hodnocení inovací a požadavků týkajících se podávání zpráv. Oddíl 2.2 vysvětluje přístupy k zodpovězení hodnotících otázek týkajících se inovací a poskytuje konkrétní pokyny ke každé ze společných hodnotících otázek: tj. otázek č. 1, 2, 21, 23 a 30, pokud jde o aspekty týkající se inovací. Jsou zde popsány také vhodné metody pro hodnocení inovací.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Kapitola 3 </w:t>
      </w:r>
      <w:r>
        <w:t xml:space="preserve">(přílohy) obsahuje glosář a kroky pro určení inovačního potenciálu programu rozvoje venkova.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607825"/>
      <w:r>
        <w:lastRenderedPageBreak/>
        <w:t>KONCEPČNÍ RÁMEC</w:t>
      </w:r>
      <w:bookmarkEnd w:id="5"/>
      <w:bookmarkEnd w:id="6"/>
    </w:p>
    <w:p w:rsidR="00A45935" w:rsidRPr="00967CFD" w:rsidRDefault="00405B0B" w:rsidP="00C37C7A">
      <w:pPr>
        <w:pStyle w:val="HHeading2"/>
      </w:pPr>
      <w:bookmarkStart w:id="7" w:name="Innovation_RD"/>
      <w:bookmarkStart w:id="8" w:name="_Toc501382121"/>
      <w:bookmarkStart w:id="9" w:name="_Toc508607826"/>
      <w:bookmarkStart w:id="10" w:name="_Toc493151895"/>
      <w:bookmarkEnd w:id="7"/>
      <w:r>
        <w:rPr>
          <w:noProof/>
          <w:lang w:val="en-GB" w:eastAsia="en-GB"/>
        </w:rPr>
        <mc:AlternateContent>
          <mc:Choice Requires="wps">
            <w:drawing>
              <wp:anchor distT="0" distB="0" distL="114300" distR="114300" simplePos="0" relativeHeight="251703296" behindDoc="0" locked="0" layoutInCell="1" allowOverlap="1" wp14:anchorId="1BDC614C" wp14:editId="766A6DA5">
                <wp:simplePos x="0" y="0"/>
                <wp:positionH relativeFrom="column">
                  <wp:posOffset>3027680</wp:posOffset>
                </wp:positionH>
                <wp:positionV relativeFrom="paragraph">
                  <wp:posOffset>240665</wp:posOffset>
                </wp:positionV>
                <wp:extent cx="2642235" cy="2855595"/>
                <wp:effectExtent l="0" t="0" r="24765" b="2095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855595"/>
                        </a:xfrm>
                        <a:prstGeom prst="round2DiagRect">
                          <a:avLst>
                            <a:gd name="adj1" fmla="val 6695"/>
                            <a:gd name="adj2" fmla="val 0"/>
                          </a:avLst>
                        </a:prstGeom>
                        <a:noFill/>
                        <a:ln w="25400" cap="flat" cmpd="sng" algn="ctr">
                          <a:solidFill>
                            <a:srgbClr val="BE4A35"/>
                          </a:solidFill>
                          <a:prstDash val="solid"/>
                        </a:ln>
                        <a:effectLst/>
                      </wps:spPr>
                      <wps:txbx>
                        <w:txbxContent>
                          <w:p w:rsidR="005716B0" w:rsidRDefault="005716B0" w:rsidP="00E05D08">
                            <w:pPr>
                              <w:pStyle w:val="HStandard"/>
                            </w:pPr>
                            <w:r>
                              <w:rPr>
                                <w:noProof/>
                                <w:lang w:val="en-GB"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„Inovace je často popisována jako </w:t>
                            </w:r>
                            <w:r>
                              <w:rPr>
                                <w:b/>
                                <w:color w:val="BE4A35"/>
                                <w:sz w:val="18"/>
                              </w:rPr>
                              <w:t>nový nápad, který se osvědčí v praxi.</w:t>
                            </w:r>
                            <w:r>
                              <w:rPr>
                                <w:sz w:val="18"/>
                              </w:rPr>
                              <w:t xml:space="preserve"> Inovace mohou být technologické, ale i netechnologické, organizační nebo sociální. Inovace mohou být založeny na nových, ale i na tradičních postupech v nových geografických nebo environmentálních souvislostech. Tímto novým nápadem může být nový produkt, postup, služba, produkční proces nebo nový způsob organizace věcí atd. Takový nový nápad se stává inovací pouze tehdy, je-li široce přijat a osvědčí se v praxi jako užitečný.“</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14C" id="Rectangle: Diagonal Corners Rounded 32" o:spid="_x0000_s1030" style="position:absolute;left:0;text-align:left;margin-left:238.4pt;margin-top:18.95pt;width:208.05pt;height:22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855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" adj="-11796480,,5400" path="m176898,l2642235,r,l2642235,2678697v,97698,-79200,176898,-176898,176898l,2855595r,l,176898c,79200,79200,,176898,xe" filled="f" strokecolor="#be4a35" strokeweight="2pt">
                <v:stroke joinstyle="miter"/>
                <v:formulas/>
                <v:path arrowok="t" o:connecttype="custom" o:connectlocs="176898,0;2642235,0;2642235,0;2642235,2678697;2465337,2855595;0,2855595;0,2855595;0,176898;176898,0" o:connectangles="0,0,0,0,0,0,0,0,0" textboxrect="0,0,2642235,2855595"/>
                <v:textbox>
                  <w:txbxContent>
                    <w:p w:rsidR="005716B0" w:rsidRDefault="005716B0" w:rsidP="00E05D08">
                      <w:pPr>
                        <w:pStyle w:val="HStandard"/>
                      </w:pPr>
                      <w:r>
                        <w:rPr>
                          <w:noProof/>
                          <w:lang w:val="en-GB"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„Inovace je často popisována jako </w:t>
                      </w:r>
                      <w:r>
                        <w:rPr>
                          <w:b/>
                          <w:color w:val="BE4A35"/>
                          <w:sz w:val="18"/>
                        </w:rPr>
                        <w:t>nový nápad, který se osvědčí v praxi.</w:t>
                      </w:r>
                      <w:r>
                        <w:rPr>
                          <w:sz w:val="18"/>
                        </w:rPr>
                        <w:t xml:space="preserve"> Inovace mohou být technologické, ale i netechnologické, organizační nebo sociální. Inovace mohou být založeny na nových, ale i na tradičních postupech v nových geografických nebo environmentálních souvislostech. Tímto novým nápadem může být nový produkt, postup, služba, produkční proces nebo nový způsob organizace věcí atd. Takový nový nápad se stává inovací pouze tehdy, je-li široce přijat a osvědčí se v praxi jako užitečný.“</w:t>
                      </w:r>
                      <w:r>
                        <w:rPr>
                          <w:sz w:val="18"/>
                          <w:vertAlign w:val="superscript"/>
                        </w:rPr>
                        <w:t>4</w:t>
                      </w:r>
                      <w:r>
                        <w:rPr>
                          <w:sz w:val="18"/>
                        </w:rPr>
                        <w:t xml:space="preserve"> </w:t>
                      </w:r>
                    </w:p>
                  </w:txbxContent>
                </v:textbox>
                <w10:wrap type="square"/>
              </v:shape>
            </w:pict>
          </mc:Fallback>
        </mc:AlternateContent>
      </w:r>
      <w:r>
        <w:t>Inovace a rozvoj venkova</w:t>
      </w:r>
      <w:bookmarkEnd w:id="8"/>
      <w:bookmarkEnd w:id="9"/>
      <w:r>
        <w:t xml:space="preserve"> </w:t>
      </w:r>
      <w:bookmarkEnd w:id="10"/>
    </w:p>
    <w:p w:rsidR="00A45935" w:rsidRPr="00E05D08" w:rsidRDefault="00A45935" w:rsidP="00230C31">
      <w:pPr>
        <w:pStyle w:val="HHeading4"/>
      </w:pPr>
      <w:r>
        <w:t>Jak můžeme chápat inovace?</w:t>
      </w:r>
    </w:p>
    <w:p w:rsidR="00A45935" w:rsidRPr="00E05D08" w:rsidRDefault="00A45935" w:rsidP="00E05D08">
      <w:pPr>
        <w:spacing w:after="120" w:line="280" w:lineRule="atLeast"/>
        <w:mirrorIndents/>
        <w:rPr>
          <w:rFonts w:eastAsia="Times New Roman" w:cs="Times New Roman"/>
          <w:szCs w:val="20"/>
        </w:rPr>
      </w:pPr>
      <w:r>
        <w:rPr>
          <w:b/>
          <w:szCs w:val="20"/>
        </w:rPr>
        <w:t>V souvislosti s rozvojem venkova v EU</w:t>
      </w:r>
      <w:r>
        <w:t xml:space="preserve"> bylo přijato dosti široké chápání inovací:</w:t>
      </w:r>
      <w:bookmarkStart w:id="11" w:name="_Hlk501370282"/>
      <w:r w:rsidR="00495686">
        <w:t xml:space="preserve"> </w:t>
      </w:r>
      <w:r>
        <w:t xml:space="preserve">popsané </w:t>
      </w:r>
      <w:r>
        <w:rPr>
          <w:b/>
          <w:szCs w:val="20"/>
        </w:rPr>
        <w:t>široké chápání inovací</w:t>
      </w:r>
      <w:r>
        <w:t xml:space="preserve"> umožňuje přizpůsobit je různým sociálně-ekonomickým a environmentálním situací</w:t>
      </w:r>
      <w:r w:rsidR="00495686">
        <w:t>m</w:t>
      </w:r>
      <w:r>
        <w:t xml:space="preserve"> v EU. Týká se architektury programu rozvoje venkova a jeho schopnosti zapojit se do stávajícího kontextu a zajistit nová řešení problémů a potřeb venkova. Taková řešení nemusí být radikální a významná, ale mohou zahrnovat menší změny, které někdy připravují půdu pro důležitější věci. </w:t>
      </w:r>
    </w:p>
    <w:p w:rsidR="00A45935" w:rsidRPr="00E05D08" w:rsidRDefault="00A45935" w:rsidP="00230C31">
      <w:pPr>
        <w:pStyle w:val="HHeading4"/>
      </w:pPr>
      <w:r>
        <w:t>Jak intervence programu rozvoje venkova přispívají k inovacím?</w:t>
      </w:r>
    </w:p>
    <w:p w:rsidR="00A45935" w:rsidRPr="00E05D08" w:rsidRDefault="00A45935" w:rsidP="00E05D08">
      <w:pPr>
        <w:spacing w:after="120" w:line="280" w:lineRule="atLeast"/>
        <w:mirrorIndents/>
        <w:rPr>
          <w:rFonts w:eastAsia="Times New Roman" w:cs="Times New Roman"/>
          <w:szCs w:val="20"/>
        </w:rPr>
      </w:pPr>
      <w:r>
        <w:rPr>
          <w:b/>
          <w:szCs w:val="20"/>
        </w:rPr>
        <w:t>Politika rozvoje venkova je navržena tak, aby podporovala inovace</w:t>
      </w:r>
      <w:r>
        <w:t xml:space="preserve"> (technologické, institucionální a sociální) jako jeden z podpůrných faktorů pro dosažení cílů a priorit rozvoje venkova a pro řešení problémů venkova. Opatření/podopatření PRV a jejich příjemci (např. operační skupiny</w:t>
      </w:r>
      <w:r w:rsidR="00AB0C52" w:rsidRPr="00AB0C52">
        <w:t xml:space="preserve"> </w:t>
      </w:r>
      <w:r w:rsidR="00AB0C52">
        <w:t>EIP</w:t>
      </w:r>
      <w:r>
        <w:t xml:space="preserve">, místní akční skupiny, zemědělci atd.) vytvářejí výstupy, výsledky a dopady, jež přispívají k dosažení cílů PRV, přičemž ovlivňují inovační systém, jehož jsou součástí, a jsou tímto systémem ovlivňovány.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751424" behindDoc="0" locked="0" layoutInCell="1" allowOverlap="1" wp14:anchorId="04D861B7" wp14:editId="7FCE29D8">
                <wp:simplePos x="0" y="0"/>
                <wp:positionH relativeFrom="column">
                  <wp:posOffset>-78105</wp:posOffset>
                </wp:positionH>
                <wp:positionV relativeFrom="paragraph">
                  <wp:posOffset>1367155</wp:posOffset>
                </wp:positionV>
                <wp:extent cx="5811520" cy="22002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200275"/>
                        </a:xfrm>
                        <a:prstGeom prst="round2DiagRect">
                          <a:avLst>
                            <a:gd name="adj1" fmla="val 7093"/>
                            <a:gd name="adj2" fmla="val 0"/>
                          </a:avLst>
                        </a:prstGeom>
                        <a:noFill/>
                        <a:ln w="25400" cap="flat" cmpd="sng" algn="ctr">
                          <a:solidFill>
                            <a:srgbClr val="BE4A35"/>
                          </a:solidFill>
                          <a:prstDash val="solid"/>
                        </a:ln>
                        <a:effectLst/>
                      </wps:spPr>
                      <wps:txbx>
                        <w:txbxContent>
                          <w:p w:rsidR="005716B0" w:rsidRPr="00270814" w:rsidRDefault="005716B0" w:rsidP="00674A4B">
                            <w:pPr>
                              <w:pStyle w:val="HBox"/>
                            </w:pPr>
                            <w:r>
                              <w:rPr>
                                <w:noProof/>
                                <w:lang w:val="en-GB"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Kromě politiky rozvoje venkova </w:t>
                            </w:r>
                            <w:r>
                              <w:rPr>
                                <w:b/>
                                <w:color w:val="BE4A35"/>
                              </w:rPr>
                              <w:t>může na inovační systém působit mnoho jiných faktorů</w:t>
                            </w:r>
                            <w:r>
                              <w:t>, které se ve venkovských oblastech projevují, jako např. výzkum, vzdělávání, daňová politika a také jiné programy financované z fondů EU (Horizont 2020, operační programy financované z ESI fondů), jež podporují inovativní opatření a procesy. Určující roli může hrát také poptávka na trhu po inovacích.</w:t>
                            </w:r>
                          </w:p>
                          <w:p w:rsidR="005716B0" w:rsidRPr="00D74B10" w:rsidRDefault="005716B0" w:rsidP="00674A4B">
                            <w:pPr>
                              <w:pStyle w:val="HBox"/>
                            </w:pPr>
                            <w:r>
                              <w:t>K tomu, aby inovace začala být všeobecně používána, nestačí pouze síla tvůrčí myšlenky, ale závisí to také na možnostech trhu, ochotě daného odvětví ji přijmout, nákladové efektivitě, poznání a vnímání, nahodilých vnějších faktorech atd. Není možné předpovědět, jak na sebe budou tyto faktory působit, aby se nakonec nový nápad stal inovací. Teprve zpětně lze proto určit, zda nový nápad vedl ke skutečné inovaci.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6.15pt;margin-top:107.65pt;width:457.6pt;height:17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" adj="-11796480,,5400" path="m156066,l5811520,r,l5811520,2044209v,86193,-69873,156066,-156066,156066l,2200275r,l,156066c,69873,69873,,156066,xe" filled="f" strokecolor="#be4a35" strokeweight="2pt">
                <v:stroke joinstyle="miter"/>
                <v:formulas/>
                <v:path arrowok="t" o:connecttype="custom" o:connectlocs="156066,0;5811520,0;5811520,0;5811520,2044209;5655454,2200275;0,2200275;0,2200275;0,156066;156066,0" o:connectangles="0,0,0,0,0,0,0,0,0" textboxrect="0,0,5811520,2200275"/>
                <v:textbox>
                  <w:txbxContent>
                    <w:p w:rsidR="005716B0" w:rsidRPr="00270814" w:rsidRDefault="005716B0" w:rsidP="00674A4B">
                      <w:pPr>
                        <w:pStyle w:val="HBox"/>
                      </w:pPr>
                      <w:r>
                        <w:rPr>
                          <w:noProof/>
                          <w:lang w:val="en-GB"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Kromě politiky rozvoje venkova </w:t>
                      </w:r>
                      <w:r>
                        <w:rPr>
                          <w:b/>
                          <w:color w:val="BE4A35"/>
                        </w:rPr>
                        <w:t>může na inovační systém působit mnoho jiných faktorů</w:t>
                      </w:r>
                      <w:r>
                        <w:t>, které se ve venkovských oblastech projevují, jako např. výzkum, vzdělávání, daňová politika a také jiné programy financované z fondů EU (Horizont 2020, operační programy financované z ESI fondů), jež podporují inovativní opatření a procesy. Určující roli může hrát také poptávka na trhu po inovacích.</w:t>
                      </w:r>
                    </w:p>
                    <w:p w:rsidR="005716B0" w:rsidRPr="00D74B10" w:rsidRDefault="005716B0" w:rsidP="00674A4B">
                      <w:pPr>
                        <w:pStyle w:val="HBox"/>
                      </w:pPr>
                      <w:r>
                        <w:t>K tomu, aby inovace začala být všeobecně používána, nestačí pouze síla tvůrčí myšlenky, ale závisí to také na možnostech trhu, ochotě daného odvětví ji přijmout, nákladové efektivitě, poznání a vnímání, nahodilých vnějších faktorech atd. Není možné předpovědět, jak na sebe budou tyto faktory působit, aby se nakonec nový nápad stal inovací. Teprve zpětně lze proto určit, zda nový nápad vedl ke skutečné inovaci.</w:t>
                      </w:r>
                    </w:p>
                  </w:txbxContent>
                </v:textbox>
                <w10:wrap type="square"/>
              </v:shape>
            </w:pict>
          </mc:Fallback>
        </mc:AlternateContent>
      </w:r>
      <w:r>
        <w:rPr>
          <w:b/>
          <w:szCs w:val="20"/>
        </w:rPr>
        <w:t>Inovační systém</w:t>
      </w:r>
      <w:r>
        <w:t xml:space="preserve"> na místní, regionální, vnitrostátní nebo nadnárodní úrovni zahrnuje dosti různorodou skupinu účastníků inovačního procesu včetně vstupů od venkovských podnikatelů (např. zemědělců, lesníků) a odvětví cestovního ruchu, zpracovatelů, obchodníků, regulátorů, výzkumných pracovníků, poradenských služeb, vládních organizací a organizací občanské společnosti. Obrovský význam pro inovační systém má interaktivní experimentální učení všech těchto aktérů, neboť uvádějí do života nové nápady (nové z hlediska daného systému). Klíčem k inovačnímu procesu v rámci inovačního systému je tok technologií a informací mezi aktéry.</w:t>
      </w:r>
      <w:r w:rsidR="00B06B9C" w:rsidRPr="00942266">
        <w:rPr>
          <w:rStyle w:val="FootnoteReference"/>
          <w:color w:val="FFFFFF" w:themeColor="background1"/>
        </w:rPr>
        <w:footnoteReference w:id="4"/>
      </w:r>
      <w:r>
        <w:t xml:space="preserve"> </w:t>
      </w:r>
    </w:p>
    <w:p w:rsidR="00A45935" w:rsidRPr="00E05D08" w:rsidRDefault="00A45935" w:rsidP="00E05D08">
      <w:pPr>
        <w:spacing w:after="120" w:line="280" w:lineRule="atLeast"/>
        <w:mirrorIndents/>
        <w:rPr>
          <w:rFonts w:eastAsia="Times New Roman" w:cs="Times New Roman"/>
          <w:szCs w:val="20"/>
        </w:rPr>
      </w:pPr>
      <w:r>
        <w:rPr>
          <w:b/>
        </w:rPr>
        <w:lastRenderedPageBreak/>
        <w:t>Inovační proces zahrnuje tři scénáře:</w:t>
      </w:r>
      <w:r>
        <w:t xml:space="preserve"> </w:t>
      </w:r>
    </w:p>
    <w:p w:rsidR="00A45935" w:rsidRPr="00987055" w:rsidRDefault="00A45935" w:rsidP="008C0B17">
      <w:pPr>
        <w:numPr>
          <w:ilvl w:val="0"/>
          <w:numId w:val="66"/>
        </w:numPr>
        <w:mirrorIndents/>
        <w:rPr>
          <w:szCs w:val="20"/>
        </w:rPr>
      </w:pPr>
      <w:r>
        <w:rPr>
          <w:b/>
          <w:color w:val="F07E31"/>
          <w:szCs w:val="20"/>
        </w:rPr>
        <w:t>Scénář 1:</w:t>
      </w:r>
      <w:r>
        <w:t xml:space="preserve"> sestává ze zachycení a rozvíjení nových nápadů (tj. nových pohledů, přístupů, produktů, postupů, služeb, produkčních procesů/technologií, nových způsobů organizace nebo nových forem spolupráce a učení). </w:t>
      </w:r>
    </w:p>
    <w:p w:rsidR="00A45935" w:rsidRDefault="00A45935" w:rsidP="008C0B17">
      <w:pPr>
        <w:numPr>
          <w:ilvl w:val="0"/>
          <w:numId w:val="66"/>
        </w:numPr>
        <w:mirrorIndents/>
        <w:rPr>
          <w:szCs w:val="20"/>
        </w:rPr>
      </w:pPr>
      <w:r>
        <w:rPr>
          <w:b/>
          <w:color w:val="F07E31"/>
          <w:szCs w:val="20"/>
        </w:rPr>
        <w:t>Scénář 2:</w:t>
      </w:r>
      <w:r>
        <w:rPr>
          <w:b/>
          <w:szCs w:val="20"/>
        </w:rPr>
        <w:t xml:space="preserve"> </w:t>
      </w:r>
      <w:r>
        <w:t xml:space="preserve">se týká schopností jednotlivců a samotného znalostního a inovačního systému experimentovat, organizovat sebe sama a využívat nových nápadů a přístupů. </w:t>
      </w:r>
    </w:p>
    <w:p w:rsidR="00A45935" w:rsidRPr="00987055" w:rsidRDefault="00A45935" w:rsidP="008C0B17">
      <w:pPr>
        <w:numPr>
          <w:ilvl w:val="0"/>
          <w:numId w:val="66"/>
        </w:numPr>
        <w:mirrorIndents/>
        <w:rPr>
          <w:szCs w:val="20"/>
        </w:rPr>
      </w:pPr>
      <w:r>
        <w:rPr>
          <w:b/>
          <w:color w:val="F07E31"/>
          <w:szCs w:val="20"/>
        </w:rPr>
        <w:t>Scénář 3:</w:t>
      </w:r>
      <w:r>
        <w:t xml:space="preserve"> vyžaduje zajištění institucionálního a politického prostředí pro nově vznikající inova</w:t>
      </w:r>
      <w:r w:rsidR="00A73847">
        <w:t>č</w:t>
      </w:r>
      <w:r>
        <w:t xml:space="preserve">ní procesy. </w:t>
      </w:r>
      <w:bookmarkStart w:id="12" w:name="_Toc476660915"/>
      <w:bookmarkStart w:id="13" w:name="_Toc476661047"/>
    </w:p>
    <w:p w:rsidR="00A45935" w:rsidRPr="0095292E" w:rsidRDefault="00A45935" w:rsidP="0095292E">
      <w:pPr>
        <w:mirrorIndents/>
        <w:rPr>
          <w:szCs w:val="20"/>
        </w:rPr>
      </w:pPr>
      <w:r>
        <w:t>Na tyto tři scénáře by se nemělo pohlížet jako na izolované případy, ale spíše jako překrývající se a vzájemn</w:t>
      </w:r>
      <w:r w:rsidR="0077228A">
        <w:t>ě</w:t>
      </w:r>
      <w:r>
        <w:t xml:space="preserve"> propojené výchozí body k inovacím (graf 1).</w:t>
      </w:r>
    </w:p>
    <w:p w:rsidR="00A45935" w:rsidRPr="00447906" w:rsidRDefault="00674A4B" w:rsidP="00686A8F">
      <w:pPr>
        <w:pStyle w:val="HHeadingfigures"/>
        <w:tabs>
          <w:tab w:val="clear" w:pos="964"/>
        </w:tabs>
      </w:pPr>
      <w:bookmarkStart w:id="14" w:name="Pathways"/>
      <w:bookmarkStart w:id="15" w:name="_Toc508703628"/>
      <w:bookmarkEnd w:id="14"/>
      <w:r>
        <w:t>Zjednodušené schéma, jak programy rozvoje venkova podporují inovace</w:t>
      </w:r>
      <w:bookmarkEnd w:id="15"/>
      <w:r>
        <w:t xml:space="preserve"> </w:t>
      </w:r>
      <w:bookmarkEnd w:id="12"/>
      <w:bookmarkEnd w:id="13"/>
    </w:p>
    <w:p w:rsidR="00A45935" w:rsidRPr="00E05D08" w:rsidRDefault="00D5760C" w:rsidP="00E05D08">
      <w:pPr>
        <w:spacing w:after="0" w:line="280" w:lineRule="atLeast"/>
        <w:jc w:val="center"/>
        <w:rPr>
          <w:rFonts w:eastAsia="Times New Roman" w:cs="Arial"/>
          <w:szCs w:val="18"/>
          <w:lang w:eastAsia="de-DE"/>
        </w:rPr>
      </w:pPr>
      <w:r w:rsidRPr="00D5760C">
        <w:rPr>
          <w:noProof/>
          <w:lang w:val="en-GB" w:eastAsia="en-GB"/>
        </w:rPr>
        <w:drawing>
          <wp:inline distT="0" distB="0" distL="0" distR="0" wp14:anchorId="09310DB3" wp14:editId="39E750BD">
            <wp:extent cx="4923130" cy="287082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4933" cy="2877704"/>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Zdroj: evropská asistenční služba pro účely hodnocení politiky rozvoje venkova, 2017.</w:t>
      </w:r>
    </w:p>
    <w:p w:rsidR="000E1D4B" w:rsidRDefault="00A45935" w:rsidP="00E05D08">
      <w:pPr>
        <w:spacing w:after="120" w:line="280" w:lineRule="atLeast"/>
        <w:mirrorIndents/>
        <w:rPr>
          <w:rFonts w:eastAsia="Times New Roman" w:cs="Times New Roman"/>
          <w:szCs w:val="20"/>
        </w:rPr>
      </w:pPr>
      <w:r>
        <w:t xml:space="preserve">Opatření/podopatření PRV a jejich kombinace mohou v různém rozsahu přispívat k jednomu, dvěma nebo všem třem scénářům inovací v závislosti na konkrétním přístupu PRV k podpoře inovací (viz </w:t>
      </w:r>
      <w:hyperlink w:anchor="Policy_framework" w:history="1">
        <w:r>
          <w:rPr>
            <w:rStyle w:val="Hyperlink"/>
            <w:sz w:val="20"/>
            <w:szCs w:val="20"/>
          </w:rPr>
          <w:t>oddíl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1771AA66" wp14:editId="665AB1F5">
                <wp:simplePos x="0" y="0"/>
                <wp:positionH relativeFrom="column">
                  <wp:posOffset>-62865</wp:posOffset>
                </wp:positionH>
                <wp:positionV relativeFrom="paragraph">
                  <wp:posOffset>0</wp:posOffset>
                </wp:positionV>
                <wp:extent cx="2832735" cy="4274820"/>
                <wp:effectExtent l="0" t="0" r="24765" b="1143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274820"/>
                        </a:xfrm>
                        <a:prstGeom prst="round2DiagRect">
                          <a:avLst>
                            <a:gd name="adj1" fmla="val 6641"/>
                            <a:gd name="adj2" fmla="val 0"/>
                          </a:avLst>
                        </a:prstGeom>
                        <a:noFill/>
                        <a:ln w="25400" cap="flat" cmpd="sng" algn="ctr">
                          <a:solidFill>
                            <a:srgbClr val="F07E31"/>
                          </a:solidFill>
                          <a:prstDash val="solid"/>
                        </a:ln>
                        <a:effectLst/>
                      </wps:spPr>
                      <wps:txbx>
                        <w:txbxContent>
                          <w:p w:rsidR="005716B0" w:rsidRPr="00E05D08" w:rsidRDefault="005716B0"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Příklady možné podpory scénáře 1 v rámci programu rozvoje venkova</w:t>
                            </w:r>
                          </w:p>
                          <w:p w:rsidR="005716B0" w:rsidRPr="00230C31" w:rsidRDefault="005716B0" w:rsidP="00230C31">
                            <w:pPr>
                              <w:pStyle w:val="Hlistbullet"/>
                              <w:rPr>
                                <w:sz w:val="18"/>
                                <w:szCs w:val="18"/>
                              </w:rPr>
                            </w:pPr>
                            <w:r>
                              <w:rPr>
                                <w:sz w:val="18"/>
                                <w:szCs w:val="18"/>
                              </w:rPr>
                              <w:t xml:space="preserve">Vývoj, testování a podpora stroje pro mechanickou kontrolu zaplevelení zemědělské půdy (např. operace prováděné podle článků 17 a 35 nařízení (EU) č. 1305/2013); </w:t>
                            </w:r>
                          </w:p>
                          <w:p w:rsidR="005716B0" w:rsidRPr="00230C31" w:rsidRDefault="005716B0" w:rsidP="00230C31">
                            <w:pPr>
                              <w:pStyle w:val="Hlistbullet"/>
                              <w:rPr>
                                <w:sz w:val="18"/>
                                <w:szCs w:val="18"/>
                              </w:rPr>
                            </w:pPr>
                            <w:r>
                              <w:rPr>
                                <w:sz w:val="18"/>
                                <w:szCs w:val="18"/>
                              </w:rPr>
                              <w:t xml:space="preserve">testování a poskytování nových druhů služeb ve venkovských oblastech (např. operace prováděné podle článků 20 a 35 nařízení (EU) č. 1305/2013); </w:t>
                            </w:r>
                          </w:p>
                          <w:p w:rsidR="005716B0" w:rsidRPr="00230C31" w:rsidRDefault="005716B0" w:rsidP="00230C31">
                            <w:pPr>
                              <w:pStyle w:val="Hlistbullet"/>
                              <w:rPr>
                                <w:sz w:val="18"/>
                                <w:szCs w:val="18"/>
                              </w:rPr>
                            </w:pPr>
                            <w:r>
                              <w:rPr>
                                <w:sz w:val="18"/>
                                <w:szCs w:val="18"/>
                              </w:rPr>
                              <w:t>zavedení nového způsobu organizace setkání, konferencí a školení (např. použití nových usnadňujících technik, konferencí u kulatého stolu) (např. operace prováděné podle článku 14 nařízení (EU) č.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4.95pt;margin-top:0;width:223.05pt;height:336.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27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" adj="-11796480,,5400" path="m188122,l2832735,r,l2832735,4086698v,103897,-84225,188122,-188122,188122l,4274820r,l,188122c,84225,84225,,188122,xe" filled="f" strokecolor="#f07e31" strokeweight="2pt">
                <v:stroke joinstyle="miter"/>
                <v:formulas/>
                <v:path arrowok="t" o:connecttype="custom" o:connectlocs="188122,0;2832735,0;2832735,0;2832735,4086698;2644613,4274820;0,4274820;0,4274820;0,188122;188122,0" o:connectangles="0,0,0,0,0,0,0,0,0" textboxrect="0,0,2832735,4274820"/>
                <v:textbox>
                  <w:txbxContent>
                    <w:p w:rsidR="005716B0" w:rsidRPr="00E05D08" w:rsidRDefault="005716B0"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Příklady možné podpory scénáře 1 v rámci programu rozvoje venkova</w:t>
                      </w:r>
                    </w:p>
                    <w:p w:rsidR="005716B0" w:rsidRPr="00230C31" w:rsidRDefault="005716B0" w:rsidP="00230C31">
                      <w:pPr>
                        <w:pStyle w:val="Hlistbullet"/>
                        <w:rPr>
                          <w:sz w:val="18"/>
                          <w:szCs w:val="18"/>
                        </w:rPr>
                      </w:pPr>
                      <w:r>
                        <w:rPr>
                          <w:sz w:val="18"/>
                          <w:szCs w:val="18"/>
                        </w:rPr>
                        <w:t xml:space="preserve">Vývoj, testování a podpora stroje pro mechanickou kontrolu zaplevelení zemědělské půdy (např. operace prováděné podle článků 17 a 35 nařízení (EU) č. 1305/2013); </w:t>
                      </w:r>
                    </w:p>
                    <w:p w:rsidR="005716B0" w:rsidRPr="00230C31" w:rsidRDefault="005716B0" w:rsidP="00230C31">
                      <w:pPr>
                        <w:pStyle w:val="Hlistbullet"/>
                        <w:rPr>
                          <w:sz w:val="18"/>
                          <w:szCs w:val="18"/>
                        </w:rPr>
                      </w:pPr>
                      <w:r>
                        <w:rPr>
                          <w:sz w:val="18"/>
                          <w:szCs w:val="18"/>
                        </w:rPr>
                        <w:t xml:space="preserve">testování a poskytování nových druhů služeb ve venkovských oblastech (např. operace prováděné podle článků 20 a 35 nařízení (EU) č. 1305/2013); </w:t>
                      </w:r>
                    </w:p>
                    <w:p w:rsidR="005716B0" w:rsidRPr="00230C31" w:rsidRDefault="005716B0" w:rsidP="00230C31">
                      <w:pPr>
                        <w:pStyle w:val="Hlistbullet"/>
                        <w:rPr>
                          <w:sz w:val="18"/>
                          <w:szCs w:val="18"/>
                        </w:rPr>
                      </w:pPr>
                      <w:r>
                        <w:rPr>
                          <w:sz w:val="18"/>
                          <w:szCs w:val="18"/>
                        </w:rPr>
                        <w:t>zavedení nového způsobu organizace setkání, konferencí a školení (např. použití nových usnadňujících technik, konferencí u kulatého stolu) (např. operace prováděné podle článku 14 nařízení (EU) č. 1305/2013).</w:t>
                      </w:r>
                    </w:p>
                  </w:txbxContent>
                </v:textbox>
                <w10:wrap type="square"/>
              </v:shape>
            </w:pict>
          </mc:Fallback>
        </mc:AlternateContent>
      </w:r>
      <w:r>
        <w:rPr>
          <w:b/>
          <w:color w:val="F07E31"/>
          <w:szCs w:val="20"/>
        </w:rPr>
        <w:t>První scénář</w:t>
      </w:r>
      <w:r>
        <w:t xml:space="preserve"> lze popsat jako schopnost identifikovat a rozvíjet slibné nápady, jež mohou vést k inovacím jakéhokoli druhu (technologickým, netechnologickým, sociálním, organizačním atd.). Takový nový nápad se šíří, až se stane skutečnou inovací, která v ideálním případě reaguje na určitou konkrétní potřebu nebo poskytuje příležitost, kterou mohou využít mnozí. Dvěma dalšími způsoby, jak pečovat o nápady za účelem vytváření inovačních procesů, jsou: 1) individuální přístup (podchycení jednotlivce s nápadem a starost o něj); 2) prostřednictvím různých zúčastněných stran působících ve skupinách objevovat nové nápady, které je třeba pěstovat (sdružení nejlepších partnerů ve skupinu, která v sobě spojuje vzájemně se doplňující kompetence potřebné k vytvoření inovativního projektu). </w:t>
      </w:r>
    </w:p>
    <w:bookmarkEnd w:id="16"/>
    <w:p w:rsidR="000E1D4B" w:rsidRDefault="00A45935" w:rsidP="00E05D08">
      <w:pPr>
        <w:spacing w:after="120" w:line="280" w:lineRule="atLeast"/>
        <w:mirrorIndents/>
        <w:rPr>
          <w:rFonts w:eastAsia="Times New Roman" w:cs="Times New Roman"/>
          <w:szCs w:val="20"/>
        </w:rPr>
      </w:pPr>
      <w:r>
        <w:t xml:space="preserve">Aby byla inovativní, musí být myšlenka nebo alespoň některé její aspekty nové pro dané prostředí nebo místo a musí nabízet určitý věrohodný příslib, že bude užitečná (např. pomůže jedné nebo více zúčastněným stranám učinit něco jiného, lepšího nebo levnějšího, odpovídá určité potřebě nebo vytváří určitou příležitost). </w:t>
      </w:r>
    </w:p>
    <w:p w:rsidR="000E1D4B" w:rsidRDefault="000E1D4B">
      <w:pPr>
        <w:rPr>
          <w:rFonts w:eastAsia="Times New Roman" w:cs="Times New Roman"/>
          <w:szCs w:val="20"/>
        </w:rPr>
      </w:pPr>
      <w:r>
        <w:br w:type="page"/>
      </w:r>
    </w:p>
    <w:p w:rsidR="00A45935" w:rsidRPr="00E05D08" w:rsidRDefault="00650251"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730944" behindDoc="0" locked="0" layoutInCell="1" allowOverlap="1" wp14:anchorId="10375894" wp14:editId="364DEFDF">
                <wp:simplePos x="0" y="0"/>
                <wp:positionH relativeFrom="column">
                  <wp:posOffset>-213756</wp:posOffset>
                </wp:positionH>
                <wp:positionV relativeFrom="paragraph">
                  <wp:posOffset>2303814</wp:posOffset>
                </wp:positionV>
                <wp:extent cx="6121400" cy="3301340"/>
                <wp:effectExtent l="0" t="0" r="12700" b="13970"/>
                <wp:wrapNone/>
                <wp:docPr id="57" name="Rectangle: Diagonal Corners Rounded 57"/>
                <wp:cNvGraphicFramePr/>
                <a:graphic xmlns:a="http://schemas.openxmlformats.org/drawingml/2006/main">
                  <a:graphicData uri="http://schemas.microsoft.com/office/word/2010/wordprocessingShape">
                    <wps:wsp>
                      <wps:cNvSpPr/>
                      <wps:spPr>
                        <a:xfrm>
                          <a:off x="0" y="0"/>
                          <a:ext cx="6121400" cy="3301340"/>
                        </a:xfrm>
                        <a:prstGeom prst="round2DiagRect">
                          <a:avLst>
                            <a:gd name="adj1" fmla="val 6633"/>
                            <a:gd name="adj2" fmla="val 695"/>
                          </a:avLst>
                        </a:prstGeom>
                        <a:noFill/>
                        <a:ln w="25400" cap="flat" cmpd="sng" algn="ctr">
                          <a:solidFill>
                            <a:srgbClr val="F07E31"/>
                          </a:solidFill>
                          <a:prstDash val="solid"/>
                        </a:ln>
                        <a:effectLst/>
                      </wps:spPr>
                      <wps:txbx>
                        <w:txbxContent>
                          <w:p w:rsidR="005716B0" w:rsidRPr="002F0ABF" w:rsidRDefault="005716B0" w:rsidP="00E05D08">
                            <w:pPr>
                              <w:pStyle w:val="Normal12PTcouleurgris"/>
                              <w:rPr>
                                <w:b/>
                                <w:color w:val="F07E31"/>
                                <w:sz w:val="16"/>
                                <w:szCs w:val="16"/>
                              </w:rPr>
                            </w:pPr>
                            <w:r>
                              <w:rPr>
                                <w:noProof/>
                                <w:lang w:val="en-GB" w:eastAsia="en-GB"/>
                              </w:rPr>
                              <w:drawing>
                                <wp:inline distT="0" distB="0" distL="0" distR="0" wp14:anchorId="26AB6B9A" wp14:editId="194BC8BE">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Příklady možné podpory scénáře 2 v rámci programu rozvoje venkova</w:t>
                            </w:r>
                          </w:p>
                          <w:p w:rsidR="005716B0" w:rsidRPr="002F0ABF" w:rsidRDefault="005716B0" w:rsidP="00E05D08">
                            <w:pPr>
                              <w:pStyle w:val="Normal12PTcouleurgris"/>
                              <w:rPr>
                                <w:sz w:val="16"/>
                                <w:szCs w:val="16"/>
                              </w:rPr>
                            </w:pPr>
                            <w:r>
                              <w:rPr>
                                <w:sz w:val="16"/>
                                <w:szCs w:val="16"/>
                              </w:rPr>
                              <w:t>Prostřednictvím PRV lze podporovat tyto klíčové dovednosti a kvality účastníků inovačního procesu</w:t>
                            </w:r>
                            <w:r>
                              <w:rPr>
                                <w:sz w:val="16"/>
                                <w:szCs w:val="16"/>
                                <w:vertAlign w:val="superscript"/>
                              </w:rPr>
                              <w:t>9</w:t>
                            </w:r>
                            <w:r>
                              <w:rPr>
                                <w:sz w:val="16"/>
                                <w:szCs w:val="16"/>
                              </w:rPr>
                              <w:t xml:space="preserve">, které mohou ovlivňovat „inovativní schopnost“ operací: </w:t>
                            </w:r>
                          </w:p>
                          <w:p w:rsidR="005716B0" w:rsidRPr="002F0ABF" w:rsidRDefault="005716B0" w:rsidP="00E05D08">
                            <w:pPr>
                              <w:pStyle w:val="Hlistbullet"/>
                              <w:rPr>
                                <w:sz w:val="16"/>
                                <w:szCs w:val="16"/>
                              </w:rPr>
                            </w:pPr>
                            <w:r>
                              <w:rPr>
                                <w:sz w:val="16"/>
                                <w:szCs w:val="16"/>
                              </w:rPr>
                              <w:t>Technické a oborové znalosti a dovednosti nezbytné pro to, aby nové nápady fungovaly v praxi, včetně schopnosti identifikovat možnosti a volit mezi nimi (např. operace prováděné podle článků 14, 15 a 35 nařízení (EU) č. 1305/2013).</w:t>
                            </w:r>
                          </w:p>
                          <w:p w:rsidR="005716B0" w:rsidRPr="002F0ABF" w:rsidRDefault="005716B0" w:rsidP="00E05D08">
                            <w:pPr>
                              <w:pStyle w:val="Hlistbullet"/>
                              <w:rPr>
                                <w:sz w:val="16"/>
                                <w:szCs w:val="16"/>
                              </w:rPr>
                            </w:pPr>
                            <w:r>
                              <w:rPr>
                                <w:sz w:val="16"/>
                                <w:szCs w:val="16"/>
                              </w:rPr>
                              <w:t>Organizační a sociální dovednosti nezbytné pro usnadnění a zprostředkování</w:t>
                            </w:r>
                            <w:r>
                              <w:rPr>
                                <w:sz w:val="16"/>
                                <w:szCs w:val="16"/>
                                <w:vertAlign w:val="superscript"/>
                              </w:rPr>
                              <w:t>10</w:t>
                            </w:r>
                            <w:r>
                              <w:rPr>
                                <w:sz w:val="16"/>
                                <w:szCs w:val="16"/>
                              </w:rPr>
                              <w:t xml:space="preserve"> inovačních procesů včetně schopnosti vytvářet vazby a sítě mezi zúčastněnými stranami, schopnosti absolvovat opakující se školicí cykly v oblasti předvídání, plánování a reflexe a schopnosti identifikovat hlavní dynamické síly a problémy systémů (např. operace prováděné podle článku 35 nařízení (EU) č. 1305/2013).</w:t>
                            </w:r>
                          </w:p>
                          <w:p w:rsidR="005716B0" w:rsidRPr="002F0ABF" w:rsidRDefault="005716B0" w:rsidP="00E05D08">
                            <w:pPr>
                              <w:pStyle w:val="Hlistbullet"/>
                              <w:rPr>
                                <w:sz w:val="16"/>
                                <w:szCs w:val="16"/>
                              </w:rPr>
                            </w:pPr>
                            <w:r>
                              <w:rPr>
                                <w:sz w:val="16"/>
                                <w:szCs w:val="16"/>
                              </w:rPr>
                              <w:t>Posilování schopnosti k účinným společným opatřením</w:t>
                            </w:r>
                            <w:r>
                              <w:rPr>
                                <w:sz w:val="16"/>
                                <w:szCs w:val="16"/>
                                <w:vertAlign w:val="superscript"/>
                              </w:rPr>
                              <w:t>11</w:t>
                            </w:r>
                            <w:r>
                              <w:rPr>
                                <w:sz w:val="16"/>
                                <w:szCs w:val="16"/>
                              </w:rPr>
                              <w:t xml:space="preserve"> (např. organizovat předváděcí a informační činnosti formou spolupráce s cílem předávání zkušeností a poznatků mezi aktéry nebo za účelem spolupráce mezi účastníky dodavatelského řetězce pro dodávky biomasy k výrobě potravin a energie atd.) (operace prováděné podle článků 14, 15 a 35 nařízení (EU) č. 1305/2013).</w:t>
                            </w:r>
                          </w:p>
                          <w:p w:rsidR="005716B0" w:rsidRPr="002F0ABF" w:rsidRDefault="005716B0" w:rsidP="00E05D08">
                            <w:pPr>
                              <w:pStyle w:val="Hlistbullet"/>
                              <w:rPr>
                                <w:sz w:val="16"/>
                                <w:szCs w:val="16"/>
                              </w:rPr>
                            </w:pPr>
                            <w:r>
                              <w:rPr>
                                <w:sz w:val="16"/>
                                <w:szCs w:val="16"/>
                              </w:rPr>
                              <w:t>Intervence PRV mohou budovat inovativní schopnosti poskytováním příležitostí k předávání poznatků (např. formou služeb, odborné přípravy a mentorování) (operace prováděné podle článku 15 nařízení (EU) č.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5894" id="Rectangle: Diagonal Corners Rounded 57" o:spid="_x0000_s1033" style="position:absolute;left:0;text-align:left;margin-left:-16.85pt;margin-top:181.4pt;width:482pt;height:25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1400,3301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" adj="-11796480,,5400" path="m218978,l6098456,v12672,,22944,10272,22944,22944l6121400,3082362v,120938,-98040,218978,-218978,218978l22944,3301340c10272,3301340,,3291068,,3278396l,218978c,98040,98040,,218978,xe" filled="f" strokecolor="#f07e31" strokeweight="2pt">
                <v:stroke joinstyle="miter"/>
                <v:formulas/>
                <v:path arrowok="t" o:connecttype="custom" o:connectlocs="218978,0;6098456,0;6121400,22944;6121400,3082362;5902422,3301340;22944,3301340;0,3278396;0,218978;218978,0" o:connectangles="0,0,0,0,0,0,0,0,0" textboxrect="0,0,6121400,3301340"/>
                <v:textbox inset=",0,,0">
                  <w:txbxContent>
                    <w:p w:rsidR="005716B0" w:rsidRPr="002F0ABF" w:rsidRDefault="005716B0" w:rsidP="00E05D08">
                      <w:pPr>
                        <w:pStyle w:val="Normal12PTcouleurgris"/>
                        <w:rPr>
                          <w:b/>
                          <w:color w:val="F07E31"/>
                          <w:sz w:val="16"/>
                          <w:szCs w:val="16"/>
                        </w:rPr>
                      </w:pPr>
                      <w:r>
                        <w:rPr>
                          <w:noProof/>
                          <w:lang w:val="en-GB" w:eastAsia="en-GB"/>
                        </w:rPr>
                        <w:drawing>
                          <wp:inline distT="0" distB="0" distL="0" distR="0" wp14:anchorId="26AB6B9A" wp14:editId="194BC8BE">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Příklady možné podpory scénáře 2 v rámci programu rozvoje venkova</w:t>
                      </w:r>
                    </w:p>
                    <w:p w:rsidR="005716B0" w:rsidRPr="002F0ABF" w:rsidRDefault="005716B0" w:rsidP="00E05D08">
                      <w:pPr>
                        <w:pStyle w:val="Normal12PTcouleurgris"/>
                        <w:rPr>
                          <w:sz w:val="16"/>
                          <w:szCs w:val="16"/>
                        </w:rPr>
                      </w:pPr>
                      <w:r>
                        <w:rPr>
                          <w:sz w:val="16"/>
                          <w:szCs w:val="16"/>
                        </w:rPr>
                        <w:t>Prostřednictvím PRV lze podporovat tyto klíčové dovednosti a kvality účastníků inovačního procesu</w:t>
                      </w:r>
                      <w:r>
                        <w:rPr>
                          <w:sz w:val="16"/>
                          <w:szCs w:val="16"/>
                          <w:vertAlign w:val="superscript"/>
                        </w:rPr>
                        <w:t>9</w:t>
                      </w:r>
                      <w:r>
                        <w:rPr>
                          <w:sz w:val="16"/>
                          <w:szCs w:val="16"/>
                        </w:rPr>
                        <w:t xml:space="preserve">, které mohou ovlivňovat „inovativní schopnost“ operací: </w:t>
                      </w:r>
                    </w:p>
                    <w:p w:rsidR="005716B0" w:rsidRPr="002F0ABF" w:rsidRDefault="005716B0" w:rsidP="00E05D08">
                      <w:pPr>
                        <w:pStyle w:val="Hlistbullet"/>
                        <w:rPr>
                          <w:sz w:val="16"/>
                          <w:szCs w:val="16"/>
                        </w:rPr>
                      </w:pPr>
                      <w:r>
                        <w:rPr>
                          <w:sz w:val="16"/>
                          <w:szCs w:val="16"/>
                        </w:rPr>
                        <w:t>Technické a oborové znalosti a dovednosti nezbytné pro to, aby nové nápady fungovaly v praxi, včetně schopnosti identifikovat možnosti a volit mezi nimi (např. operace prováděné podle článků 14, 15 a 35 nařízení (EU) č. 1305/2013).</w:t>
                      </w:r>
                    </w:p>
                    <w:p w:rsidR="005716B0" w:rsidRPr="002F0ABF" w:rsidRDefault="005716B0" w:rsidP="00E05D08">
                      <w:pPr>
                        <w:pStyle w:val="Hlistbullet"/>
                        <w:rPr>
                          <w:sz w:val="16"/>
                          <w:szCs w:val="16"/>
                        </w:rPr>
                      </w:pPr>
                      <w:r>
                        <w:rPr>
                          <w:sz w:val="16"/>
                          <w:szCs w:val="16"/>
                        </w:rPr>
                        <w:t>Organizační a sociální dovednosti nezbytné pro usnadnění a zprostředkování</w:t>
                      </w:r>
                      <w:r>
                        <w:rPr>
                          <w:sz w:val="16"/>
                          <w:szCs w:val="16"/>
                          <w:vertAlign w:val="superscript"/>
                        </w:rPr>
                        <w:t>10</w:t>
                      </w:r>
                      <w:r>
                        <w:rPr>
                          <w:sz w:val="16"/>
                          <w:szCs w:val="16"/>
                        </w:rPr>
                        <w:t xml:space="preserve"> inovačních procesů včetně schopnosti vytvářet vazby a sítě mezi zúčastněnými stranami, schopnosti absolvovat opakující se školicí cykly v oblasti předvídání, plánování a reflexe a schopnosti identifikovat hlavní dynamické síly a problémy systémů (např. operace prováděné podle článku 35 nařízení (EU) č. 1305/2013).</w:t>
                      </w:r>
                    </w:p>
                    <w:p w:rsidR="005716B0" w:rsidRPr="002F0ABF" w:rsidRDefault="005716B0" w:rsidP="00E05D08">
                      <w:pPr>
                        <w:pStyle w:val="Hlistbullet"/>
                        <w:rPr>
                          <w:sz w:val="16"/>
                          <w:szCs w:val="16"/>
                        </w:rPr>
                      </w:pPr>
                      <w:r>
                        <w:rPr>
                          <w:sz w:val="16"/>
                          <w:szCs w:val="16"/>
                        </w:rPr>
                        <w:t>Posilování schopnosti k účinným společným opatřením</w:t>
                      </w:r>
                      <w:r>
                        <w:rPr>
                          <w:sz w:val="16"/>
                          <w:szCs w:val="16"/>
                          <w:vertAlign w:val="superscript"/>
                        </w:rPr>
                        <w:t>11</w:t>
                      </w:r>
                      <w:r>
                        <w:rPr>
                          <w:sz w:val="16"/>
                          <w:szCs w:val="16"/>
                        </w:rPr>
                        <w:t xml:space="preserve"> (např. organizovat předváděcí a informační činnosti formou spolupráce s cílem předávání zkušeností a poznatků mezi aktéry nebo za účelem spolupráce mezi účastníky dodavatelského řetězce pro dodávky biomasy k výrobě potravin a energie atd.) (operace prováděné podle článků 14, 15 a 35 nařízení (EU) č. 1305/2013).</w:t>
                      </w:r>
                    </w:p>
                    <w:p w:rsidR="005716B0" w:rsidRPr="002F0ABF" w:rsidRDefault="005716B0" w:rsidP="00E05D08">
                      <w:pPr>
                        <w:pStyle w:val="Hlistbullet"/>
                        <w:rPr>
                          <w:sz w:val="16"/>
                          <w:szCs w:val="16"/>
                        </w:rPr>
                      </w:pPr>
                      <w:r>
                        <w:rPr>
                          <w:sz w:val="16"/>
                          <w:szCs w:val="16"/>
                        </w:rPr>
                        <w:t>Intervence PRV mohou budovat inovativní schopnosti poskytováním příležitostí k předávání poznatků (např. formou služeb, odborné přípravy a mentorování) (operace prováděné podle článku 15 nařízení (EU) č. 1305/2013).</w:t>
                      </w:r>
                    </w:p>
                  </w:txbxContent>
                </v:textbox>
              </v:shape>
            </w:pict>
          </mc:Fallback>
        </mc:AlternateContent>
      </w:r>
      <w:r w:rsidR="00A45935">
        <w:rPr>
          <w:b/>
          <w:color w:val="F07E31"/>
          <w:szCs w:val="20"/>
        </w:rPr>
        <w:t>Druhý scénář</w:t>
      </w:r>
      <w:r w:rsidR="00A45935">
        <w:t xml:space="preserve"> se týká budování inovativních schopností. Za určitých okolností je tento scénář výsledkem prvního scénáře. PRV může usnadnit proces zjišťování rozvojových výzev a možností spojení zainteresovaných a relevantních účastníků inovačního procesu (např. prostřednictvím operačních skupin EIP</w:t>
      </w:r>
      <w:r w:rsidR="00A45935">
        <w:rPr>
          <w:rFonts w:eastAsia="Times New Roman" w:cs="Times New Roman"/>
          <w:szCs w:val="20"/>
          <w:vertAlign w:val="superscript"/>
          <w:lang w:eastAsia="de-DE"/>
        </w:rPr>
        <w:footnoteReference w:id="5"/>
      </w:r>
      <w:r w:rsidR="00A45935">
        <w:t>, které testují inovativní postupy prostřednictvím spolupráce mezi příslušnými aktéry se vzájemně se doplňujícími znalostmi – např. zemědělci, podniky, poradenské služby, výzkumní pracovníci a další – s cílem dosáhnout cílů inovačního projektu). To pomáhá překlenout rozdíly mezi teorií a praxí vytvářením nezbytných dovedností a znalostí. Užitek mohou přinést i synergie vytvořené prostřednictvím projektů s více účastníky financovaných v rámci politiky EU pro výzkum a inovace programu Horizont 2020</w:t>
      </w:r>
      <w:r w:rsidR="00A45935">
        <w:rPr>
          <w:rFonts w:eastAsia="Times New Roman" w:cs="Times New Roman"/>
          <w:szCs w:val="20"/>
          <w:vertAlign w:val="superscript"/>
          <w:lang w:eastAsia="de-DE"/>
        </w:rPr>
        <w:footnoteReference w:id="6"/>
      </w:r>
      <w:r w:rsidR="00A45935">
        <w:t xml:space="preserve"> </w:t>
      </w:r>
      <w:r w:rsidR="00A45935">
        <w:rPr>
          <w:rFonts w:eastAsia="Times New Roman" w:cs="Times New Roman"/>
          <w:szCs w:val="20"/>
          <w:vertAlign w:val="superscript"/>
          <w:lang w:eastAsia="de-DE"/>
        </w:rPr>
        <w:footnoteReference w:id="7"/>
      </w:r>
      <w:r w:rsidR="00A45935">
        <w:t>. Operační skupiny mohou aktivovat sociálně-technické niky. Sociálně-technická nika je chráněný prostor, který lidem umožňuje poznávat a zkoušet nové technologie nebo instituce či nové cesty a způsoby. Jsou-li niky správně sestaveny a propojeny, mohou fungovat jako stavební bloky širších společenských změn směřujících k udržitelnému rozvoji</w:t>
      </w:r>
      <w:r w:rsidR="00A45935">
        <w:rPr>
          <w:rFonts w:eastAsia="Times New Roman" w:cs="Arial"/>
          <w:szCs w:val="20"/>
          <w:vertAlign w:val="superscript"/>
          <w:lang w:eastAsia="de-DE"/>
        </w:rPr>
        <w:footnoteReference w:id="8"/>
      </w:r>
      <w:r w:rsidR="00A45935">
        <w:rPr>
          <w:rStyle w:val="FootnoteReference"/>
          <w:rFonts w:eastAsia="Times New Roman" w:cs="Times New Roman"/>
          <w:color w:val="FFFFFF" w:themeColor="background1"/>
          <w:szCs w:val="20"/>
          <w:lang w:eastAsia="de-DE"/>
        </w:rPr>
        <w:footnoteReference w:id="9"/>
      </w:r>
      <w:r w:rsidR="00A45935">
        <w:rPr>
          <w:rStyle w:val="FootnoteReference"/>
          <w:rFonts w:eastAsia="Times New Roman" w:cs="Times New Roman"/>
          <w:color w:val="FFFFFF" w:themeColor="background1"/>
          <w:szCs w:val="20"/>
          <w:lang w:eastAsia="de-DE"/>
        </w:rPr>
        <w:footnoteReference w:id="10"/>
      </w:r>
      <w:r w:rsidR="00A45935">
        <w:rPr>
          <w:rStyle w:val="FootnoteReference"/>
          <w:rFonts w:eastAsia="Times New Roman" w:cs="Times New Roman"/>
          <w:color w:val="FFFFFF" w:themeColor="background1"/>
          <w:szCs w:val="20"/>
          <w:lang w:eastAsia="de-DE"/>
        </w:rPr>
        <w:footnoteReference w:id="11"/>
      </w:r>
      <w:r w:rsidR="00A45935">
        <w:t xml:space="preserve">. </w:t>
      </w:r>
    </w:p>
    <w:p w:rsidR="00A45935" w:rsidRPr="00E05D08" w:rsidRDefault="00F74459" w:rsidP="002F0ABF">
      <w:pPr>
        <w:spacing w:after="120" w:line="280" w:lineRule="atLeast"/>
        <w:mirrorIndents/>
        <w:rPr>
          <w:rFonts w:eastAsia="Times New Roman" w:cs="Times New Roman"/>
          <w:szCs w:val="20"/>
        </w:rPr>
      </w:pPr>
      <w:r>
        <w:br w:type="column"/>
      </w:r>
      <w:r w:rsidR="005716B0">
        <w:rPr>
          <w:noProof/>
          <w:lang w:val="en-GB" w:eastAsia="en-GB"/>
        </w:rPr>
        <w:lastRenderedPageBreak/>
        <mc:AlternateContent>
          <mc:Choice Requires="wps">
            <w:drawing>
              <wp:anchor distT="0" distB="0" distL="114300" distR="114300" simplePos="0" relativeHeight="251737088" behindDoc="0" locked="0" layoutInCell="1" allowOverlap="1" wp14:anchorId="170DF580" wp14:editId="0D8FDF9B">
                <wp:simplePos x="0" y="0"/>
                <wp:positionH relativeFrom="column">
                  <wp:posOffset>2918460</wp:posOffset>
                </wp:positionH>
                <wp:positionV relativeFrom="paragraph">
                  <wp:posOffset>73025</wp:posOffset>
                </wp:positionV>
                <wp:extent cx="2975610" cy="7022465"/>
                <wp:effectExtent l="0" t="0" r="15240" b="2603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975610" cy="7022465"/>
                        </a:xfrm>
                        <a:prstGeom prst="round2DiagRect">
                          <a:avLst>
                            <a:gd name="adj1" fmla="val 5907"/>
                            <a:gd name="adj2" fmla="val 0"/>
                          </a:avLst>
                        </a:prstGeom>
                        <a:noFill/>
                        <a:ln w="25400" cap="flat" cmpd="sng" algn="ctr">
                          <a:solidFill>
                            <a:srgbClr val="F07E31"/>
                          </a:solidFill>
                          <a:prstDash val="solid"/>
                        </a:ln>
                        <a:effectLst/>
                      </wps:spPr>
                      <wps:txbx>
                        <w:txbxContent>
                          <w:p w:rsidR="005716B0" w:rsidRPr="00E05D08" w:rsidRDefault="005716B0" w:rsidP="004508D0">
                            <w:pPr>
                              <w:pStyle w:val="Normal12PTcouleurgris"/>
                              <w:rPr>
                                <w:b/>
                                <w:color w:val="F07E31"/>
                              </w:rPr>
                            </w:pPr>
                            <w:r>
                              <w:rPr>
                                <w:noProof/>
                                <w:lang w:val="en-GB" w:eastAsia="en-GB"/>
                              </w:rPr>
                              <w:drawing>
                                <wp:inline distT="0" distB="0" distL="0" distR="0" wp14:anchorId="59718ED8" wp14:editId="7481CFF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Příklady možné podpory scénáře 3 v rámci programu rozvoje venkova</w:t>
                            </w:r>
                          </w:p>
                          <w:p w:rsidR="005716B0" w:rsidRPr="002B58E1" w:rsidRDefault="005716B0" w:rsidP="004508D0">
                            <w:pPr>
                              <w:pStyle w:val="Hlistbullet"/>
                              <w:rPr>
                                <w:sz w:val="18"/>
                                <w:szCs w:val="18"/>
                              </w:rPr>
                            </w:pPr>
                            <w:r>
                              <w:rPr>
                                <w:sz w:val="18"/>
                                <w:szCs w:val="18"/>
                              </w:rPr>
                              <w:t xml:space="preserve">PRV, který je zaměřen především na opatření v oblasti informací a odborné přípravy (článek 14 nařízení (EU) č. 1305/2013) a poradenských služeb (článek 15 nařízení (EU) č. 1305/2013) na základě inovativních postupů vypracovaných v rámci vlastních operačních skupin (článek 35 nařízení (EU) č. 1305/2013) nebo inovativních postupů vypracovaných operačními skupinami v jiných regionech nebo zemích (činnosti CSV, technická pomoc). </w:t>
                            </w:r>
                          </w:p>
                          <w:p w:rsidR="005716B0" w:rsidRPr="002B58E1" w:rsidRDefault="005716B0" w:rsidP="004508D0">
                            <w:pPr>
                              <w:pStyle w:val="Hlistbullet"/>
                              <w:rPr>
                                <w:sz w:val="18"/>
                                <w:szCs w:val="18"/>
                              </w:rPr>
                            </w:pPr>
                            <w:r>
                              <w:rPr>
                                <w:sz w:val="18"/>
                                <w:szCs w:val="18"/>
                              </w:rPr>
                              <w:t>PRV, který zlepšuje přístup k internetu na venkově, pomůže místním podnikům a zemědělcům získat přístup k informacím a na trhy, a tím zvýší jejich inovativní schopnost a motivaci k inovacím (např. operace prováděné podle článku 20 nařízení (EU) č. 1305/2013).</w:t>
                            </w:r>
                          </w:p>
                          <w:p w:rsidR="005716B0" w:rsidRPr="002B58E1" w:rsidRDefault="005716B0" w:rsidP="004508D0">
                            <w:pPr>
                              <w:pStyle w:val="Hlistbullet"/>
                              <w:rPr>
                                <w:b/>
                                <w:sz w:val="18"/>
                                <w:szCs w:val="18"/>
                              </w:rPr>
                            </w:pPr>
                            <w:r>
                              <w:rPr>
                                <w:sz w:val="18"/>
                                <w:szCs w:val="18"/>
                              </w:rPr>
                              <w:t>PRV zaměřený na vývoj inovativního zařízení na orbu se zapravováním zbytků plodin do půdy, prováděný určitou operační skupinou, může povzbudit k investicím do inovací a k přísnějšímu prosazování právních předpisů zakazujících pálení zbytků plodin (např. operace prováděné podle článku 17 nařízení (EU) č. 1305/2013).</w:t>
                            </w:r>
                          </w:p>
                          <w:p w:rsidR="005716B0" w:rsidRPr="002B58E1" w:rsidRDefault="005716B0" w:rsidP="004508D0">
                            <w:pPr>
                              <w:pStyle w:val="Hlistbullet"/>
                              <w:rPr>
                                <w:sz w:val="18"/>
                                <w:szCs w:val="18"/>
                              </w:rPr>
                            </w:pPr>
                            <w:r>
                              <w:rPr>
                                <w:sz w:val="18"/>
                                <w:szCs w:val="18"/>
                              </w:rPr>
                              <w:t>Opatření PRV podporující zakládání krátkých potravinových řetězců nebo družstev producentů může posílit vazby a spolupráci mezi spotřebiteli a producenty s cílem vytvořit inovativnější potravinový systém</w:t>
                            </w:r>
                            <w:r>
                              <w:rPr>
                                <w:sz w:val="18"/>
                                <w:szCs w:val="18"/>
                                <w:vertAlign w:val="superscript"/>
                              </w:rPr>
                              <w:t>13</w:t>
                            </w:r>
                            <w:r>
                              <w:rPr>
                                <w:sz w:val="18"/>
                                <w:szCs w:val="18"/>
                              </w:rPr>
                              <w:t xml:space="preserve"> (např. operace prováděné podle článků 16, 17 a 35 nařízení (EU) č.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F580" id="Rectangle: Diagonal Corners Rounded 59" o:spid="_x0000_s1034" style="position:absolute;left:0;text-align:left;margin-left:229.8pt;margin-top:5.75pt;width:234.3pt;height:55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5610,702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" adj="-11796480,,5400" path="m175769,l2975610,r,l2975610,6846696v,97075,-78694,175769,-175769,175769l,7022465r,l,175769c,78694,78694,,175769,xe" filled="f" strokecolor="#f07e31" strokeweight="2pt">
                <v:stroke joinstyle="miter"/>
                <v:formulas/>
                <v:path arrowok="t" o:connecttype="custom" o:connectlocs="175769,0;2975610,0;2975610,0;2975610,6846696;2799841,7022465;0,7022465;0,7022465;0,175769;175769,0" o:connectangles="0,0,0,0,0,0,0,0,0" textboxrect="0,0,2975610,7022465"/>
                <v:textbox>
                  <w:txbxContent>
                    <w:p w:rsidR="005716B0" w:rsidRPr="00E05D08" w:rsidRDefault="005716B0" w:rsidP="004508D0">
                      <w:pPr>
                        <w:pStyle w:val="Normal12PTcouleurgris"/>
                        <w:rPr>
                          <w:b/>
                          <w:color w:val="F07E31"/>
                        </w:rPr>
                      </w:pPr>
                      <w:r>
                        <w:rPr>
                          <w:noProof/>
                          <w:lang w:val="en-GB" w:eastAsia="en-GB"/>
                        </w:rPr>
                        <w:drawing>
                          <wp:inline distT="0" distB="0" distL="0" distR="0" wp14:anchorId="59718ED8" wp14:editId="7481CFF4">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Příklady možné podpory scénáře 3 v rámci programu rozvoje venkova</w:t>
                      </w:r>
                    </w:p>
                    <w:p w:rsidR="005716B0" w:rsidRPr="002B58E1" w:rsidRDefault="005716B0" w:rsidP="004508D0">
                      <w:pPr>
                        <w:pStyle w:val="Hlistbullet"/>
                        <w:rPr>
                          <w:sz w:val="18"/>
                          <w:szCs w:val="18"/>
                        </w:rPr>
                      </w:pPr>
                      <w:r>
                        <w:rPr>
                          <w:sz w:val="18"/>
                          <w:szCs w:val="18"/>
                        </w:rPr>
                        <w:t xml:space="preserve">PRV, který je zaměřen především na opatření v oblasti informací a odborné přípravy (článek 14 nařízení (EU) č. 1305/2013) a poradenských služeb (článek 15 nařízení (EU) č. 1305/2013) na základě inovativních postupů vypracovaných v rámci vlastních operačních skupin (článek 35 nařízení (EU) č. 1305/2013) nebo inovativních postupů vypracovaných operačními skupinami v jiných regionech nebo zemích (činnosti CSV, technická pomoc). </w:t>
                      </w:r>
                    </w:p>
                    <w:p w:rsidR="005716B0" w:rsidRPr="002B58E1" w:rsidRDefault="005716B0" w:rsidP="004508D0">
                      <w:pPr>
                        <w:pStyle w:val="Hlistbullet"/>
                        <w:rPr>
                          <w:sz w:val="18"/>
                          <w:szCs w:val="18"/>
                        </w:rPr>
                      </w:pPr>
                      <w:r>
                        <w:rPr>
                          <w:sz w:val="18"/>
                          <w:szCs w:val="18"/>
                        </w:rPr>
                        <w:t>PRV, který zlepšuje přístup k internetu na venkově, pomůže místním podnikům a zemědělcům získat přístup k informacím a na trhy, a tím zvýší jejich inovativní schopnost a motivaci k inovacím (např. operace prováděné podle článku 20 nařízení (EU) č. 1305/2013).</w:t>
                      </w:r>
                    </w:p>
                    <w:p w:rsidR="005716B0" w:rsidRPr="002B58E1" w:rsidRDefault="005716B0" w:rsidP="004508D0">
                      <w:pPr>
                        <w:pStyle w:val="Hlistbullet"/>
                        <w:rPr>
                          <w:b/>
                          <w:sz w:val="18"/>
                          <w:szCs w:val="18"/>
                        </w:rPr>
                      </w:pPr>
                      <w:r>
                        <w:rPr>
                          <w:sz w:val="18"/>
                          <w:szCs w:val="18"/>
                        </w:rPr>
                        <w:t>PRV zaměřený na vývoj inovativního zařízení na orbu se zapravováním zbytků plodin do půdy, prováděný určitou operační skupinou, může povzbudit k investicím do inovací a k přísnějšímu prosazování právních předpisů zakazujících pálení zbytků plodin (např. operace prováděné podle článku 17 nařízení (EU) č. 1305/2013).</w:t>
                      </w:r>
                    </w:p>
                    <w:p w:rsidR="005716B0" w:rsidRPr="002B58E1" w:rsidRDefault="005716B0" w:rsidP="004508D0">
                      <w:pPr>
                        <w:pStyle w:val="Hlistbullet"/>
                        <w:rPr>
                          <w:sz w:val="18"/>
                          <w:szCs w:val="18"/>
                        </w:rPr>
                      </w:pPr>
                      <w:r>
                        <w:rPr>
                          <w:sz w:val="18"/>
                          <w:szCs w:val="18"/>
                        </w:rPr>
                        <w:t>Opatření PRV podporující zakládání krátkých potravinových řetězců nebo družstev producentů může posílit vazby a spolupráci mezi spotřebiteli a producenty s cílem vytvořit inovativnější potravinový systém</w:t>
                      </w:r>
                      <w:r>
                        <w:rPr>
                          <w:sz w:val="18"/>
                          <w:szCs w:val="18"/>
                          <w:vertAlign w:val="superscript"/>
                        </w:rPr>
                        <w:t>13</w:t>
                      </w:r>
                      <w:r>
                        <w:rPr>
                          <w:sz w:val="18"/>
                          <w:szCs w:val="18"/>
                        </w:rPr>
                        <w:t xml:space="preserve"> (např. operace prováděné podle článků 16, 17 a 35 nařízení (EU) č. 1305/2013).</w:t>
                      </w:r>
                    </w:p>
                  </w:txbxContent>
                </v:textbox>
                <w10:wrap type="square"/>
              </v:shape>
            </w:pict>
          </mc:Fallback>
        </mc:AlternateContent>
      </w:r>
      <w:r>
        <w:rPr>
          <w:b/>
          <w:color w:val="F07E31"/>
          <w:szCs w:val="20"/>
        </w:rPr>
        <w:t>Třetí scénář</w:t>
      </w:r>
      <w:r>
        <w:t xml:space="preserve"> se týká provádění změn v rámcových podmínkách a v prostředí, jež inovační systémy ovlivňuje. To zahrnuje zlepšování různých nezbytných podmínek</w:t>
      </w:r>
      <w:r>
        <w:rPr>
          <w:rFonts w:eastAsia="Times New Roman" w:cs="Times New Roman"/>
          <w:szCs w:val="20"/>
          <w:vertAlign w:val="superscript"/>
          <w:lang w:eastAsia="de-DE"/>
        </w:rPr>
        <w:footnoteReference w:id="12"/>
      </w:r>
      <w:r>
        <w:t>, například:</w:t>
      </w:r>
    </w:p>
    <w:p w:rsidR="00A45935" w:rsidRPr="0095292E" w:rsidRDefault="00A45935" w:rsidP="00230C31">
      <w:pPr>
        <w:pStyle w:val="Hlistbullet"/>
      </w:pPr>
      <w:r>
        <w:t xml:space="preserve">institucionálních (např. poskytování mandátů, norem, politického/právního prostředí, jež podporuje inovace), </w:t>
      </w:r>
    </w:p>
    <w:p w:rsidR="00A45935" w:rsidRPr="0095292E" w:rsidRDefault="00A45935" w:rsidP="00230C31">
      <w:pPr>
        <w:pStyle w:val="Hlistbullet"/>
      </w:pPr>
      <w:r>
        <w:t xml:space="preserve">procesních (např. zdroje flexibilních finančních prostředků pro řešení inovačních potřeb zúčastněných stran), </w:t>
      </w:r>
    </w:p>
    <w:p w:rsidR="00A45935" w:rsidRPr="0095292E" w:rsidRDefault="00A45935" w:rsidP="00230C31">
      <w:pPr>
        <w:pStyle w:val="Hlistbullet"/>
      </w:pPr>
      <w:r>
        <w:t xml:space="preserve">profesních (např. přístup k odborné přípravě s cílem poskytnout nezbytné dovednosti a znalosti a prostředky na podporu inovací), </w:t>
      </w:r>
    </w:p>
    <w:p w:rsidR="00A45935" w:rsidRPr="0095292E" w:rsidRDefault="00A45935" w:rsidP="00230C31">
      <w:pPr>
        <w:pStyle w:val="Hlistbullet"/>
      </w:pPr>
      <w:r>
        <w:t xml:space="preserve">organizačních (např. možnost interakce s jinými partnery, kteří jsou ochotni hledat inovativní řešení), </w:t>
      </w:r>
    </w:p>
    <w:p w:rsidR="00A45935" w:rsidRPr="0095292E" w:rsidRDefault="00A45935" w:rsidP="00230C31">
      <w:pPr>
        <w:pStyle w:val="Hlistbullet"/>
      </w:pPr>
      <w:r>
        <w:t xml:space="preserve">operačních (např. umožňujících nadnárodní nebo meziodvětvové inovace), </w:t>
      </w:r>
    </w:p>
    <w:p w:rsidR="00A45935" w:rsidRPr="0095292E" w:rsidRDefault="00A45935" w:rsidP="00230C31">
      <w:pPr>
        <w:pStyle w:val="Hlistbullet"/>
      </w:pPr>
      <w:r>
        <w:t xml:space="preserve">technických (např. podporujících nové technické postupy a technologie použitelné v hospodářských odvětvích na venkově a v infrastruktuře venkova. </w:t>
      </w:r>
    </w:p>
    <w:p w:rsidR="00A45935" w:rsidRPr="00E05D08" w:rsidRDefault="00A45935" w:rsidP="00E05D08">
      <w:pPr>
        <w:spacing w:after="120" w:line="280" w:lineRule="atLeast"/>
        <w:mirrorIndents/>
        <w:rPr>
          <w:rFonts w:eastAsia="Times New Roman" w:cs="Times New Roman"/>
          <w:szCs w:val="20"/>
        </w:rPr>
      </w:pPr>
      <w:r>
        <w:t xml:space="preserve">PRV může podpořit třetí scénář kombinací různých opatření/podopatření (např. investiční opatření zajišťují příznivé prostředí pro technické a technologické inovace všeho druhu, opatření v oblasti kvality a marketingu podporují institucionální a procesní podmínky, předávání poznatků a opatření v oblasti poradenství nabízejí vstřícné profesní prostředí). </w:t>
      </w:r>
      <w:r w:rsidR="00B06B9C" w:rsidRPr="00B06B9C">
        <w:rPr>
          <w:rStyle w:val="FootnoteReference"/>
          <w:color w:val="FFFFFF" w:themeColor="background1"/>
        </w:rPr>
        <w:footnoteReference w:id="13"/>
      </w:r>
    </w:p>
    <w:p w:rsidR="00A45935" w:rsidRPr="00E05D08" w:rsidRDefault="00A45935" w:rsidP="00E05D08">
      <w:pPr>
        <w:spacing w:after="120" w:line="280" w:lineRule="atLeast"/>
        <w:mirrorIndents/>
        <w:rPr>
          <w:rFonts w:eastAsia="Times New Roman" w:cs="Times New Roman"/>
          <w:szCs w:val="20"/>
        </w:rPr>
      </w:pPr>
      <w:r>
        <w:rPr>
          <w:b/>
        </w:rPr>
        <w:t>Potenciál pro několikeré vzájemně se umocňující působení</w:t>
      </w:r>
      <w:r>
        <w:t xml:space="preserve"> lze dále spatřit na </w:t>
      </w:r>
      <w:hyperlink w:anchor="Pathways" w:history="1">
        <w:r>
          <w:rPr>
            <w:rStyle w:val="Hyperlink"/>
            <w:sz w:val="20"/>
            <w:szCs w:val="20"/>
          </w:rPr>
          <w:t>grafu 1</w:t>
        </w:r>
      </w:hyperlink>
      <w:r>
        <w:t>. Například:</w:t>
      </w:r>
    </w:p>
    <w:p w:rsidR="00A45935" w:rsidRPr="004508D0" w:rsidRDefault="00A45935" w:rsidP="00230C31">
      <w:pPr>
        <w:pStyle w:val="Hlistbullet"/>
      </w:pPr>
      <w:r>
        <w:t xml:space="preserve">Proces technologických nebo institucionálních inovací buduje inovativní schopnosti systému, což přímo zpětně působí na zrychlení tempa inovací a jejich kvalitu. </w:t>
      </w:r>
    </w:p>
    <w:p w:rsidR="00A45935" w:rsidRPr="000828C6" w:rsidRDefault="00A45935" w:rsidP="00230C31">
      <w:pPr>
        <w:pStyle w:val="Hlistbullet"/>
      </w:pPr>
      <w:r>
        <w:t xml:space="preserve">Intervence PRV na podporu politiky napomáhající inovacím (scénář 3) vedou k rychlejšímu tempu inovací, což má za následek větší inovativní schopnosti. </w:t>
      </w:r>
    </w:p>
    <w:p w:rsidR="00A45935" w:rsidRPr="00E05D08" w:rsidRDefault="00A45935" w:rsidP="00E05D08">
      <w:pPr>
        <w:spacing w:after="120" w:line="280" w:lineRule="atLeast"/>
        <w:mirrorIndents/>
        <w:rPr>
          <w:rFonts w:eastAsia="Times New Roman" w:cs="Times New Roman"/>
          <w:szCs w:val="20"/>
        </w:rPr>
      </w:pPr>
      <w:r>
        <w:lastRenderedPageBreak/>
        <w:t>Zvyšování inovativních schopností pomáhá účastníkům inovačního procesu vytvářet a využívat vazby k ovlivňování příznivého institucionálního nebo politického prostředí ve prospěch inovací, o něž daný program rozvoje venkova usiluje. Vzájemně se umocňující působení je důležité, protože poskytuje vyhlídky na pákový efekt</w:t>
      </w:r>
      <w:r>
        <w:rPr>
          <w:rFonts w:eastAsia="Times New Roman" w:cs="Times New Roman"/>
          <w:szCs w:val="20"/>
          <w:vertAlign w:val="superscript"/>
          <w:lang w:eastAsia="de-DE"/>
        </w:rPr>
        <w:footnoteReference w:id="14"/>
      </w:r>
      <w:r>
        <w:t xml:space="preserve">, tj. aby poměrně malé intervence programu rozvoje venkova vyvolaly a podpořily dopady ve větším měřítku (např. energeticky účinný inovativní zemědělský postup zavedený inovačním projektem v rámci PRV se šíří jako pozitivní zpětná vazba od subjektů, jež si ho nově osvojily, a ovlivňuje další subjekty, aby přijaly stejné postupy, což v důsledku vede k významným úsporám energie v daném regionu). Inovační projekty navíc mohou vést ke zlepšení opatření PRV. Například inovační projekt může testovat proveditelnost a nákladovou efektivnost budoucího agroenvironmentálně-klimatického opatření. </w:t>
      </w:r>
    </w:p>
    <w:p w:rsidR="00A45935" w:rsidRPr="00E05D08" w:rsidRDefault="00A45935" w:rsidP="00230C31">
      <w:pPr>
        <w:pStyle w:val="HHeading4"/>
      </w:pPr>
      <w:r>
        <w:t xml:space="preserve">Jak program rozvoje venkova interaguje s rozsáhlejším inovačním systémem? </w:t>
      </w:r>
    </w:p>
    <w:p w:rsidR="00A45935" w:rsidRPr="00E05D08" w:rsidRDefault="00A45935" w:rsidP="00E05D08">
      <w:pPr>
        <w:spacing w:after="120" w:line="280" w:lineRule="atLeast"/>
        <w:mirrorIndents/>
        <w:rPr>
          <w:rFonts w:eastAsia="Times New Roman" w:cs="Times New Roman"/>
          <w:szCs w:val="20"/>
        </w:rPr>
      </w:pPr>
      <w:r>
        <w:t xml:space="preserve">PRV vytváří výsledky dvojího druhu, jež souvisejí s inovacemi: </w:t>
      </w:r>
    </w:p>
    <w:p w:rsidR="00A45935" w:rsidRPr="000828C6" w:rsidRDefault="00A45935" w:rsidP="001744D0">
      <w:pPr>
        <w:pStyle w:val="Hlistbullet"/>
      </w:pPr>
      <w:r>
        <w:rPr>
          <w:b/>
        </w:rPr>
        <w:t>Podpůrné výsledky</w:t>
      </w:r>
      <w:r>
        <w:t xml:space="preserve"> související se třemi scénáři (např. změny tempa a kvality vznikajících inovativních nápadů, inovační kapacita a příznivé prostředí). </w:t>
      </w:r>
    </w:p>
    <w:p w:rsidR="00A45935" w:rsidRPr="000828C6" w:rsidRDefault="00A45935" w:rsidP="001744D0">
      <w:pPr>
        <w:pStyle w:val="Hlistbullet"/>
      </w:pPr>
      <w:r>
        <w:rPr>
          <w:b/>
        </w:rPr>
        <w:t>Výsledky inovací</w:t>
      </w:r>
      <w:r>
        <w:t xml:space="preserve"> vyplývající z podpůrných výsledků (např. nové postupy, zvýšení příjmů, přijetí udržitelnějších zemědělských postupů).</w:t>
      </w:r>
    </w:p>
    <w:p w:rsidR="00A45935" w:rsidRPr="00E05D08" w:rsidRDefault="00A45935" w:rsidP="00E05D08">
      <w:pPr>
        <w:spacing w:after="120" w:line="280" w:lineRule="atLeast"/>
        <w:mirrorIndents/>
        <w:rPr>
          <w:rFonts w:eastAsia="Times New Roman" w:cs="Times New Roman"/>
          <w:szCs w:val="20"/>
        </w:rPr>
      </w:pPr>
      <w:r>
        <w:t>Oba druhy výsledků přispívají k cílům PRV a lze je posuzovat pomocí vhodných ukazatelů. To, zda a jak ovlivňují stávající inovační systém, závisí na tom, jak si příjemci PRV vykládají a chápou to, co jim daný program nabízí</w:t>
      </w:r>
      <w:r>
        <w:rPr>
          <w:rFonts w:eastAsia="Times New Roman" w:cs="Times New Roman"/>
          <w:szCs w:val="20"/>
          <w:vertAlign w:val="superscript"/>
          <w:lang w:eastAsia="de-DE"/>
        </w:rPr>
        <w:footnoteReference w:id="15"/>
      </w:r>
      <w:r>
        <w:t xml:space="preserve">. Jejich reakce jsou rovněž ovlivněny historií a jinými probíhajícími procesy než PRV, které také podněcují inovace: </w:t>
      </w:r>
    </w:p>
    <w:p w:rsidR="00A45935" w:rsidRPr="00161D7E" w:rsidRDefault="00A45935" w:rsidP="001744D0">
      <w:pPr>
        <w:pStyle w:val="Hlistbullet"/>
      </w:pPr>
      <w:r>
        <w:t xml:space="preserve">výzkumnými činnostmi týkajícími se technologií a procesů, </w:t>
      </w:r>
    </w:p>
    <w:p w:rsidR="00A45935" w:rsidRPr="00161D7E" w:rsidRDefault="00A45935" w:rsidP="001744D0">
      <w:pPr>
        <w:pStyle w:val="Hlistbullet"/>
      </w:pPr>
      <w:r>
        <w:t xml:space="preserve">rozvojovými a vzdělávacími programy zaměřenými na podporu inovací, </w:t>
      </w:r>
    </w:p>
    <w:p w:rsidR="00A45935" w:rsidRPr="00161D7E" w:rsidRDefault="00A45935" w:rsidP="001744D0">
      <w:pPr>
        <w:pStyle w:val="Hlistbullet"/>
      </w:pPr>
      <w:r>
        <w:t xml:space="preserve">daňovými opatřeními, úvěrovými zárukami, inovativním zadáváním zakázek, </w:t>
      </w:r>
    </w:p>
    <w:p w:rsidR="00A45935" w:rsidRPr="00161D7E" w:rsidRDefault="00A45935" w:rsidP="001744D0">
      <w:pPr>
        <w:pStyle w:val="Hlistbullet"/>
      </w:pPr>
      <w:r>
        <w:t>programem Horizont 2020 a jinými vnitrostátními/regionálními programy financovanými z ESI fondů, které intervenují v rámci stejného inovačního přístupu jako PRV,</w:t>
      </w:r>
    </w:p>
    <w:p w:rsidR="00A45935" w:rsidRPr="00161D7E" w:rsidRDefault="00A45935" w:rsidP="001744D0">
      <w:pPr>
        <w:pStyle w:val="Hlistbullet"/>
      </w:pPr>
      <w:r>
        <w:t>poptávkou na trhu.</w:t>
      </w:r>
    </w:p>
    <w:p w:rsidR="00A45935" w:rsidRPr="00E05D08" w:rsidRDefault="00A45935" w:rsidP="00E05D08">
      <w:pPr>
        <w:spacing w:after="120" w:line="280" w:lineRule="atLeast"/>
        <w:mirrorIndents/>
        <w:rPr>
          <w:rFonts w:eastAsia="Times New Roman" w:cs="Times New Roman"/>
          <w:szCs w:val="20"/>
        </w:rPr>
      </w:pPr>
      <w:r>
        <w:t xml:space="preserve">Stejně tak PRV budou ovlivňovat to, jak jsou vykládány a využívány jiné probíhající procesy a intervence, a budou jimi také ovlivňovány. </w:t>
      </w:r>
    </w:p>
    <w:p w:rsidR="00A45935" w:rsidRPr="00E05D08" w:rsidRDefault="00A45935" w:rsidP="00E05D08">
      <w:pPr>
        <w:spacing w:after="120" w:line="280" w:lineRule="atLeast"/>
        <w:mirrorIndents/>
        <w:rPr>
          <w:rFonts w:eastAsia="Times New Roman" w:cs="Times New Roman"/>
          <w:szCs w:val="20"/>
        </w:rPr>
      </w:pPr>
      <w:r>
        <w:t xml:space="preserve">PRV nejsou prováděny ve vzduchoprázdnu, ale působí v rámci složitého inovačního systému v daných sociálně-ekonomických souvislostech. Výchozí pozice PRV závisí na stávajících podmínkách pro inovaci (tj. účastnících inovačního procesu a interakcích mezi nimi, stávajícím příznivém prostředí, tržní poptávce, jiných intervencích). </w:t>
      </w:r>
    </w:p>
    <w:p w:rsidR="000E0FE4" w:rsidRDefault="00A45935" w:rsidP="00E05D08">
      <w:pPr>
        <w:spacing w:after="120" w:line="280" w:lineRule="atLeast"/>
        <w:mirrorIndents/>
        <w:rPr>
          <w:rFonts w:eastAsia="Times New Roman" w:cs="Times New Roman"/>
          <w:szCs w:val="20"/>
        </w:rPr>
      </w:pPr>
      <w:r>
        <w:t xml:space="preserve">Cílem každého hodnocení bude zachytit výchozí pozici a přiřadit jakékoli zjištěné změny k provádění opatření a podopatření PRV.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607827"/>
      <w:r>
        <w:lastRenderedPageBreak/>
        <w:t>Politický rámec EU</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607828"/>
      <w:bookmarkEnd w:id="20"/>
      <w:r>
        <w:t>Politický rámec pro inovace v EU a pro politiku rozvoje venkova</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Existují dva nástroje financování EU, jež výslovně podporují inovace v zemědělství a lesnictví</w:t>
      </w:r>
      <w:r>
        <w:rPr>
          <w:szCs w:val="20"/>
          <w:shd w:val="clear" w:color="auto" w:fill="FFFFFF"/>
        </w:rPr>
        <w:t>. Jedním z nich je politika rozvoje venkova, která tvoří jeden ze dvou pilířů společné zemědělské politiky (SZP)</w:t>
      </w:r>
      <w:r w:rsidR="00A02BEC">
        <w:rPr>
          <w:szCs w:val="20"/>
          <w:shd w:val="clear" w:color="auto" w:fill="FFFFFF"/>
        </w:rPr>
        <w:t>.</w:t>
      </w:r>
      <w:r>
        <w:rPr>
          <w:szCs w:val="20"/>
          <w:shd w:val="clear" w:color="auto" w:fill="FFFFFF"/>
        </w:rPr>
        <w:t xml:space="preserve"> Druhým je program Horizont 2020</w:t>
      </w:r>
      <w:r>
        <w:rPr>
          <w:rFonts w:eastAsia="Times New Roman" w:cs="Times New Roman"/>
          <w:szCs w:val="20"/>
          <w:shd w:val="clear" w:color="auto" w:fill="FFFFFF"/>
          <w:vertAlign w:val="superscript"/>
          <w:lang w:eastAsia="de-DE"/>
        </w:rPr>
        <w:footnoteReference w:id="16"/>
      </w:r>
      <w:r>
        <w:rPr>
          <w:szCs w:val="20"/>
          <w:shd w:val="clear" w:color="auto" w:fill="FFFFFF"/>
        </w:rPr>
        <w:t>, rámcový program EU pro výzkum a inovace, který provádí stěžejní iniciativu „Unie inovací“</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Politika rozvoje venkova je koncipována tak, aby působila v synergii s programem Horizont 2020</w:t>
      </w:r>
      <w:r>
        <w:rPr>
          <w:szCs w:val="20"/>
          <w:shd w:val="clear" w:color="auto" w:fill="FFFFFF"/>
        </w:rPr>
        <w:t xml:space="preserve"> s cílem dosáhnout cílů EU v oblasti inovací, a konkrétně cílů inteligentního růstu. Mezi hlavní cíle EU v oblasti inteligentního růstu patří zvýšit úroveň veřejných a soukromých investic do výzkumu a vývoje na 3 % hrubého domácího produktu (HDP) EU a vytvářet lepší podmínky pro výzkum, vývoj a inovace</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8703629"/>
      <w:r>
        <w:t>Politický rámec pro inovace v EU a pro politiku rozvoje venkova</w:t>
      </w:r>
      <w:bookmarkEnd w:id="23"/>
      <w:r>
        <w:t xml:space="preserve"> </w:t>
      </w:r>
    </w:p>
    <w:p w:rsidR="00A45935" w:rsidRPr="00E05D08" w:rsidRDefault="00D5760C" w:rsidP="00E05D08">
      <w:pPr>
        <w:spacing w:before="60" w:after="200" w:line="276" w:lineRule="auto"/>
        <w:jc w:val="center"/>
        <w:rPr>
          <w:rFonts w:eastAsia="Calibri" w:cs="Arial"/>
          <w:szCs w:val="20"/>
        </w:rPr>
      </w:pPr>
      <w:r w:rsidRPr="00D5760C">
        <w:rPr>
          <w:noProof/>
          <w:lang w:val="en-GB" w:eastAsia="en-GB"/>
        </w:rPr>
        <w:drawing>
          <wp:inline distT="0" distB="0" distL="0" distR="0" wp14:anchorId="1D6D17A4" wp14:editId="7D30A426">
            <wp:extent cx="5731510" cy="33191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319102"/>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Zdroj: evropská asistenční služba pro účely hodnocení politiky rozvoje venkova, 2017.</w:t>
      </w:r>
    </w:p>
    <w:p w:rsidR="00A45935" w:rsidRPr="00E05D08" w:rsidRDefault="00A45935" w:rsidP="00E05D08">
      <w:pPr>
        <w:spacing w:after="120" w:line="280" w:lineRule="atLeast"/>
        <w:mirrorIndents/>
        <w:rPr>
          <w:rFonts w:eastAsia="Times New Roman" w:cs="Times New Roman"/>
          <w:szCs w:val="20"/>
        </w:rPr>
      </w:pPr>
      <w:r>
        <w:rPr>
          <w:b/>
        </w:rPr>
        <w:t>Společná zemědělská politika významně přispívá k inteligentnímu růstu prostřednictvím inovaci</w:t>
      </w:r>
      <w:r>
        <w:t xml:space="preserve">. Provádění tří cílů </w:t>
      </w:r>
      <w:r w:rsidR="002A4A87">
        <w:t>SZP</w:t>
      </w:r>
      <w:r>
        <w:t xml:space="preserve"> vyžaduje vytvářet, sdílet a zavádět nové znalosti, nové technologie, nové výrobky a nové způsoby organizace, učení a spolupráce. </w:t>
      </w:r>
    </w:p>
    <w:p w:rsidR="00A45935" w:rsidRPr="00E05D08" w:rsidRDefault="00A45935" w:rsidP="00E05D08">
      <w:pPr>
        <w:spacing w:after="120" w:line="280" w:lineRule="atLeast"/>
        <w:mirrorIndents/>
        <w:rPr>
          <w:rFonts w:eastAsia="Calibri" w:cs="Times New Roman"/>
          <w:szCs w:val="20"/>
        </w:rPr>
      </w:pPr>
      <w:r>
        <w:rPr>
          <w:b/>
          <w:szCs w:val="20"/>
        </w:rPr>
        <w:t>Architektura politiky rozvoje venkova v období 2014–2020 zdůrazňuje význam inovací</w:t>
      </w:r>
      <w:r>
        <w:t xml:space="preserve"> ve fázi návrhu a provádění programů.</w:t>
      </w:r>
      <w:r>
        <w:rPr>
          <w:rFonts w:eastAsia="Times New Roman" w:cs="Times New Roman"/>
          <w:szCs w:val="20"/>
          <w:vertAlign w:val="superscript"/>
          <w:lang w:eastAsia="de-DE"/>
        </w:rPr>
        <w:footnoteReference w:id="19"/>
      </w:r>
      <w:r>
        <w:t xml:space="preserve"> Inovace při rozvoji venkova mohou souviset s řadou různých oblastí včetně: rozvoje zemědělských podniků, organizace potravinového řetězce a řízení rizik, zachování a </w:t>
      </w:r>
      <w:r>
        <w:lastRenderedPageBreak/>
        <w:t>zlepšení ekosystémů, podpory sociálního začleňování, odstranění chudoby, hospodářského rozvoje venkovských oblastí atd.</w:t>
      </w:r>
    </w:p>
    <w:p w:rsidR="00A45935" w:rsidRPr="00E05D08" w:rsidRDefault="00A45935" w:rsidP="00230C31">
      <w:pPr>
        <w:pStyle w:val="HHeading4"/>
        <w:rPr>
          <w:rFonts w:eastAsia="Calibri"/>
        </w:rPr>
      </w:pPr>
      <w:r>
        <w:t>Jak jsou inovace zakotveny v programech rozvoje venkova?</w:t>
      </w:r>
    </w:p>
    <w:p w:rsidR="00A45935" w:rsidRPr="00E05D08" w:rsidRDefault="00347A2C" w:rsidP="00E05D08">
      <w:pPr>
        <w:spacing w:after="120" w:line="280" w:lineRule="atLeast"/>
        <w:mirrorIndents/>
        <w:rPr>
          <w:rFonts w:eastAsia="Times New Roman" w:cs="Times New Roman"/>
          <w:szCs w:val="20"/>
        </w:rPr>
      </w:pPr>
      <w:r>
        <w:rPr>
          <w:b/>
          <w:szCs w:val="20"/>
        </w:rPr>
        <w:t>Popis „přístupu k inovacím v zájmu dosažení priorit Unie v oblasti rozvoje venkova“</w:t>
      </w:r>
      <w:r>
        <w:t xml:space="preserve"> </w:t>
      </w:r>
      <w:r w:rsidRPr="00E602C8">
        <w:rPr>
          <w:b/>
        </w:rPr>
        <w:t>v rámci programu rozvoje venkova</w:t>
      </w:r>
      <w:r>
        <w:t xml:space="preserve"> je uveden ve strategii programu rozvoje venkova</w:t>
      </w:r>
      <w:r>
        <w:rPr>
          <w:rFonts w:eastAsia="Times New Roman" w:cs="Times New Roman"/>
          <w:szCs w:val="20"/>
          <w:vertAlign w:val="superscript"/>
          <w:lang w:eastAsia="de-DE"/>
        </w:rPr>
        <w:footnoteReference w:id="20"/>
      </w:r>
      <w:r>
        <w:t>. Tento popis zahrnuje také EIP v oblasti zemědělské produktivity a udržitelnosti. Každá strategie se na úrovni každé priority Unie zabývá konkrétními potřebami v oblasti inovací určenými při analýze situace z hlediska silných a slabých stránek, příležitostí a hrozeb (analýza SWOT) a při posouzení potřeb</w:t>
      </w:r>
      <w:r>
        <w:rPr>
          <w:rFonts w:eastAsia="Times New Roman" w:cs="Times New Roman"/>
          <w:szCs w:val="20"/>
          <w:vertAlign w:val="superscript"/>
          <w:lang w:eastAsia="de-DE"/>
        </w:rPr>
        <w:footnoteReference w:id="21"/>
      </w:r>
      <w:r>
        <w:t>. Všechny priority Unie kromě toho musí přispívat k průřezovému cíli souvisejícímu s inovacemi</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Vedle toho, že jsou inovace průřezovým cílem, jsou také v programu rozvoje venkova považovány za součást dvou prioritních oblastí průřezové priority Unie č. 1 „Podpora předávání poznatků a inovací v zemědělství, lesnictví a venkovských oblastech“: </w:t>
      </w:r>
    </w:p>
    <w:p w:rsidR="00A45935" w:rsidRPr="00165BF1" w:rsidRDefault="00A45935" w:rsidP="008C0B17">
      <w:pPr>
        <w:numPr>
          <w:ilvl w:val="0"/>
          <w:numId w:val="70"/>
        </w:numPr>
        <w:mirrorIndents/>
        <w:rPr>
          <w:szCs w:val="20"/>
        </w:rPr>
      </w:pPr>
      <w:r>
        <w:t>prioritní oblast 1A: podpora inovací, spolupráce a rozvoje znalostní základny ve venkovských oblastech,</w:t>
      </w:r>
    </w:p>
    <w:p w:rsidR="00A45935" w:rsidRPr="00165BF1" w:rsidRDefault="00A45935" w:rsidP="008C0B17">
      <w:pPr>
        <w:numPr>
          <w:ilvl w:val="0"/>
          <w:numId w:val="70"/>
        </w:numPr>
        <w:mirrorIndents/>
        <w:rPr>
          <w:szCs w:val="20"/>
        </w:rPr>
      </w:pPr>
      <w:r>
        <w:t>prioritní oblast 1B: posílení vazeb mezi zemědělstvím, produkcí potravin a lesnictvím a výzkumem a inovacemi, mimo jiné za účelem zlepšení řízení v oblasti životního prostředí a environmentálního profilu.</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 xml:space="preserve">Programy rozvoje venkova jsou značně flexibilní, pokud jde o použití a kombinaci opatření </w:t>
      </w:r>
      <w:r>
        <w:t xml:space="preserve">v zájmu řešení konkrétních územních a inovačních potřeb a jejich schopnosti dosahovat synergií. Tato opatření lze naprogramovat podle různých priorit a prioritních oblastí s cílem maximalizovat jejich přispění k příslušným cílům. </w:t>
      </w:r>
      <w:r>
        <w:rPr>
          <w:szCs w:val="20"/>
          <w:shd w:val="clear" w:color="auto" w:fill="FFFFFF"/>
        </w:rPr>
        <w:t>Některá opatření programů rozvoje venkova mohou mít dokonce ještě bezprostřednější účinky na inovace, konkrétně v rámci prioritních oblastí 1A a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Předávání znalostí a informační akce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Poradenské služby</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Spolupráce (podporuje zakládání a činnost operačních skupin EIP-AGRI)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 / komunitně vedený místní rozvoj, která podporuje inovace jako jednu ze zásad iniciativy LEADER a podporuje inovační akce menšího rozsahu ve všech aspektech života na venkově (hospodářských, sociálních a environmentálních)</w:t>
      </w:r>
      <w:r w:rsidR="00407E1F">
        <w:t>.</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Opatření na podporu inovací je možné naprogramovat také v rámci dalších prioritních oblastí.</w:t>
      </w:r>
      <w:r>
        <w:t xml:space="preserve"> Například opatření M16 lze propojit s většinou prioritních oblastí a priorit rozvoje venkova. Je to hlavní opatření pro rozvoj venkova na podporu </w:t>
      </w:r>
      <w:r w:rsidR="00304D50">
        <w:rPr>
          <w:b/>
          <w:szCs w:val="20"/>
          <w:shd w:val="clear" w:color="auto" w:fill="FFFFFF"/>
        </w:rPr>
        <w:t>e</w:t>
      </w:r>
      <w:r>
        <w:rPr>
          <w:b/>
          <w:szCs w:val="20"/>
          <w:shd w:val="clear" w:color="auto" w:fill="FFFFFF"/>
        </w:rPr>
        <w:t>vropského inovačního partnerství „Zemědělská produktivita a udržitelnost“</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3E1722"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06368" behindDoc="0" locked="0" layoutInCell="1" allowOverlap="1" wp14:anchorId="107D474B" wp14:editId="3124B0B5">
                <wp:simplePos x="0" y="0"/>
                <wp:positionH relativeFrom="page">
                  <wp:posOffset>920115</wp:posOffset>
                </wp:positionH>
                <wp:positionV relativeFrom="paragraph">
                  <wp:posOffset>409575</wp:posOffset>
                </wp:positionV>
                <wp:extent cx="5671820" cy="4618990"/>
                <wp:effectExtent l="0" t="0" r="24130" b="1016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618990"/>
                        </a:xfrm>
                        <a:prstGeom prst="round2DiagRect">
                          <a:avLst>
                            <a:gd name="adj1" fmla="val 6224"/>
                            <a:gd name="adj2" fmla="val 0"/>
                          </a:avLst>
                        </a:prstGeom>
                        <a:noFill/>
                        <a:ln w="25400" cap="flat" cmpd="sng" algn="ctr">
                          <a:solidFill>
                            <a:srgbClr val="BE4A35"/>
                          </a:solidFill>
                          <a:prstDash val="solid"/>
                        </a:ln>
                        <a:effectLst/>
                      </wps:spPr>
                      <wps:txbx>
                        <w:txbxContent>
                          <w:p w:rsidR="005716B0" w:rsidRPr="002F0ABF" w:rsidRDefault="005716B0" w:rsidP="00E05D08">
                            <w:pPr>
                              <w:pStyle w:val="HStandard"/>
                              <w:rPr>
                                <w:sz w:val="18"/>
                                <w:szCs w:val="18"/>
                              </w:rPr>
                            </w:pPr>
                            <w:r>
                              <w:rPr>
                                <w:noProof/>
                                <w:lang w:val="en-GB" w:eastAsia="en-GB"/>
                              </w:rPr>
                              <w:drawing>
                                <wp:inline distT="0" distB="0" distL="0" distR="0" wp14:anchorId="0A579AEE" wp14:editId="5DDF6032">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EIP-AGRI je součástí strategie Evropa 2020, jejímž cílem je urychlit inovace v EU, podporující konkurenceschopné a udržitelné odvětví zemědělství a lesnictví, které „dosahuje lepších výsledků menšími prostředky“. EIP-AGRI přispívá k zajištění stabilních dodávek </w:t>
                            </w:r>
                            <w:r>
                              <w:rPr>
                                <w:sz w:val="18"/>
                                <w:szCs w:val="18"/>
                              </w:rPr>
                              <w:t>potravin, krmiv a biomateriálů a pracuje v harmonii se základními přírodními zdroji, na nichž zemědělství závisí. EIP-AGRI sdružuje účastníky inovačního procesu (zemědělce, poradce, výzkumné pracovníky, podniky, nevládní organizace atd.) na úrovni EU a v rámci programů rozvoje venkova ve formě operačních skupin. Takové inovace mohou být technologické, ale i netechnologické, organizační nebo sociální povahy. Inovace mohou být založeny na nových, ale i na tradičních postupech v nových geografických nebo environmentálních souvislostech. Operační skupiny EIP jsou vytvářeny na bázi jednotlivých projektů a řeší určitý (praktický) problém nebo příležitost, jež mohou vést k inovaci a přispět k dosažení cílů daného programu. Každá operační skupina sestává z klíčových aktérů (např. zemědělců, poradců, výzkumných pracovníků, podniků, nevládních organizací), kteří jsou nejlépe schopni realizovat cíle projektu, sdílet zkušenosti z provádění a široce zpřístupňovat výsledky. Přístup založený na operačních skupinách nejlépe využívá znalosti různého druhu (praktické, vědecké, technické, organizační atd.) interaktivním způsobem. Praktickým přístupem na podporu těchto činností je „zprostředkování inovací“. Nařízení nabízí čtyři možnosti financování zprostředkování inovací</w:t>
                            </w:r>
                            <w:r>
                              <w:rPr>
                                <w:sz w:val="18"/>
                                <w:szCs w:val="18"/>
                                <w:vertAlign w:val="superscript"/>
                              </w:rPr>
                              <w:t>23</w:t>
                            </w:r>
                            <w:r>
                              <w:rPr>
                                <w:sz w:val="18"/>
                                <w:szCs w:val="18"/>
                              </w:rPr>
                              <w:t xml:space="preserve">. Zprostředkování inovací může hrát důležitou roli při objevování inovativních nápadů, usnadnění zahájení činnosti operačních skupin, zejména tím, že vystupuje jako prostředník, zapojuje účastníky inovačního procesu (zemědělce, výzkumné pracovníky, poradce, nevládní organizace atd.) do interaktivních inovačních projektů. Cílem „zprostředkovatele inovací“ je objevovat iniciativy přicházející zdola, pomáhat vybrušovat inovativní nápady a poskytovat podporu při hledání partnerů a financování. Hlavním úkolem zprostředkovatele je pomoci při vypracování solidního návrhu inovačního projektu.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474B" id="Rectangle: Diagonal Corners Rounded 58" o:spid="_x0000_s1035" style="position:absolute;left:0;text-align:left;margin-left:72.45pt;margin-top:32.25pt;width:446.6pt;height:363.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618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" adj="-11796480,,5400" path="m287486,l5671820,r,l5671820,4331504v,158774,-128712,287486,-287486,287486l,4618990r,l,287486c,128712,128712,,287486,xe" filled="f" strokecolor="#be4a35" strokeweight="2pt">
                <v:stroke joinstyle="miter"/>
                <v:formulas/>
                <v:path arrowok="t" o:connecttype="custom" o:connectlocs="287486,0;5671820,0;5671820,0;5671820,4331504;5384334,4618990;0,4618990;0,4618990;0,287486;287486,0" o:connectangles="0,0,0,0,0,0,0,0,0" textboxrect="0,0,5671820,4618990"/>
                <v:textbox inset=",,,0">
                  <w:txbxContent>
                    <w:p w:rsidR="005716B0" w:rsidRPr="002F0ABF" w:rsidRDefault="005716B0" w:rsidP="00E05D08">
                      <w:pPr>
                        <w:pStyle w:val="HStandard"/>
                        <w:rPr>
                          <w:sz w:val="18"/>
                          <w:szCs w:val="18"/>
                        </w:rPr>
                      </w:pPr>
                      <w:r>
                        <w:rPr>
                          <w:noProof/>
                          <w:lang w:val="en-GB" w:eastAsia="en-GB"/>
                        </w:rPr>
                        <w:drawing>
                          <wp:inline distT="0" distB="0" distL="0" distR="0" wp14:anchorId="0A579AEE" wp14:editId="5DDF6032">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EIP-AGRI je součástí strategie Evropa 2020, jejímž cílem je urychlit inovace v EU, podporující konkurenceschopné a udržitelné odvětví zemědělství a lesnictví, které „dosahuje lepších výsledků menšími prostředky“. EIP-AGRI přispívá k zajištění stabilních dodávek </w:t>
                      </w:r>
                      <w:r>
                        <w:rPr>
                          <w:sz w:val="18"/>
                          <w:szCs w:val="18"/>
                        </w:rPr>
                        <w:t>potravin, krmiv a biomateriálů a pracuje v harmonii se základními přírodními zdroji, na nichž zemědělství závisí. EIP-AGRI sdružuje účastníky inovačního procesu (zemědělce, poradce, výzkumné pracovníky, podniky, nevládní organizace atd.) na úrovni EU a v rámci programů rozvoje venkova ve formě operačních skupin. Takové inovace mohou být technologické, ale i netechnologické, organizační nebo sociální povahy. Inovace mohou být založeny na nových, ale i na tradičních postupech v nových geografických nebo environmentálních souvislostech. Operační skupiny EIP jsou vytvářeny na bázi jednotlivých projektů a řeší určitý (praktický) problém nebo příležitost, jež mohou vést k inovaci a přispět k dosažení cílů daného programu. Každá operační skupina sestává z klíčových aktérů (např. zemědělců, poradců, výzkumných pracovníků, podniků, nevládních organizací), kteří jsou nejlépe schopni realizovat cíle projektu, sdílet zkušenosti z provádění a široce zpřístupňovat výsledky. Přístup založený na operačních skupinách nejlépe využívá znalosti různého druhu (praktické, vědecké, technické, organizační atd.) interaktivním způsobem. Praktickým přístupem na podporu těchto činností je „zprostředkování inovací“. Nařízení nabízí čtyři možnosti financování zprostředkování inovací</w:t>
                      </w:r>
                      <w:r>
                        <w:rPr>
                          <w:sz w:val="18"/>
                          <w:szCs w:val="18"/>
                          <w:vertAlign w:val="superscript"/>
                        </w:rPr>
                        <w:t>23</w:t>
                      </w:r>
                      <w:r>
                        <w:rPr>
                          <w:sz w:val="18"/>
                          <w:szCs w:val="18"/>
                        </w:rPr>
                        <w:t xml:space="preserve">. Zprostředkování inovací může hrát důležitou roli při objevování inovativních nápadů, usnadnění zahájení činnosti operačních skupin, zejména tím, že vystupuje jako prostředník, zapojuje účastníky inovačního procesu (zemědělce, výzkumné pracovníky, poradce, nevládní organizace atd.) do interaktivních inovačních projektů. Cílem „zprostředkovatele inovací“ je objevovat iniciativy přicházející zdola, pomáhat vybrušovat inovativní nápady a poskytovat podporu při hledání partnerů a financování. Hlavním úkolem zprostředkovatele je pomoci při vypracování solidního návrhu inovačního projektu.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Dalšími opatřeními</w:t>
      </w:r>
      <w:r>
        <w:rPr>
          <w:rFonts w:eastAsia="Times New Roman" w:cs="Times New Roman"/>
          <w:szCs w:val="20"/>
          <w:shd w:val="clear" w:color="auto" w:fill="FFFFFF"/>
          <w:vertAlign w:val="superscript"/>
          <w:lang w:eastAsia="de-DE"/>
        </w:rPr>
        <w:footnoteReference w:id="24"/>
      </w:r>
      <w:r>
        <w:rPr>
          <w:szCs w:val="20"/>
          <w:shd w:val="clear" w:color="auto" w:fill="FFFFFF"/>
        </w:rPr>
        <w:t>, jež se konkrétně zmiňují o inovacích, jsou například:</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zřizování seskupení a organizací producentů, jejichž činnosti mimo jiné zahrnují  „organizaci a usnadnění inovačních procesů“</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547CD7"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w:t>
      </w:r>
      <w:r w:rsidR="00A45935">
        <w:rPr>
          <w:szCs w:val="20"/>
          <w:shd w:val="clear" w:color="auto" w:fill="FFFFFF"/>
        </w:rPr>
        <w:t>novace jsou jednou ze sedmi zásad LEADER/CLLD</w:t>
      </w:r>
      <w:r w:rsidR="00A45935">
        <w:rPr>
          <w:rFonts w:eastAsia="Times New Roman" w:cs="Times New Roman"/>
          <w:szCs w:val="20"/>
          <w:shd w:val="clear" w:color="auto" w:fill="FFFFFF"/>
          <w:vertAlign w:val="superscript"/>
          <w:lang w:eastAsia="de-DE"/>
        </w:rPr>
        <w:footnoteReference w:id="26"/>
      </w:r>
      <w:r w:rsidR="00A45935">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Každé opatření/podopatření PRV je v zásadě schopno podporovat inovace. </w:t>
      </w:r>
      <w:r>
        <w:rPr>
          <w:szCs w:val="20"/>
          <w:shd w:val="clear" w:color="auto" w:fill="FFFFFF"/>
        </w:rPr>
        <w:t xml:space="preserve">Konkrétní přístup k inovacím, který PRV zvolí, je vyjádřen prostřednictvím kritérií způsobilosti a výběru inovačních projektů a kombinace opatření na podporu inovací podle prioritních oblastí (šíření poznatků, poradenské služby, spolupráce, investice, vytváření sítí atd.). </w:t>
      </w:r>
      <w:r>
        <w:t xml:space="preserve">Řídící orgány mohou používat různé přístupy k organizaci a kombinování těchto „měkkých“ (např. opatření 1, 2 a 16) a „tvrdých“ opatření </w:t>
      </w:r>
      <w:r>
        <w:rPr>
          <w:szCs w:val="20"/>
          <w:shd w:val="clear" w:color="auto" w:fill="FFFFFF"/>
        </w:rPr>
        <w:t>(podporujících investice, územní rozvoj, marketing, životní prostředí, přírodu atd.)</w:t>
      </w:r>
      <w:r>
        <w:rPr>
          <w:b/>
          <w:szCs w:val="20"/>
          <w:shd w:val="clear" w:color="auto" w:fill="FFFFFF"/>
        </w:rPr>
        <w:t xml:space="preserve"> </w:t>
      </w:r>
      <w:r>
        <w:t>na podporu inovací</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Může docházet k sekundárnímu přispění k jiným prioritním oblastem.</w:t>
      </w:r>
      <w:r>
        <w:rPr>
          <w:szCs w:val="20"/>
          <w:shd w:val="clear" w:color="auto" w:fill="FFFFFF"/>
        </w:rPr>
        <w:t xml:space="preserve"> Například operace spolupráce naprogramované v rámci prioritní oblasti 2A mohou vyvolat inovační přístup pro posílení biologické rozmanitosti, a proto vykazovat sekundární přispění k prioritní oblasti 4A. Anebo inovativní akce operační skupiny by mohly vyvinout nový postup, který pomáhá snižovat škody v důsledku eroze </w:t>
      </w:r>
      <w:r>
        <w:rPr>
          <w:szCs w:val="20"/>
          <w:shd w:val="clear" w:color="auto" w:fill="FFFFFF"/>
        </w:rPr>
        <w:lastRenderedPageBreak/>
        <w:t>půdy způsobené primární zemědělskou produkcí (naprogramované v rámci prioritní oblasti 4C). To však také zvyšuje konkurenceschopnost a přístup na trhy (sekundární přispění k prioritní oblasti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Důležitou roli při podpoře inovací má vytváření sítí v rámci politiky rozvoje venkova:</w:t>
      </w:r>
    </w:p>
    <w:p w:rsidR="00A45935" w:rsidRPr="0081188E" w:rsidRDefault="00A45935" w:rsidP="001744D0">
      <w:pPr>
        <w:pStyle w:val="Hlistbullet"/>
      </w:pPr>
      <w:r>
        <w:rPr>
          <w:b/>
          <w:shd w:val="clear" w:color="auto" w:fill="FFFFFF"/>
        </w:rPr>
        <w:t>Síť EIP</w:t>
      </w:r>
      <w:r>
        <w:rPr>
          <w:shd w:val="clear" w:color="auto" w:fill="FFFFFF"/>
        </w:rPr>
        <w:t xml:space="preserve"> je nová síť zavedená v období 2014–2020 výslovně s cílem podporovat EIP-AGRI</w:t>
      </w:r>
      <w:r>
        <w:rPr>
          <w:rFonts w:cs="Arial"/>
          <w:vertAlign w:val="superscript"/>
        </w:rPr>
        <w:footnoteReference w:id="27"/>
      </w:r>
      <w:r>
        <w:rPr>
          <w:shd w:val="clear" w:color="auto" w:fill="FFFFFF"/>
        </w:rPr>
        <w:t xml:space="preserve"> – </w:t>
      </w:r>
      <w:r w:rsidR="00304D50">
        <w:rPr>
          <w:shd w:val="clear" w:color="auto" w:fill="FFFFFF"/>
        </w:rPr>
        <w:t>e</w:t>
      </w:r>
      <w:r>
        <w:rPr>
          <w:shd w:val="clear" w:color="auto" w:fill="FFFFFF"/>
        </w:rPr>
        <w:t>vropské inovační partnerství v oblasti zemědělské produktivity a udržitelnosti. Hlavními cíli sítě EIP je propojit operační skupiny EIP, usnadnit výměnu poznatků, odborných vědomostí a osvědčených postupů a zahájit dialog mezi zemědělskou a výzkumnou obcí. Síť EIP-AGRI řídí Evropská komise (GŘ pro zemědělství a rozvoj venkova) za pomoci střediska služeb. Středisko služeb napomáhá činnostem při vytváření sítí, podporuje komunikaci, sdílení a výměnu poznatků prostřednictvím konferencí, tematicky zaměřených skupin, pracovních setkání, seminářů a publikací. Prvořadým cílem je podněcovat interakci mezi všemi aktéry zapojenými v síti EIP-AGRI: zemědělci, výzkumnými pracovníky, poradci, nevládními organizacemi, podniky, orgány veřejné správy atd. Funkce vytváření sítí podporuje interaktivní internetová platforma EIP. Umožňuje propojení všech zúčastněných stran v oblasti inovací, konkrétně operačních skupin, poradenských služeb, výzkumných pracovníků, zemědělců a dalších zúčastněných stran zapojených do procesu výměny poznatků</w:t>
      </w:r>
      <w:r>
        <w:t>.</w:t>
      </w:r>
    </w:p>
    <w:p w:rsidR="00EA0974" w:rsidRDefault="00A45935" w:rsidP="001744D0">
      <w:pPr>
        <w:pStyle w:val="Hlistbullet"/>
        <w:rPr>
          <w:shd w:val="clear" w:color="auto" w:fill="FFFFFF"/>
        </w:rPr>
      </w:pPr>
      <w:r>
        <w:rPr>
          <w:b/>
          <w:shd w:val="clear" w:color="auto" w:fill="FFFFFF"/>
        </w:rPr>
        <w:t>Celostátní sítě pro venkov</w:t>
      </w:r>
      <w:r>
        <w:rPr>
          <w:shd w:val="clear" w:color="auto" w:fill="FFFFFF"/>
        </w:rPr>
        <w:t xml:space="preserve"> podporují inovace v zemědělství, produkci potravin, lesnictví a venkovských oblastech</w:t>
      </w:r>
      <w:r>
        <w:rPr>
          <w:rFonts w:cs="Arial"/>
          <w:vertAlign w:val="superscript"/>
        </w:rPr>
        <w:footnoteReference w:id="28"/>
      </w:r>
      <w:r>
        <w:rPr>
          <w:shd w:val="clear" w:color="auto" w:fill="FFFFFF"/>
        </w:rPr>
        <w:t>. Na úrovni EU je podporuje Evropská síť pro rozvoj venkova. Celostátní sítě pro venkov mohou působit jako „zprostředkovatelé inovací“</w:t>
      </w:r>
      <w:r>
        <w:rPr>
          <w:rFonts w:cs="Arial"/>
          <w:shd w:val="clear" w:color="auto" w:fill="FFFFFF"/>
          <w:vertAlign w:val="superscript"/>
        </w:rPr>
        <w:footnoteReference w:id="29"/>
      </w:r>
      <w:r>
        <w:rPr>
          <w:shd w:val="clear" w:color="auto" w:fill="FFFFFF"/>
        </w:rPr>
        <w:t>, což vyžaduje hluboké</w:t>
      </w:r>
      <w:r>
        <w:t xml:space="preserve"> propojení se zemědělským prostředím a jeho důkladné pochopení a také vysoce rozvinuté komunikační dovednosti. </w:t>
      </w:r>
      <w:r>
        <w:rPr>
          <w:shd w:val="clear" w:color="auto" w:fill="FFFFFF"/>
        </w:rPr>
        <w:t>CSV interagují se sítí EIP s cílem čerpat inspiraci a vyměňovat si informace a přístupy k podnícení inovací. Kromě shromažďování osvědčených postupů a příkladů a usnadňování tematických výměn mezi zúčastněnými stranami podílejícími se na rozvoji venkova plní také zvláštní úkol vytvářet sítě služeb na podporu inovací a poradenských služeb</w:t>
      </w:r>
      <w:r>
        <w:rPr>
          <w:rFonts w:eastAsia="Calibri" w:cs="Arial"/>
          <w:shd w:val="clear" w:color="auto" w:fill="FFFFFF"/>
          <w:vertAlign w:val="superscript"/>
        </w:rPr>
        <w:footnoteReference w:id="30"/>
      </w:r>
      <w:r>
        <w:rPr>
          <w:shd w:val="clear" w:color="auto" w:fill="FFFFFF"/>
        </w:rPr>
        <w:t>. To pomáhá zachycovat inovativní nápady odborníků v praxi.</w:t>
      </w:r>
    </w:p>
    <w:p w:rsidR="00A45935" w:rsidRPr="00EA0974" w:rsidRDefault="00A45935" w:rsidP="009B603C">
      <w:pPr>
        <w:pStyle w:val="HHeading3"/>
        <w:spacing w:line="280" w:lineRule="exact"/>
        <w:rPr>
          <w:shd w:val="clear" w:color="auto" w:fill="FFFFFF"/>
        </w:rPr>
      </w:pPr>
      <w:bookmarkStart w:id="24" w:name="_Toc508607829"/>
      <w:r>
        <w:t>Společné prvky hodnocení inovací</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Výchozím bodem pro hodnocení je plán hodnocení</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který je součástí programu rozvoje venkova. </w:t>
      </w:r>
      <w:r>
        <w:rPr>
          <w:szCs w:val="20"/>
          <w:shd w:val="clear" w:color="auto" w:fill="FFFFFF"/>
        </w:rPr>
        <w:t>Plán hodnocení staví posuzování inovací mezi ta témata a činnosti hodnocení,</w:t>
      </w:r>
      <w:r>
        <w:rPr>
          <w:b/>
          <w:szCs w:val="20"/>
          <w:shd w:val="clear" w:color="auto" w:fill="FFFFFF"/>
        </w:rPr>
        <w:t xml:space="preserve"> </w:t>
      </w:r>
      <w:r>
        <w:rPr>
          <w:szCs w:val="20"/>
          <w:shd w:val="clear" w:color="auto" w:fill="FFFFFF"/>
        </w:rPr>
        <w:t>které jsou propojeny s průřezovými otázkami. Podávání zpráv o těchto souvisejících činnostech a poznatcích je zahrnuto do výročních zpráv o provádění</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Společný systém monitorování a hodnocení</w:t>
      </w:r>
      <w:r>
        <w:rPr>
          <w:szCs w:val="20"/>
          <w:shd w:val="clear" w:color="auto" w:fill="FFFFFF"/>
        </w:rPr>
        <w:t xml:space="preserve"> obsahuje prvky hodnocení pro posuzování inovací, a sice společné hodnotící otázky, hodnotící kritéria a ukazatele:</w:t>
      </w:r>
    </w:p>
    <w:p w:rsidR="00A45935" w:rsidRPr="002E1723" w:rsidRDefault="00A45935" w:rsidP="00624393">
      <w:pPr>
        <w:pStyle w:val="HStandard"/>
      </w:pPr>
      <w:r>
        <w:t xml:space="preserve">Na </w:t>
      </w:r>
      <w:r>
        <w:rPr>
          <w:b/>
        </w:rPr>
        <w:t>úrovni prioritních oblastí</w:t>
      </w:r>
      <w:r>
        <w:t xml:space="preserve"> existují dvě společné hodnotící otázky týkající se inovací, propojené s cíli prioritní oblasti 1A a prioritní oblasti 1B. Tyto otázky zachycují přispění intervencí, pokud jde o očekávané výstupy a výsledky:</w:t>
      </w:r>
    </w:p>
    <w:p w:rsidR="00A45935" w:rsidRPr="00EA0974" w:rsidRDefault="00A45935" w:rsidP="00024983">
      <w:pPr>
        <w:pStyle w:val="Hlistbullet"/>
      </w:pPr>
      <w:r>
        <w:t xml:space="preserve">Společná hodnotící otázka </w:t>
      </w:r>
      <w:r w:rsidR="00024983">
        <w:t>(</w:t>
      </w:r>
      <w:r w:rsidR="00024983" w:rsidRPr="00024983">
        <w:t xml:space="preserve">v grafech jen SHO) </w:t>
      </w:r>
      <w:r>
        <w:t xml:space="preserve">č. 1: „Do jaké míry podpořily intervence programu rozvoje venkova inovace, spolupráci a rozvoj znalostní základny ve venkovských oblastech?“ </w:t>
      </w:r>
    </w:p>
    <w:p w:rsidR="00A45935" w:rsidRPr="002E1723" w:rsidRDefault="00A45935" w:rsidP="00624393">
      <w:pPr>
        <w:pStyle w:val="Hlistbullet"/>
      </w:pPr>
      <w:r>
        <w:t xml:space="preserve">Společná hodnotící otázka č. 2: „Do jaké míry podpořily intervence programu rozvoje venkova posílení vazeb mezi zemědělstvím, produkcí potravin a lesnictvím a výzkumem a inovacemi, mimo jiné za účelem zlepšeného řízení v oblasti životního prostředí a environmentálního profilu?“ </w:t>
      </w:r>
    </w:p>
    <w:p w:rsidR="00A45935" w:rsidRPr="002E1723" w:rsidRDefault="00A45935" w:rsidP="00624393">
      <w:pPr>
        <w:pStyle w:val="HStandard"/>
      </w:pPr>
      <w:r>
        <w:lastRenderedPageBreak/>
        <w:t>Společná hodnotící otázka č. 2</w:t>
      </w:r>
      <w:r w:rsidR="00547CD7">
        <w:t>1</w:t>
      </w:r>
      <w:r>
        <w:t xml:space="preserve">: „Do jaké míry přispěla celostátní síť pro venkov k dosažení cílů stanovených v čl. 54 odst. 2 nařízení (EU) č. 1305/2013?“ se týká </w:t>
      </w:r>
      <w:r>
        <w:rPr>
          <w:b/>
        </w:rPr>
        <w:t>jiných aspektů PRV,</w:t>
      </w:r>
      <w:r>
        <w:t xml:space="preserve"> konkrétně zachycení očekávaných výstupů a výsledků, jichž dosáhly CSV. Tato společná hodnotící otázka je pro inovace relevantní, protože se týká cíle uvedeného v čl. 54 odst. 2 písm. d) „podpořit inovace v zemědělství, produkci potravin, lesnictví a venkovských oblastech“.</w:t>
      </w:r>
    </w:p>
    <w:p w:rsidR="00A45935" w:rsidRPr="001A2A93" w:rsidRDefault="00A45935" w:rsidP="00624393">
      <w:pPr>
        <w:pStyle w:val="HStandard"/>
      </w:pPr>
      <w:r>
        <w:t xml:space="preserve">Na </w:t>
      </w:r>
      <w:r>
        <w:rPr>
          <w:b/>
        </w:rPr>
        <w:t>úrovni cílů EU</w:t>
      </w:r>
      <w:r>
        <w:t xml:space="preserve"> existují dvě společné hodnotící otázky týkající se inovací, jež mají zachytit přispění programů, pokud jde o jejich očekávané dopady. </w:t>
      </w:r>
    </w:p>
    <w:p w:rsidR="00A45935" w:rsidRPr="001A2A93" w:rsidRDefault="00A45935" w:rsidP="00624393">
      <w:pPr>
        <w:pStyle w:val="Hlistbullet"/>
      </w:pPr>
      <w:r>
        <w:t xml:space="preserve">Společná hodnotící otázka č. 23 se týká dosažení hlavního cíle EU: „Do jaké míry přispěl program rozvoje venkova k plnění hlavního cíle strategie Evropa 2020 týkajícího se investic do výzkumu, vývoje a inovací ve výši 3 % HDP EU?“ </w:t>
      </w:r>
    </w:p>
    <w:p w:rsidR="00A45935" w:rsidRPr="001A2A93" w:rsidRDefault="00A45935" w:rsidP="00624393">
      <w:pPr>
        <w:pStyle w:val="Hlistbullet"/>
      </w:pPr>
      <w:r>
        <w:t xml:space="preserve">Společná hodnotící otázka č. 30 posuzuje inovace jako průřezový cíl: „Do jaké míry přispěl program rozvoje venkova k podpoře inovací?“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Na následujícím grafu je ukázáno, jak společné prvky hodnocení (společné hodnotící otázky, hodnotící kritéria a ukazatele) souvisejí s politickým rámcem na různých úrovních. Existuje sedm </w:t>
      </w:r>
      <w:r>
        <w:rPr>
          <w:b/>
          <w:szCs w:val="20"/>
          <w:shd w:val="clear" w:color="auto" w:fill="FFFFFF"/>
        </w:rPr>
        <w:t>společných ukazatelů</w:t>
      </w:r>
      <w:r>
        <w:rPr>
          <w:szCs w:val="20"/>
          <w:shd w:val="clear" w:color="auto" w:fill="FFFFFF"/>
        </w:rPr>
        <w:t xml:space="preserve"> spojených se společnými hodnotícími otázkami pro hodnocení inovací: 5 ukazatelů výstupů a 2 ukazatele výsledků</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EA0974" w:rsidP="00230C31">
      <w:pPr>
        <w:pStyle w:val="HHeadingfigures"/>
      </w:pPr>
      <w:bookmarkStart w:id="25" w:name="_Toc508703630"/>
      <w:r>
        <w:t>Společné prvky hodnocení pro hodnocení inovací</w:t>
      </w:r>
      <w:bookmarkEnd w:id="25"/>
      <w:r>
        <w:t xml:space="preserve"> </w:t>
      </w:r>
    </w:p>
    <w:p w:rsidR="00A45935" w:rsidRPr="00E05D08" w:rsidRDefault="00D5760C" w:rsidP="00E05D08">
      <w:pPr>
        <w:spacing w:before="60" w:after="140" w:line="220" w:lineRule="atLeast"/>
        <w:jc w:val="center"/>
        <w:rPr>
          <w:rFonts w:eastAsia="Times New Roman" w:cs="Arial"/>
          <w:szCs w:val="20"/>
          <w:shd w:val="clear" w:color="auto" w:fill="FFFFFF"/>
          <w:lang w:eastAsia="de-DE"/>
        </w:rPr>
      </w:pPr>
      <w:r w:rsidRPr="00D5760C">
        <w:rPr>
          <w:noProof/>
          <w:lang w:val="en-GB" w:eastAsia="en-GB"/>
        </w:rPr>
        <w:drawing>
          <wp:inline distT="0" distB="0" distL="0" distR="0" wp14:anchorId="025BAB38" wp14:editId="11C43E34">
            <wp:extent cx="5731510" cy="3351791"/>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351791"/>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Zdroj: evropská asistenční služba pro účely hodnocení politiky rozvoje venkova, 2017.</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607830"/>
      <w:r>
        <w:lastRenderedPageBreak/>
        <w:t>Problémy při hodnocení inovací</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Existují některé problémy, které je třeba vzít v úvahu při hodnocení inovací v rámci PRV.</w:t>
      </w:r>
    </w:p>
    <w:p w:rsidR="00A45935" w:rsidRPr="00E05D08" w:rsidRDefault="00A45935" w:rsidP="00230C31">
      <w:pPr>
        <w:pStyle w:val="HHeading4"/>
        <w:rPr>
          <w:rFonts w:eastAsia="Calibri"/>
        </w:rPr>
      </w:pPr>
      <w:r>
        <w:t xml:space="preserve">Koncepční výzvy </w:t>
      </w:r>
    </w:p>
    <w:p w:rsidR="00A45935" w:rsidRPr="00920CB9" w:rsidRDefault="00A45935" w:rsidP="00576A73">
      <w:pPr>
        <w:pStyle w:val="Hlistbullet"/>
      </w:pPr>
      <w:r>
        <w:rPr>
          <w:b/>
        </w:rPr>
        <w:t>Jasné vymezení předmětu hodnocení:</w:t>
      </w:r>
      <w:r>
        <w:t xml:space="preserve"> </w:t>
      </w:r>
      <w:r w:rsidR="003529B7">
        <w:t>n</w:t>
      </w:r>
      <w:r>
        <w:t xml:space="preserve">a co se hodnocení inovací zaměřuje? </w:t>
      </w:r>
    </w:p>
    <w:p w:rsidR="00A45935" w:rsidRPr="00920CB9" w:rsidRDefault="00A45935" w:rsidP="00576A73">
      <w:pPr>
        <w:pStyle w:val="Hlistbullet"/>
      </w:pPr>
      <w:r>
        <w:rPr>
          <w:b/>
        </w:rPr>
        <w:t>Zmapování znalostního a inovačního systému</w:t>
      </w:r>
      <w:r>
        <w:t xml:space="preserve">: </w:t>
      </w:r>
      <w:r w:rsidR="003529B7">
        <w:t>j</w:t>
      </w:r>
      <w:r>
        <w:t>aké jsou jeho složky, jejich vzájemné vztahy a hranice daného znalostního a inovačního systému ve venkovské oblasti, která se posuzuje? Jaká je úloha PRV v rámci tohoto systému?</w:t>
      </w:r>
      <w:r>
        <w:rPr>
          <w:rFonts w:cs="Arial"/>
          <w:vertAlign w:val="superscript"/>
        </w:rPr>
        <w:footnoteReference w:id="34"/>
      </w:r>
    </w:p>
    <w:p w:rsidR="00A45935" w:rsidRPr="00920CB9" w:rsidRDefault="00A45935" w:rsidP="00576A73">
      <w:pPr>
        <w:pStyle w:val="Hlistbullet"/>
      </w:pPr>
      <w:r>
        <w:rPr>
          <w:b/>
        </w:rPr>
        <w:t>Přezkoumání přístupu PRV k inovacím</w:t>
      </w:r>
      <w:r>
        <w:t xml:space="preserve">: </w:t>
      </w:r>
      <w:r w:rsidR="003529B7">
        <w:t>j</w:t>
      </w:r>
      <w:r>
        <w:t>aký je specifický inovační potenciál daného PRV? Jaké jsou jeho cíle? Jsou kritéria výběru zvlášť navržena k řešení inovací?</w:t>
      </w:r>
    </w:p>
    <w:p w:rsidR="00A45935" w:rsidRPr="00B76BA4" w:rsidRDefault="00A45935" w:rsidP="00230C31">
      <w:pPr>
        <w:pStyle w:val="HHeading4"/>
        <w:rPr>
          <w:rFonts w:eastAsia="Calibri"/>
          <w:shd w:val="clear" w:color="auto" w:fill="FFFFFF"/>
        </w:rPr>
      </w:pPr>
      <w:r>
        <w:rPr>
          <w:shd w:val="clear" w:color="auto" w:fill="FFFFFF"/>
        </w:rPr>
        <w:t xml:space="preserve">Výzvy spojené se společným systémem monitorování a hodnocení </w:t>
      </w:r>
    </w:p>
    <w:p w:rsidR="00A45935" w:rsidRPr="000324A5" w:rsidRDefault="00A45935" w:rsidP="00576A73">
      <w:pPr>
        <w:pStyle w:val="Hlistbullet"/>
      </w:pPr>
      <w:r>
        <w:rPr>
          <w:b/>
        </w:rPr>
        <w:t xml:space="preserve">Vypracování dodatečných prvků hodnocení a prvků hodnocení týkajících se specifického programu: </w:t>
      </w:r>
      <w:r>
        <w:t>jak navrhnout doda</w:t>
      </w:r>
      <w:r w:rsidR="00733F60">
        <w:t>tečné prvky hodnocení</w:t>
      </w:r>
      <w:r>
        <w:t xml:space="preserve"> a prvky hodnocení týkající se specifického programu pro hodnocení inovací? </w:t>
      </w:r>
    </w:p>
    <w:p w:rsidR="00A45935" w:rsidRPr="000324A5" w:rsidRDefault="00A45935" w:rsidP="00576A73">
      <w:pPr>
        <w:pStyle w:val="Hlistbullet"/>
        <w:rPr>
          <w:b/>
        </w:rPr>
      </w:pPr>
      <w:r>
        <w:rPr>
          <w:b/>
        </w:rPr>
        <w:t xml:space="preserve">Vykazování výsledků: </w:t>
      </w:r>
      <w:r>
        <w:t xml:space="preserve">jak sladit postupy hodnocení s časovým rámcem výroční zprávy o provádění v roce 2019 a s hodnocením </w:t>
      </w:r>
      <w:r>
        <w:rPr>
          <w:i/>
        </w:rPr>
        <w:t>ex post</w:t>
      </w:r>
      <w:r>
        <w:t xml:space="preserve"> v roce 2024?</w:t>
      </w:r>
    </w:p>
    <w:p w:rsidR="00A45935" w:rsidRPr="00E05D08" w:rsidRDefault="00A45935" w:rsidP="00230C31">
      <w:pPr>
        <w:pStyle w:val="HHeading4"/>
        <w:rPr>
          <w:rFonts w:eastAsia="Calibri"/>
          <w:shd w:val="clear" w:color="auto" w:fill="FFFFFF"/>
        </w:rPr>
      </w:pPr>
      <w:r>
        <w:rPr>
          <w:shd w:val="clear" w:color="auto" w:fill="FFFFFF"/>
        </w:rPr>
        <w:t xml:space="preserve">Metodické problémy </w:t>
      </w:r>
    </w:p>
    <w:p w:rsidR="00A45935" w:rsidRPr="00F8743F" w:rsidRDefault="00A45935" w:rsidP="00576A73">
      <w:pPr>
        <w:pStyle w:val="Hlistbullet"/>
        <w:rPr>
          <w:shd w:val="clear" w:color="auto" w:fill="FFFFFF"/>
        </w:rPr>
      </w:pPr>
      <w:r>
        <w:rPr>
          <w:b/>
        </w:rPr>
        <w:t>Přiřazování</w:t>
      </w:r>
      <w:r>
        <w:rPr>
          <w:b/>
          <w:shd w:val="clear" w:color="auto" w:fill="FFFFFF"/>
        </w:rPr>
        <w:t xml:space="preserve"> inovativních procesů k intervencím PRV</w:t>
      </w:r>
      <w:r>
        <w:rPr>
          <w:shd w:val="clear" w:color="auto" w:fill="FFFFFF"/>
        </w:rPr>
        <w:t xml:space="preserve">: jak měřit rozsah, v jakém lze inovační procesy vytvořené ve venkovských oblastech přímo či nepřímo přisoudit intervencím PRV? </w:t>
      </w:r>
    </w:p>
    <w:p w:rsidR="00A45935" w:rsidRPr="00F8743F" w:rsidRDefault="00A45935" w:rsidP="00576A73">
      <w:pPr>
        <w:pStyle w:val="Hlistbullet"/>
        <w:rPr>
          <w:shd w:val="clear" w:color="auto" w:fill="FFFFFF"/>
        </w:rPr>
      </w:pPr>
      <w:r>
        <w:rPr>
          <w:b/>
        </w:rPr>
        <w:t>Přiřazování účinků inovací k výsledkům a dopadům PRV</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Navrhování přiměřených</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přístupů k hodnocení:</w:t>
      </w:r>
      <w:r>
        <w:rPr>
          <w:shd w:val="clear" w:color="auto" w:fill="FFFFFF"/>
          <w14:textFill>
            <w14:solidFill>
              <w14:srgbClr w14:val="373737">
                <w14:lumMod w14:val="75000"/>
                <w14:lumMod w14:val="75000"/>
                <w14:lumMod w14:val="75000"/>
              </w14:srgbClr>
            </w14:solidFill>
          </w14:textFill>
        </w:rPr>
        <w:t xml:space="preserve"> jak vymezit a namixovat kvantitativní a kvalitativní metody, aby bylo možné interpretovat zjištění hodnocení a podložit závěry a doporučení? </w:t>
      </w:r>
    </w:p>
    <w:p w:rsidR="00A45935" w:rsidRPr="00E05D08" w:rsidRDefault="00A45935" w:rsidP="00230C31">
      <w:pPr>
        <w:pStyle w:val="HHeading4"/>
        <w:rPr>
          <w:rFonts w:eastAsia="Calibri"/>
          <w:shd w:val="clear" w:color="auto" w:fill="FFFFFF"/>
        </w:rPr>
      </w:pPr>
      <w:r>
        <w:rPr>
          <w:shd w:val="clear" w:color="auto" w:fill="FFFFFF"/>
        </w:rPr>
        <w:t>Organizační výzvy</w:t>
      </w:r>
    </w:p>
    <w:p w:rsidR="00A45935" w:rsidRPr="00D55226" w:rsidRDefault="00A45935" w:rsidP="00576A73">
      <w:pPr>
        <w:pStyle w:val="Hlistbullet"/>
        <w:rPr>
          <w:rFonts w:eastAsia="Calibri"/>
        </w:rPr>
      </w:pPr>
      <w:r>
        <w:rPr>
          <w:b/>
        </w:rPr>
        <w:t>Zajištění účinné a efektivní správy údajů</w:t>
      </w:r>
      <w:r>
        <w:t xml:space="preserve">: jak spravovat, shromažďovat a analyzovat údaje týkající se společných a dodatečných ukazatelů, zejména když řízení opatření na podporu inovací přesahuje působnost příslušných odpovědných subjektů? </w:t>
      </w:r>
    </w:p>
    <w:p w:rsidR="00A45935" w:rsidRPr="00D55226" w:rsidRDefault="00A45935" w:rsidP="00576A73">
      <w:pPr>
        <w:pStyle w:val="Hlistbullet"/>
        <w:rPr>
          <w:rFonts w:eastAsia="Calibri"/>
        </w:rPr>
      </w:pPr>
      <w:r>
        <w:rPr>
          <w:b/>
        </w:rPr>
        <w:t>Koordinace zapojených zúčastněných stran:</w:t>
      </w:r>
      <w:r>
        <w:t xml:space="preserve"> jak zřídit společný postup a dosáhnout společného porozumění mezi řídícími orgány a v rámci různých zúčastněných stran zapojených do hodnocení inovací (např. místních akčních skupin, operačních skupin EIP, zemědělských/lesnických poradců, výzkumných pracovníků)?</w:t>
      </w:r>
    </w:p>
    <w:p w:rsidR="00A45935" w:rsidRDefault="00A45935" w:rsidP="00576A73">
      <w:pPr>
        <w:pStyle w:val="Hlistbullet"/>
        <w:rPr>
          <w:rFonts w:eastAsia="Calibri"/>
        </w:rPr>
      </w:pPr>
      <w:r>
        <w:rPr>
          <w:b/>
        </w:rPr>
        <w:t>Využití zjištění hodnocení ke zlepšení návrhu a provádění politiky</w:t>
      </w:r>
      <w:r>
        <w:t>: jak na základě zjištění hodnocení navrhnout následné závěry a doporučení zaměřené na zlepšení programu PRV, jeho transparentnosti, odpovědnosti a vzájemného učení zúčastněných stran PRV?</w:t>
      </w:r>
    </w:p>
    <w:p w:rsidR="00230C31" w:rsidRDefault="00230C31" w:rsidP="00626C0C">
      <w:pPr>
        <w:pStyle w:val="HHeading1"/>
        <w:tabs>
          <w:tab w:val="clear" w:pos="567"/>
        </w:tabs>
      </w:pPr>
      <w:bookmarkStart w:id="79" w:name="_Toc508607831"/>
      <w:r>
        <w:lastRenderedPageBreak/>
        <w:t>Jak hodnotit inovace v rámci PRV</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607832"/>
      <w:bookmarkStart w:id="85" w:name="_Toc493151899"/>
      <w:bookmarkStart w:id="86" w:name="_Toc501382126"/>
      <w:bookmarkEnd w:id="80"/>
      <w:bookmarkEnd w:id="81"/>
      <w:bookmarkEnd w:id="82"/>
      <w:bookmarkEnd w:id="83"/>
      <w:r>
        <w:t>Navrhovaný přístup k hodnocení inovací v rámci PRV 2014–2020 (přehled)</w:t>
      </w:r>
      <w:bookmarkEnd w:id="84"/>
    </w:p>
    <w:bookmarkEnd w:id="85"/>
    <w:bookmarkEnd w:id="86"/>
    <w:p w:rsidR="00A45935" w:rsidRDefault="00A45935" w:rsidP="00946806">
      <w:pPr>
        <w:pStyle w:val="HHeading4"/>
      </w:pPr>
      <w:r>
        <w:t>Řízení hodnocení inovací</w:t>
      </w:r>
    </w:p>
    <w:p w:rsidR="00A45935" w:rsidRPr="00E05D08" w:rsidRDefault="00A45935" w:rsidP="00E05D08">
      <w:pPr>
        <w:spacing w:after="120" w:line="280" w:lineRule="atLeast"/>
        <w:mirrorIndents/>
        <w:rPr>
          <w:rFonts w:eastAsia="Times New Roman" w:cs="Times New Roman"/>
          <w:szCs w:val="20"/>
        </w:rPr>
      </w:pPr>
      <w:r>
        <w:rPr>
          <w:b/>
          <w:szCs w:val="20"/>
        </w:rPr>
        <w:t>Hodnocení inovací a zodpovězení hodnotících otázek týkajících se inovací jsou součástí hodnocení PRV.</w:t>
      </w:r>
      <w:r>
        <w:t xml:space="preserve"> </w:t>
      </w:r>
      <w:r>
        <w:rPr>
          <w:szCs w:val="20"/>
          <w:shd w:val="clear" w:color="auto" w:fill="FFFFFF"/>
        </w:rPr>
        <w:t>Proto jsou zpravidla řízeny spolu s ostatními hodnotícími činnostmi PRV</w:t>
      </w:r>
      <w:r>
        <w:rPr>
          <w:rFonts w:eastAsia="Calibri" w:cs="Times New Roman"/>
          <w:szCs w:val="20"/>
          <w:shd w:val="clear" w:color="auto" w:fill="FFFFFF"/>
          <w:vertAlign w:val="superscript"/>
          <w:lang w:eastAsia="de-DE"/>
        </w:rPr>
        <w:footnoteReference w:id="35"/>
      </w:r>
      <w:r>
        <w:rPr>
          <w:szCs w:val="20"/>
          <w:shd w:val="clear" w:color="auto" w:fill="FFFFFF"/>
        </w:rPr>
        <w:t>. Přehled tohoto procesu je podán na následujícím grafu.</w:t>
      </w:r>
      <w:r>
        <w:t xml:space="preserve"> </w:t>
      </w:r>
    </w:p>
    <w:p w:rsidR="00A45935" w:rsidRPr="00E05D08" w:rsidRDefault="00A45935" w:rsidP="00E05D08">
      <w:pPr>
        <w:spacing w:after="120" w:line="280" w:lineRule="atLeast"/>
        <w:mirrorIndents/>
        <w:rPr>
          <w:rFonts w:eastAsia="Times New Roman" w:cs="Times New Roman"/>
          <w:szCs w:val="20"/>
        </w:rPr>
      </w:pPr>
      <w:r>
        <w:t xml:space="preserve">Příprava, strukturování a provádění hodnocení inovací jsou podrobně popsány v oddílech 2.2 až 2.4. </w:t>
      </w:r>
    </w:p>
    <w:p w:rsidR="00A45935" w:rsidRPr="0018705F" w:rsidRDefault="00A45935" w:rsidP="00B421B9">
      <w:pPr>
        <w:pStyle w:val="HHeadingfigures"/>
      </w:pPr>
      <w:bookmarkStart w:id="87" w:name="_Toc508703631"/>
      <w:r>
        <w:t>Řízení hodnocení inovací v rámci PRV 2014–2020</w:t>
      </w:r>
      <w:bookmarkEnd w:id="87"/>
    </w:p>
    <w:p w:rsidR="00A45935" w:rsidRPr="00E05D08" w:rsidRDefault="00D5760C" w:rsidP="00E05D08">
      <w:pPr>
        <w:spacing w:after="120" w:line="280" w:lineRule="atLeast"/>
        <w:mirrorIndents/>
        <w:jc w:val="center"/>
        <w:rPr>
          <w:rFonts w:eastAsia="Times New Roman" w:cs="Times New Roman"/>
          <w:szCs w:val="20"/>
        </w:rPr>
      </w:pPr>
      <w:r w:rsidRPr="00D5760C">
        <w:rPr>
          <w:noProof/>
          <w:lang w:val="en-GB" w:eastAsia="en-GB"/>
        </w:rPr>
        <w:drawing>
          <wp:inline distT="0" distB="0" distL="0" distR="0" wp14:anchorId="152FD266" wp14:editId="66A7615A">
            <wp:extent cx="5731510" cy="4070100"/>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70100"/>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Zdroj: evropská asistenční služba pro účely hodnocení politiky rozvoje venkova,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Podávání zpráv o hodnocení inovací</w:t>
      </w:r>
    </w:p>
    <w:p w:rsidR="00A45935" w:rsidRPr="00E05D08" w:rsidRDefault="00A45935" w:rsidP="00E05D08">
      <w:pPr>
        <w:spacing w:after="120" w:line="280" w:lineRule="atLeast"/>
        <w:mirrorIndents/>
        <w:rPr>
          <w:rFonts w:eastAsia="Times New Roman" w:cs="Times New Roman"/>
          <w:szCs w:val="20"/>
        </w:rPr>
      </w:pPr>
      <w:r>
        <w:t xml:space="preserve">Za </w:t>
      </w:r>
      <w:r>
        <w:rPr>
          <w:b/>
          <w:szCs w:val="20"/>
        </w:rPr>
        <w:t>podávání zpráv Evropské komisi o zjištěních hodnocení jsou odpovědné</w:t>
      </w:r>
      <w:r>
        <w:rPr>
          <w:b/>
          <w:szCs w:val="20"/>
          <w:shd w:val="clear" w:color="auto" w:fill="FFFFFF"/>
        </w:rPr>
        <w:t xml:space="preserve"> </w:t>
      </w:r>
      <w:r>
        <w:rPr>
          <w:b/>
          <w:szCs w:val="20"/>
        </w:rPr>
        <w:t>řídící orgány</w:t>
      </w:r>
      <w:r>
        <w:rPr>
          <w:rFonts w:eastAsia="Times New Roman" w:cs="Times New Roman"/>
          <w:szCs w:val="20"/>
          <w:vertAlign w:val="superscript"/>
          <w:lang w:eastAsia="de-DE"/>
        </w:rPr>
        <w:footnoteReference w:id="36"/>
      </w:r>
      <w:r>
        <w:t xml:space="preserve">. Graf 5 ukazuje, v rámci kterých společných hodnotících otázek lze zjištění hodnocení týkající se inovací uvést ve výročních zprávách o provádění v letech 2017, 2019 a ve zprávě o hodnocení </w:t>
      </w:r>
      <w:r>
        <w:rPr>
          <w:i/>
          <w:szCs w:val="20"/>
        </w:rPr>
        <w:t>ex post</w:t>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 xml:space="preserve">Významná zjištění hodnocení týkající se inovací lze očekávat ve výročních zprávách o provádění v roce 2019 a ve zprávě o hodnocení </w:t>
      </w:r>
      <w:r>
        <w:rPr>
          <w:b/>
          <w:i/>
          <w:szCs w:val="20"/>
        </w:rPr>
        <w:t>ex post</w:t>
      </w:r>
      <w:r>
        <w:rPr>
          <w:b/>
          <w:szCs w:val="20"/>
        </w:rPr>
        <w:t>.</w:t>
      </w:r>
      <w:r>
        <w:t xml:space="preserve"> Jelikož podpora inovací je chápána jako proces, je</w:t>
      </w:r>
      <w:r w:rsidR="00C64C2E">
        <w:t>jí</w:t>
      </w:r>
      <w:r>
        <w:t xml:space="preserve"> výsledky je obtížné sledovat v raných fázích provádění programů.</w:t>
      </w:r>
    </w:p>
    <w:p w:rsidR="00A45935" w:rsidRPr="006B72BF" w:rsidRDefault="00533971" w:rsidP="008D178A">
      <w:pPr>
        <w:pStyle w:val="HHeadingfigures"/>
      </w:pPr>
      <w:bookmarkStart w:id="88" w:name="_Toc508703632"/>
      <w:r>
        <w:t>Požadavky týkající se podávání zpráv v souvislosti s inovacemi</w:t>
      </w:r>
      <w:bookmarkEnd w:id="88"/>
    </w:p>
    <w:p w:rsidR="00A45935" w:rsidRPr="00E05D08" w:rsidRDefault="00D5760C" w:rsidP="00E05D08">
      <w:pPr>
        <w:spacing w:after="120" w:line="280" w:lineRule="atLeast"/>
        <w:mirrorIndents/>
        <w:jc w:val="center"/>
        <w:rPr>
          <w:rFonts w:eastAsia="Times New Roman" w:cs="Times New Roman"/>
          <w:szCs w:val="20"/>
          <w:lang w:eastAsia="de-DE"/>
        </w:rPr>
      </w:pPr>
      <w:r w:rsidRPr="00D5760C">
        <w:rPr>
          <w:noProof/>
          <w:lang w:val="en-GB" w:eastAsia="en-GB"/>
        </w:rPr>
        <w:drawing>
          <wp:inline distT="0" distB="0" distL="0" distR="0" wp14:anchorId="7F269116" wp14:editId="059907F6">
            <wp:extent cx="5731510" cy="433666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336663"/>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Zdroj: evropská asistenční služba pro účely hodnocení politiky rozvoje venkova, 2017.</w:t>
      </w:r>
    </w:p>
    <w:p w:rsidR="00A45935" w:rsidRPr="00E05D08" w:rsidRDefault="00A45935" w:rsidP="001744D0">
      <w:r>
        <w:t>Tyto pokyny se proto zaměřují na to, jakým způsobem přistupovat k hodnocení inovací od roku 2019 a dále.</w:t>
      </w:r>
    </w:p>
    <w:p w:rsidR="00A45935" w:rsidRDefault="00A45935" w:rsidP="00804433">
      <w:pPr>
        <w:spacing w:after="120" w:line="280" w:lineRule="atLeast"/>
        <w:mirrorIndents/>
      </w:pPr>
      <w:r>
        <w:rPr>
          <w:b/>
          <w:szCs w:val="20"/>
        </w:rPr>
        <w:t>Jiné formáty vykazování</w:t>
      </w:r>
      <w:r>
        <w:t xml:space="preserve"> než ty, které jsou navrženy pro úroveň EU, by řídící orgán mohl použít k informování účastníků inovačního procesu, zúčastněných stran podílejících se na rozvoji venkova a širší veřejnosti o zjištěních hodnocení (viz též další pokyny</w:t>
      </w:r>
      <w:r>
        <w:rPr>
          <w:rFonts w:eastAsia="Times New Roman" w:cs="Times New Roman"/>
          <w:szCs w:val="20"/>
          <w:vertAlign w:val="superscript"/>
          <w:lang w:eastAsia="de-DE"/>
        </w:rPr>
        <w:footnoteReference w:id="37"/>
      </w:r>
      <w:r>
        <w:t xml:space="preserve">). Případně se některé členské státy mohou také rozhodnout, že provedou samostatné hodnocení inovací a vypracují zvláštní zprávy o hodnocení.  </w:t>
      </w:r>
    </w:p>
    <w:p w:rsidR="005716B0" w:rsidRDefault="005716B0" w:rsidP="00804433">
      <w:pPr>
        <w:spacing w:after="120" w:line="280" w:lineRule="atLeast"/>
        <w:mirrorIndents/>
        <w:rPr>
          <w:rFonts w:eastAsia="Times New Roman" w:cs="Times New Roman"/>
          <w:szCs w:val="20"/>
        </w:rPr>
      </w:pPr>
    </w:p>
    <w:p w:rsidR="00583AC8" w:rsidRDefault="00583AC8" w:rsidP="00804433">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eastAsia="de-DE"/>
        </w:rPr>
        <w:lastRenderedPageBreak/>
        <w:footnoteReference w:id="38"/>
      </w:r>
    </w:p>
    <w:p w:rsidR="00A45935" w:rsidRPr="00E05D08" w:rsidRDefault="00626C0C" w:rsidP="00804433">
      <w:pPr>
        <w:spacing w:after="120" w:line="280" w:lineRule="atLeast"/>
        <w:mirrorIndents/>
        <w:rPr>
          <w:rFonts w:eastAsia="Times New Roman" w:cs="Times New Roman"/>
          <w:szCs w:val="20"/>
        </w:rPr>
      </w:pPr>
      <w:r>
        <w:rPr>
          <w:noProof/>
          <w:lang w:val="en-GB" w:eastAsia="en-GB"/>
        </w:rPr>
        <mc:AlternateContent>
          <mc:Choice Requires="wps">
            <w:drawing>
              <wp:anchor distT="180340" distB="0" distL="114300" distR="114300" simplePos="0" relativeHeight="251707392" behindDoc="0" locked="0" layoutInCell="1" allowOverlap="1" wp14:anchorId="261C4C83" wp14:editId="233C7641">
                <wp:simplePos x="0" y="0"/>
                <wp:positionH relativeFrom="page">
                  <wp:posOffset>860156</wp:posOffset>
                </wp:positionH>
                <wp:positionV relativeFrom="page">
                  <wp:posOffset>705173</wp:posOffset>
                </wp:positionV>
                <wp:extent cx="5827363" cy="26193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619375"/>
                        </a:xfrm>
                        <a:prstGeom prst="round2DiagRect">
                          <a:avLst>
                            <a:gd name="adj1" fmla="val 8810"/>
                            <a:gd name="adj2" fmla="val 0"/>
                          </a:avLst>
                        </a:prstGeom>
                        <a:noFill/>
                        <a:ln w="25400" cap="flat" cmpd="sng" algn="ctr">
                          <a:solidFill>
                            <a:srgbClr val="F07E31"/>
                          </a:solidFill>
                          <a:prstDash val="solid"/>
                        </a:ln>
                        <a:effectLst/>
                      </wps:spPr>
                      <wps:txbx>
                        <w:txbxContent>
                          <w:p w:rsidR="005716B0" w:rsidRPr="00E05D08" w:rsidRDefault="005716B0"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Příklad: Průběžné hodnocení sítě EIP-AGRI ve Švédsku</w:t>
                            </w:r>
                          </w:p>
                          <w:p w:rsidR="005716B0" w:rsidRPr="00275EE5" w:rsidRDefault="005716B0" w:rsidP="00E05D08">
                            <w:pPr>
                              <w:pStyle w:val="HBox"/>
                            </w:pPr>
                            <w:r>
                              <w:rPr>
                                <w:bCs/>
                                <w14:textFill>
                                  <w14:solidFill>
                                    <w14:srgbClr w14:val="373737">
                                      <w14:lumMod w14:val="75000"/>
                                    </w14:srgbClr>
                                  </w14:solidFill>
                                </w14:textFill>
                              </w:rPr>
                              <w:t>Ve Švédsku se hodnocení inovací provádí v rámci hodnocení PRV a sestává z kvantitativní a kvalitativní složky hodnocení. Obě složky řídí sekretariát pro hodnocení</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Kvantitativní hodnocení má dle očekávání poskytnout zjištění až ve výroční zprávě o provádění, která má být předložena v roce 2019,</w:t>
                            </w:r>
                            <w:r>
                              <w:rPr>
                                <w:color w:val="292929"/>
                              </w:rPr>
                              <w:t xml:space="preserve"> a při hodnocení </w:t>
                            </w:r>
                            <w:r>
                              <w:rPr>
                                <w:i/>
                                <w:color w:val="292929"/>
                              </w:rPr>
                              <w:t>ex post</w:t>
                            </w:r>
                            <w:r>
                              <w:rPr>
                                <w:bCs/>
                                <w14:textFill>
                                  <w14:solidFill>
                                    <w14:srgbClr w14:val="373737">
                                      <w14:lumMod w14:val="75000"/>
                                    </w14:srgbClr>
                                  </w14:solidFill>
                                </w14:textFill>
                              </w:rPr>
                              <w:t xml:space="preserve">. Pro kvantitativní posouzení, které má být provedeno v roce 2017, byla opatření týkající se inovací přijímána dosud spíše v nízké míře. Kvalitativní hodnocení je koncipováno jako průběžné formativní hodnocení a zaměřuje se na provádění EIP-AGRI. Provádí ho akční výzkumný tým </w:t>
                            </w:r>
                            <w:r>
                              <w:rPr>
                                <w:bCs/>
                                <w14:textFill>
                                  <w14:solidFill>
                                    <w14:srgbClr w14:val="373737">
                                      <w14:lumMod w14:val="75000"/>
                                    </w14:srgbClr>
                                  </w14:solidFill>
                                </w14:textFill>
                              </w:rPr>
                              <w:t xml:space="preserve">z Univerzity v Umeå. Cílem tohoto průběžného hodnocení je získat trvalou zpětnou vazbu a doporučení pro řízení a provádění EIP-AGRI (opatření M16 PRV). Předpokládá se, že zjištění se budou získávat v průběhu celého programového období </w:t>
                            </w:r>
                            <w:r>
                              <w:rPr>
                                <w:color w:val="292929"/>
                              </w:rPr>
                              <w:t xml:space="preserve">a také pro výroční zprávy o provádění, jež mají být předloženy v roce 2017 a 2019, a pro hodnocení </w:t>
                            </w:r>
                            <w:r>
                              <w:rPr>
                                <w:i/>
                                <w:color w:val="292929"/>
                              </w:rPr>
                              <w:t>ex post</w:t>
                            </w:r>
                            <w:r>
                              <w:rPr>
                                <w:bCs/>
                                <w14:textFill>
                                  <w14:solidFill>
                                    <w14:srgbClr w14:val="373737">
                                      <w14:lumMod w14:val="75000"/>
                                    </w14:srgbClr>
                                  </w14:solidFill>
                                </w14:textFill>
                              </w:rPr>
                              <w:t>. Obě složky hodnocení provádějí nezávislí hodnotitelé, kteří jsou vybíráni prostřednictvím výběrového řízení v souladu se zákonem o zadávání veřejných zakázek.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75pt;margin-top:55.55pt;width:458.85pt;height:206.25pt;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" adj="-11796480,,5400" path="m230767,l5827363,r,l5827363,2388608v,127449,-103318,230767,-230767,230767l,2619375r,l,230767c,103318,103318,,230767,xe" filled="f" strokecolor="#f07e31" strokeweight="2pt">
                <v:stroke joinstyle="miter"/>
                <v:formulas/>
                <v:path arrowok="t" o:connecttype="custom" o:connectlocs="230767,0;5827363,0;5827363,0;5827363,2388608;5596596,2619375;0,2619375;0,2619375;0,230767;230767,0" o:connectangles="0,0,0,0,0,0,0,0,0" textboxrect="0,0,5827363,2619375"/>
                <v:textbox>
                  <w:txbxContent>
                    <w:p w:rsidR="005716B0" w:rsidRPr="00E05D08" w:rsidRDefault="005716B0"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Příklad: Průběžné hodnocení sítě EIP-AGRI ve Švédsku</w:t>
                      </w:r>
                    </w:p>
                    <w:p w:rsidR="005716B0" w:rsidRPr="00275EE5" w:rsidRDefault="005716B0" w:rsidP="00E05D08">
                      <w:pPr>
                        <w:pStyle w:val="HBox"/>
                      </w:pPr>
                      <w:r>
                        <w:rPr>
                          <w:bCs/>
                          <w14:textFill>
                            <w14:solidFill>
                              <w14:srgbClr w14:val="373737">
                                <w14:lumMod w14:val="75000"/>
                              </w14:srgbClr>
                            </w14:solidFill>
                          </w14:textFill>
                        </w:rPr>
                        <w:t>Ve Švédsku se hodnocení inovací provádí v rámci hodnocení PRV a sestává z kvantitativní a kvalitativní složky hodnocení. Obě složky řídí sekretariát pro hodnocení</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Kvantitativní hodnocení má dle očekávání poskytnout zjištění až ve výroční zprávě o provádění, která má být předložena v roce 2019,</w:t>
                      </w:r>
                      <w:r>
                        <w:rPr>
                          <w:color w:val="292929"/>
                        </w:rPr>
                        <w:t xml:space="preserve"> a při hodnocení </w:t>
                      </w:r>
                      <w:r>
                        <w:rPr>
                          <w:i/>
                          <w:color w:val="292929"/>
                        </w:rPr>
                        <w:t>ex post</w:t>
                      </w:r>
                      <w:r>
                        <w:rPr>
                          <w:bCs/>
                          <w14:textFill>
                            <w14:solidFill>
                              <w14:srgbClr w14:val="373737">
                                <w14:lumMod w14:val="75000"/>
                              </w14:srgbClr>
                            </w14:solidFill>
                          </w14:textFill>
                        </w:rPr>
                        <w:t xml:space="preserve">. Pro kvantitativní posouzení, které má být provedeno v roce 2017, byla opatření týkající se inovací přijímána dosud spíše v nízké míře. Kvalitativní hodnocení je koncipováno jako průběžné formativní hodnocení a zaměřuje se na provádění EIP-AGRI. Provádí ho akční výzkumný tým </w:t>
                      </w:r>
                      <w:r>
                        <w:rPr>
                          <w:bCs/>
                          <w14:textFill>
                            <w14:solidFill>
                              <w14:srgbClr w14:val="373737">
                                <w14:lumMod w14:val="75000"/>
                              </w14:srgbClr>
                            </w14:solidFill>
                          </w14:textFill>
                        </w:rPr>
                        <w:t xml:space="preserve">z Univerzity v Umeå. Cílem tohoto průběžného hodnocení je získat trvalou zpětnou vazbu a doporučení pro řízení a provádění EIP-AGRI (opatření M16 PRV). Předpokládá se, že zjištění se budou získávat v průběhu celého programového období </w:t>
                      </w:r>
                      <w:r>
                        <w:rPr>
                          <w:color w:val="292929"/>
                        </w:rPr>
                        <w:t xml:space="preserve">a také pro výroční zprávy o provádění, jež mají být předloženy v roce 2017 a 2019, a pro hodnocení </w:t>
                      </w:r>
                      <w:r>
                        <w:rPr>
                          <w:i/>
                          <w:color w:val="292929"/>
                        </w:rPr>
                        <w:t>ex post</w:t>
                      </w:r>
                      <w:r>
                        <w:rPr>
                          <w:bCs/>
                          <w14:textFill>
                            <w14:solidFill>
                              <w14:srgbClr w14:val="373737">
                                <w14:lumMod w14:val="75000"/>
                              </w14:srgbClr>
                            </w14:solidFill>
                          </w14:textFill>
                        </w:rPr>
                        <w:t>. Obě složky hodnocení provádějí nezávislí hodnotitelé, kteří jsou vybíráni prostřednictvím výběrového řízení v souladu se zákonem o zadávání veřejných zakázek.</w:t>
                      </w:r>
                    </w:p>
                  </w:txbxContent>
                </v:textbox>
                <w10:wrap type="topAndBottom" anchorx="page" anchory="page"/>
              </v:shape>
            </w:pict>
          </mc:Fallback>
        </mc:AlternateContent>
      </w:r>
      <w:r>
        <w:rPr>
          <w:b/>
          <w:szCs w:val="20"/>
        </w:rPr>
        <w:t>Právní rámec vyžaduje zodpovězení</w:t>
      </w:r>
      <w:r>
        <w:t xml:space="preserve"> </w:t>
      </w:r>
      <w:r>
        <w:rPr>
          <w:b/>
          <w:szCs w:val="20"/>
        </w:rPr>
        <w:t>všech příslušných hodnotících otázek týkajících se inovací</w:t>
      </w:r>
      <w:r>
        <w:rPr>
          <w:rFonts w:eastAsia="Times New Roman" w:cs="Times New Roman"/>
          <w:szCs w:val="20"/>
          <w:vertAlign w:val="superscript"/>
          <w:lang w:eastAsia="de-DE"/>
        </w:rPr>
        <w:footnoteReference w:id="39"/>
      </w:r>
      <w:r>
        <w:t xml:space="preserve"> pomocí posouzení příslušných společných ukazatelů</w:t>
      </w:r>
      <w:r>
        <w:rPr>
          <w:rFonts w:eastAsia="Times New Roman" w:cs="Times New Roman"/>
          <w:szCs w:val="20"/>
          <w:vertAlign w:val="superscript"/>
          <w:lang w:eastAsia="de-DE"/>
        </w:rPr>
        <w:footnoteReference w:id="40"/>
      </w:r>
      <w:r>
        <w:t xml:space="preserve"> a zachycení dosažených výsledků politiky EU v oblasti venkova při podpoře inovací. </w:t>
      </w:r>
    </w:p>
    <w:p w:rsidR="00576A73" w:rsidRDefault="00A45935" w:rsidP="00576A73">
      <w:pPr>
        <w:spacing w:after="120" w:line="280" w:lineRule="atLeast"/>
        <w:mirrorIndents/>
        <w:rPr>
          <w:rFonts w:eastAsia="Times New Roman" w:cs="Times New Roman"/>
          <w:szCs w:val="20"/>
        </w:rPr>
      </w:pPr>
      <w:r>
        <w:t>Navrhují se následující nezávazné pracovní kroky:</w:t>
      </w:r>
    </w:p>
    <w:p w:rsidR="00A45935" w:rsidRPr="00E05D08" w:rsidRDefault="00A45935" w:rsidP="00B421B9">
      <w:pPr>
        <w:pStyle w:val="HHeading4"/>
        <w:rPr>
          <w:rFonts w:eastAsia="Calibri"/>
          <w:shd w:val="clear" w:color="auto" w:fill="FFFFFF"/>
        </w:rPr>
      </w:pPr>
      <w:r>
        <w:rPr>
          <w:shd w:val="clear" w:color="auto" w:fill="FFFFFF"/>
        </w:rPr>
        <w:t>Posouzení inovačního potenciálu opatření/podopatření PRV (doporučeno)</w:t>
      </w:r>
    </w:p>
    <w:p w:rsidR="00A45935" w:rsidRPr="00E05D08" w:rsidRDefault="00A45935" w:rsidP="00E05D08">
      <w:pPr>
        <w:spacing w:after="120" w:line="280" w:lineRule="atLeast"/>
        <w:mirrorIndents/>
        <w:rPr>
          <w:rFonts w:eastAsia="Times New Roman" w:cs="Times New Roman"/>
          <w:szCs w:val="20"/>
        </w:rPr>
      </w:pPr>
      <w:r>
        <w:t xml:space="preserve">Před zahájením hodnotících činností pro zodpovězení hodnotících otázek týkajících se inovací mohou řídící orgány a/nebo hodnotící odborníci chtít posoudit inovační potenciál opatření/podopatření PRV (modrá oblast v grafu 6). Tento krok pomůže hodnotiteli a řídícímu orgánu pochopit, jak může každé opatření/podopatření přispět k dosažení cílů PRV týkajících se inovací (viz </w:t>
      </w:r>
      <w:hyperlink w:anchor="Screening_Potential" w:history="1">
        <w:r>
          <w:rPr>
            <w:rStyle w:val="Hyperlink"/>
            <w:sz w:val="20"/>
            <w:szCs w:val="20"/>
          </w:rPr>
          <w:t>oddíl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Doplnění společných prvků hodnocení inovací (doporučeno)</w:t>
      </w:r>
    </w:p>
    <w:p w:rsidR="00A45935" w:rsidRPr="00E05D08" w:rsidRDefault="00A45935" w:rsidP="00E05D08">
      <w:pPr>
        <w:spacing w:after="120" w:line="280" w:lineRule="atLeast"/>
        <w:mirrorIndents/>
        <w:rPr>
          <w:rFonts w:eastAsia="Times New Roman" w:cs="Times New Roman"/>
          <w:szCs w:val="20"/>
        </w:rPr>
      </w:pPr>
      <w:r>
        <w:t>Společný systém monitorování a hodnocení poskytuje základní prvky hodnocení pro zodpovězení společných hodnotících otázek týkajících se inovací. Pokud společné prvky hodnocení (hodnotící kritéria</w:t>
      </w:r>
      <w:r>
        <w:rPr>
          <w:rFonts w:eastAsia="Times New Roman" w:cs="Times New Roman"/>
          <w:szCs w:val="20"/>
          <w:vertAlign w:val="superscript"/>
          <w:lang w:eastAsia="de-DE"/>
        </w:rPr>
        <w:footnoteReference w:id="41"/>
      </w:r>
      <w:r>
        <w:t xml:space="preserve"> a společné ukazatele</w:t>
      </w:r>
      <w:r>
        <w:rPr>
          <w:rFonts w:eastAsia="Times New Roman" w:cs="Times New Roman"/>
          <w:szCs w:val="20"/>
          <w:vertAlign w:val="superscript"/>
          <w:lang w:eastAsia="de-DE"/>
        </w:rPr>
        <w:footnoteReference w:id="42"/>
      </w:r>
      <w:r>
        <w:t>) nestačí k zachycení všech předpokládaných účinků, mohou řídící orgány, ideálně ve spolupráci s hodnotícími odborníky, vypracovat chybějící prvky (např. hodnotící podotázky, dodatečná hodnotící kritéria</w:t>
      </w:r>
      <w:r>
        <w:rPr>
          <w:rFonts w:eastAsia="Times New Roman" w:cs="Times New Roman"/>
          <w:szCs w:val="20"/>
          <w:vertAlign w:val="superscript"/>
          <w:lang w:eastAsia="de-DE"/>
        </w:rPr>
        <w:footnoteReference w:id="43"/>
      </w:r>
      <w:r>
        <w:t xml:space="preserve"> a dodatečné kvantitativní a kvalitativní ukazatele</w:t>
      </w:r>
      <w:r>
        <w:rPr>
          <w:rFonts w:eastAsia="Times New Roman" w:cs="Times New Roman"/>
          <w:szCs w:val="20"/>
          <w:vertAlign w:val="superscript"/>
          <w:lang w:eastAsia="de-DE"/>
        </w:rPr>
        <w:footnoteReference w:id="44"/>
      </w:r>
      <w:r>
        <w:t xml:space="preserve">) (zelené části grafu 6), (viz </w:t>
      </w:r>
      <w:hyperlink w:anchor="Complementing" w:history="1">
        <w:r>
          <w:rPr>
            <w:rStyle w:val="Hyperlink"/>
            <w:sz w:val="20"/>
            <w:szCs w:val="20"/>
          </w:rPr>
          <w:t>oddíl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Zodpovězení příslušných společných hodnotících otázek (povinné)</w:t>
      </w:r>
    </w:p>
    <w:p w:rsidR="00A45935" w:rsidRPr="00E05D08" w:rsidRDefault="00A45935" w:rsidP="00E05D08">
      <w:pPr>
        <w:spacing w:after="120" w:line="280" w:lineRule="atLeast"/>
        <w:mirrorIndents/>
        <w:rPr>
          <w:rFonts w:eastAsia="Times New Roman" w:cs="Times New Roman"/>
          <w:szCs w:val="20"/>
        </w:rPr>
      </w:pPr>
      <w:r>
        <w:t xml:space="preserve">Hodnotitelé PRV posoudí dosažené výsledky PRV při podpoře inovací a jeho přispění k cílům EU a vnitrostátním/regionálním cílům politiky rozvoje venkova. Zjištění hodnocení použijí při formulování </w:t>
      </w:r>
      <w:r>
        <w:lastRenderedPageBreak/>
        <w:t xml:space="preserve">odpovědí na společné a dodatečné hodnotící otázky a hodnotící otázky týkající se specifického programu (oranžové části grafu 6). Zodpovězení hodnotících otázek týkajících se inovací bude vyžadovat specifický přístup (viz </w:t>
      </w:r>
      <w:hyperlink w:anchor="Answering" w:history="1">
        <w:r>
          <w:rPr>
            <w:rStyle w:val="Hyperlink"/>
            <w:sz w:val="20"/>
            <w:szCs w:val="20"/>
          </w:rPr>
          <w:t>oddíl 2.4</w:t>
        </w:r>
      </w:hyperlink>
      <w:r>
        <w:t>).</w:t>
      </w:r>
    </w:p>
    <w:p w:rsidR="00A45935" w:rsidRPr="00EC5172" w:rsidRDefault="00626C0C" w:rsidP="00B421B9">
      <w:pPr>
        <w:pStyle w:val="HHeadingfigures"/>
      </w:pPr>
      <w:bookmarkStart w:id="89" w:name="_Toc508703633"/>
      <w:r>
        <w:t>Přístup k hodnocení inovací v rámci PRV</w:t>
      </w:r>
      <w:bookmarkEnd w:id="89"/>
    </w:p>
    <w:p w:rsidR="00A45935" w:rsidRPr="00E05D08" w:rsidRDefault="002D5D91" w:rsidP="00E05D08">
      <w:pPr>
        <w:spacing w:after="120" w:line="280" w:lineRule="atLeast"/>
        <w:mirrorIndents/>
        <w:jc w:val="center"/>
        <w:rPr>
          <w:rFonts w:eastAsia="Times New Roman" w:cs="Times New Roman"/>
          <w:szCs w:val="20"/>
          <w:lang w:eastAsia="de-DE"/>
        </w:rPr>
      </w:pPr>
      <w:r w:rsidRPr="002D5D91">
        <w:rPr>
          <w:noProof/>
          <w:lang w:val="en-GB" w:eastAsia="en-GB"/>
        </w:rPr>
        <w:drawing>
          <wp:inline distT="0" distB="0" distL="0" distR="0" wp14:anchorId="35594404" wp14:editId="3C93244C">
            <wp:extent cx="5731510" cy="3325169"/>
            <wp:effectExtent l="0" t="0" r="254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325169"/>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Zdroj: evropská asistenční služba pro účely hodnocení politiky rozvoje venkova, 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607833"/>
      <w:bookmarkEnd w:id="92"/>
      <w:r>
        <w:t>Posouzení inovačního potenciálu opatření/podopatření PRV (doporučeno)</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Proč bychom měli posuzovat opatření PRV z hlediska jejich inovačního potenciálu? </w:t>
      </w:r>
    </w:p>
    <w:p w:rsidR="00C64B64" w:rsidRPr="00E05D08" w:rsidRDefault="00A45935" w:rsidP="00E05D08">
      <w:pPr>
        <w:spacing w:after="120" w:line="280" w:lineRule="atLeast"/>
        <w:mirrorIndents/>
        <w:rPr>
          <w:rFonts w:eastAsia="Times New Roman" w:cs="Times New Roman"/>
          <w:szCs w:val="20"/>
        </w:rPr>
      </w:pPr>
      <w:r>
        <w:t>Řídící orgány mají značnou flexibilitu kombinovat a koncipovat různá opatření pro rozvoj venkova v rámci prioritních oblastí, což vede k velmi odlišným přístupům PRV k inovacím. Posuzování výběru a kombinace opatření/podopatření v rámci PRV pomáhá lépe pochopit jeho specifický přístup k inovacím a také inovační potenciál PRV. To je užitečným základem pro zodpovězení společných hodnotících otázek týkajících se inovací</w:t>
      </w:r>
      <w:r w:rsidR="00733F60">
        <w:t>, zejména v pozdějších fázích hodnocení</w:t>
      </w:r>
      <w:r>
        <w:t xml:space="preserve"> (např. ve výroční zprávě o provádění v roce 2019 nebo při hodnocení </w:t>
      </w:r>
      <w:r>
        <w:rPr>
          <w:i/>
          <w:szCs w:val="20"/>
        </w:rPr>
        <w:t>ex post</w:t>
      </w:r>
      <w:r>
        <w:t xml:space="preserve">), kde bude možné zachytit účinky dopadů PRV na inovační procesy. </w:t>
      </w:r>
    </w:p>
    <w:p w:rsidR="00A45935" w:rsidRPr="00E05D08" w:rsidRDefault="00A45935" w:rsidP="00B421B9">
      <w:pPr>
        <w:pStyle w:val="HHeading4"/>
        <w:rPr>
          <w:rFonts w:eastAsia="Calibri"/>
          <w:shd w:val="clear" w:color="auto" w:fill="FFFFFF"/>
        </w:rPr>
      </w:pPr>
      <w:r>
        <w:rPr>
          <w:shd w:val="clear" w:color="auto" w:fill="FFFFFF"/>
        </w:rPr>
        <w:t xml:space="preserve">Co je inovační potenciál opatření/podopatření PRV? </w:t>
      </w:r>
    </w:p>
    <w:p w:rsidR="00A45935" w:rsidRPr="00E05D08" w:rsidRDefault="00A45935" w:rsidP="00E05D08">
      <w:pPr>
        <w:spacing w:after="120" w:line="280" w:lineRule="atLeast"/>
        <w:mirrorIndents/>
        <w:rPr>
          <w:rFonts w:eastAsia="Times New Roman" w:cs="Times New Roman"/>
          <w:szCs w:val="20"/>
        </w:rPr>
      </w:pPr>
      <w:r>
        <w:rPr>
          <w:b/>
          <w:szCs w:val="20"/>
        </w:rPr>
        <w:t>Inovačním potenciálem opatření/podopatření PRV</w:t>
      </w:r>
      <w:r>
        <w:t xml:space="preserve"> posouzených samostatně nebo v kombinaci s jinými opatřeními/podopatřeními v rámci prioritní oblasti se rozumí jejich schopnost podporovat inovace v rámci inovačního systému ve venkovských oblastech prostřednictvím a) rozvíjení inovativních řešení, b) spolupráce při budování inovačních kapacit, c) vytváření příznivého prostředí pro inovace.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Jaké jsou pracovní kroky pro určení inovačního potenciálu PRV? </w:t>
      </w:r>
    </w:p>
    <w:p w:rsidR="00A45935" w:rsidRPr="00E05D08" w:rsidRDefault="00A45935" w:rsidP="00E05D08">
      <w:pPr>
        <w:spacing w:after="120" w:line="280" w:lineRule="atLeast"/>
        <w:mirrorIndents/>
        <w:rPr>
          <w:rFonts w:eastAsia="Times New Roman" w:cs="Times New Roman"/>
          <w:szCs w:val="20"/>
        </w:rPr>
      </w:pPr>
      <w:r>
        <w:rPr>
          <w:b/>
          <w:szCs w:val="20"/>
        </w:rPr>
        <w:t xml:space="preserve">Posuzování opatření a podopatření PRV </w:t>
      </w:r>
      <w:r>
        <w:t xml:space="preserve">se zabývá tím, jak jsou tato opatření navržena, aby pomáhala rozvíjet nové nápady, budovat inovační kapacity nebo vytvářet příznivé prostředí pro inovace. Pracovní metodou může být odborné posouzení nebo participativní metoda, na které se podílí </w:t>
      </w:r>
      <w:r>
        <w:lastRenderedPageBreak/>
        <w:t xml:space="preserve">více klíčových zúčastněných stran PRV. Takové posouzení lze provést zodpovězením navrhovaných klíčových otázek (viz </w:t>
      </w:r>
      <w:hyperlink w:anchor="Steps_of_the_screenig" w:history="1">
        <w:r>
          <w:rPr>
            <w:rStyle w:val="Hyperlink"/>
            <w:sz w:val="20"/>
            <w:szCs w:val="20"/>
          </w:rPr>
          <w:t>graf 7</w:t>
        </w:r>
      </w:hyperlink>
      <w:r>
        <w:t>).</w:t>
      </w:r>
    </w:p>
    <w:p w:rsidR="00A45935" w:rsidRPr="00F117CA" w:rsidRDefault="00626C0C" w:rsidP="00B421B9">
      <w:pPr>
        <w:pStyle w:val="HHeadingfigures"/>
      </w:pPr>
      <w:bookmarkStart w:id="94" w:name="Steps_of_the_screenig"/>
      <w:bookmarkStart w:id="95" w:name="_Toc508703634"/>
      <w:bookmarkEnd w:id="94"/>
      <w:r>
        <w:t>Kroky při posuzování opatření/podopatření PRV z hlediska jejich inovačního potenciálu</w:t>
      </w:r>
      <w:bookmarkEnd w:id="95"/>
    </w:p>
    <w:p w:rsidR="00A45935" w:rsidRPr="00E05D08" w:rsidRDefault="002D5D91" w:rsidP="002D5D91">
      <w:pPr>
        <w:suppressAutoHyphens/>
        <w:spacing w:before="60" w:after="0" w:line="240" w:lineRule="auto"/>
        <w:ind w:right="1134"/>
        <w:mirrorIndents/>
        <w:rPr>
          <w:rFonts w:eastAsia="Times New Roman" w:cs="Times New Roman"/>
          <w:i/>
          <w:sz w:val="16"/>
          <w:szCs w:val="20"/>
          <w:lang w:eastAsia="de-DE"/>
        </w:rPr>
      </w:pPr>
      <w:r w:rsidRPr="002D5D91">
        <w:rPr>
          <w:noProof/>
          <w:lang w:val="en-GB" w:eastAsia="en-GB"/>
        </w:rPr>
        <w:drawing>
          <wp:inline distT="0" distB="0" distL="0" distR="0" wp14:anchorId="4C243401" wp14:editId="23EBF656">
            <wp:extent cx="5731510" cy="2685285"/>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85285"/>
                    </a:xfrm>
                    <a:prstGeom prst="rect">
                      <a:avLst/>
                    </a:prstGeom>
                    <a:noFill/>
                    <a:ln>
                      <a:noFill/>
                    </a:ln>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Zdroj: evropská asistenční služba pro účely hodnocení politiky rozvoje venkova,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Co by se v rámci PRV mělo posuzovat?</w:t>
      </w:r>
    </w:p>
    <w:p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0787BB87" wp14:editId="589ECB64">
                <wp:simplePos x="0" y="0"/>
                <wp:positionH relativeFrom="column">
                  <wp:posOffset>3117215</wp:posOffset>
                </wp:positionH>
                <wp:positionV relativeFrom="paragraph">
                  <wp:posOffset>615315</wp:posOffset>
                </wp:positionV>
                <wp:extent cx="2640965" cy="3122930"/>
                <wp:effectExtent l="0" t="0" r="26035" b="2032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122930"/>
                        </a:xfrm>
                        <a:prstGeom prst="round2DiagRect">
                          <a:avLst>
                            <a:gd name="adj1" fmla="val 6437"/>
                            <a:gd name="adj2" fmla="val 0"/>
                          </a:avLst>
                        </a:prstGeom>
                        <a:noFill/>
                        <a:ln w="25400" cap="flat" cmpd="sng" algn="ctr">
                          <a:solidFill>
                            <a:srgbClr val="BE4A35"/>
                          </a:solidFill>
                          <a:prstDash val="solid"/>
                        </a:ln>
                        <a:effectLst/>
                      </wps:spPr>
                      <wps:txbx>
                        <w:txbxContent>
                          <w:p w:rsidR="005716B0" w:rsidRPr="00275EE5" w:rsidRDefault="005716B0" w:rsidP="00626C0C">
                            <w:pPr>
                              <w:pStyle w:val="Normal12PTcouleurgris"/>
                            </w:pPr>
                            <w:r>
                              <w:rPr>
                                <w:noProof/>
                                <w:lang w:val="en-GB"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Ustanovení článku</w:t>
                            </w:r>
                            <w:r>
                              <w:rPr>
                                <w:sz w:val="18"/>
                              </w:rPr>
                              <w:t xml:space="preserve"> 15 nařízení (EU) č. 1305/2013 uvádí sedm oblastí, ve kterých lze poskytovat</w:t>
                            </w:r>
                            <w:r>
                              <w:rPr>
                                <w:color w:val="BE4A35"/>
                                <w:sz w:val="18"/>
                              </w:rPr>
                              <w:t xml:space="preserve"> </w:t>
                            </w:r>
                            <w:r>
                              <w:rPr>
                                <w:b/>
                                <w:color w:val="BE4A35"/>
                                <w:sz w:val="18"/>
                              </w:rPr>
                              <w:t>poradenství a poradenské služby</w:t>
                            </w:r>
                            <w:r>
                              <w:rPr>
                                <w:sz w:val="18"/>
                                <w:vertAlign w:val="superscript"/>
                              </w:rPr>
                              <w:t>45</w:t>
                            </w:r>
                            <w:r>
                              <w:t>.</w:t>
                            </w:r>
                            <w:r>
                              <w:rPr>
                                <w:sz w:val="18"/>
                              </w:rPr>
                              <w:t xml:space="preserve"> Pouze u jedné z nich (odst. 4 písm. c)) jsou výslovně zmíněny inovace. Neexistuje žádný požadavek, aby jiné druhy poradenství (např. bod 4 písm. g) – konkrétní poradenství pro zemědělce, kteří poprvé zahajují činnost) podporovaly inovace, ani není jisté, že tak činit budou. Analýza koncepce opatření v rámci konkrétního PRV tudíž může prokázat, zda by </w:t>
                            </w:r>
                            <w:r>
                              <w:rPr>
                                <w:sz w:val="18"/>
                              </w:rPr>
                              <w:t>opatření (nebo případně podopatření) mohlo mít význam pro podporu inovací.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5.45pt;margin-top:48.45pt;width:207.95pt;height:245.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12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" adj="-11796480,,5400" path="m169999,l2640965,r,l2640965,2952931v,93888,-76111,169999,-169999,169999l,3122930r,l,169999c,76111,76111,,169999,xe" filled="f" strokecolor="#be4a35" strokeweight="2pt">
                <v:stroke joinstyle="miter"/>
                <v:formulas/>
                <v:path arrowok="t" o:connecttype="custom" o:connectlocs="169999,0;2640965,0;2640965,0;2640965,2952931;2470966,3122930;0,3122930;0,3122930;0,169999;169999,0" o:connectangles="0,0,0,0,0,0,0,0,0" textboxrect="0,0,2640965,3122930"/>
                <v:textbox>
                  <w:txbxContent>
                    <w:p w:rsidR="005716B0" w:rsidRPr="00275EE5" w:rsidRDefault="005716B0" w:rsidP="00626C0C">
                      <w:pPr>
                        <w:pStyle w:val="Normal12PTcouleurgris"/>
                      </w:pPr>
                      <w:r>
                        <w:rPr>
                          <w:noProof/>
                          <w:lang w:val="en-GB"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Ustanovení článku</w:t>
                      </w:r>
                      <w:r>
                        <w:rPr>
                          <w:sz w:val="18"/>
                        </w:rPr>
                        <w:t xml:space="preserve"> 15 nařízení (EU) č. 1305/2013 uvádí sedm oblastí, ve kterých lze poskytovat</w:t>
                      </w:r>
                      <w:r>
                        <w:rPr>
                          <w:color w:val="BE4A35"/>
                          <w:sz w:val="18"/>
                        </w:rPr>
                        <w:t xml:space="preserve"> </w:t>
                      </w:r>
                      <w:r>
                        <w:rPr>
                          <w:b/>
                          <w:color w:val="BE4A35"/>
                          <w:sz w:val="18"/>
                        </w:rPr>
                        <w:t>poradenství a poradenské služby</w:t>
                      </w:r>
                      <w:r>
                        <w:rPr>
                          <w:sz w:val="18"/>
                          <w:vertAlign w:val="superscript"/>
                        </w:rPr>
                        <w:t>45</w:t>
                      </w:r>
                      <w:r>
                        <w:t>.</w:t>
                      </w:r>
                      <w:r>
                        <w:rPr>
                          <w:sz w:val="18"/>
                        </w:rPr>
                        <w:t xml:space="preserve"> Pouze u jedné z nich (odst. 4 písm. c)) jsou výslovně zmíněny inovace. Neexistuje žádný požadavek, aby jiné druhy poradenství (např. bod 4 písm. g) – konkrétní poradenství pro zemědělce, kteří poprvé zahajují činnost) podporovaly inovace, ani není jisté, že tak činit budou. Analýza koncepce opatření v rámci konkrétního PRV tudíž může prokázat, zda by </w:t>
                      </w:r>
                      <w:r>
                        <w:rPr>
                          <w:sz w:val="18"/>
                        </w:rPr>
                        <w:t>opatření (nebo případně podopatření) mohlo mít význam pro podporu inovací.</w:t>
                      </w:r>
                    </w:p>
                  </w:txbxContent>
                </v:textbox>
                <w10:wrap type="square"/>
              </v:shape>
            </w:pict>
          </mc:Fallback>
        </mc:AlternateContent>
      </w:r>
      <w:r>
        <w:rPr>
          <w:b/>
          <w:szCs w:val="20"/>
        </w:rPr>
        <w:t>Posuzování by se mělo zaměřit na schopnost jednotlivých opatření a skupin opatření v rámci prioritní oblasti</w:t>
      </w:r>
      <w:r>
        <w:t xml:space="preserve"> podporovat inovace (např. jejich schopnost přispívat ke třem scénářům inovací, jež jsou vysvětleny v </w:t>
      </w:r>
      <w:hyperlink w:anchor="Innovation_RD" w:history="1">
        <w:r>
          <w:rPr>
            <w:rStyle w:val="Hyperlink"/>
            <w:sz w:val="20"/>
            <w:szCs w:val="20"/>
          </w:rPr>
          <w:t>oddíle 1.1</w:t>
        </w:r>
      </w:hyperlink>
      <w:r>
        <w:t xml:space="preserve">). Podobně lze prostřednictvím posouzení akcí CSV určit </w:t>
      </w:r>
      <w:r>
        <w:rPr>
          <w:b/>
          <w:szCs w:val="20"/>
        </w:rPr>
        <w:t xml:space="preserve">potenciál CSV pro podporu inovací </w:t>
      </w:r>
      <w:r>
        <w:t xml:space="preserve">(viz </w:t>
      </w:r>
      <w:hyperlink w:anchor="CEQ_NRN" w:history="1">
        <w:r>
          <w:rPr>
            <w:rStyle w:val="Hyperlink"/>
            <w:sz w:val="20"/>
            <w:szCs w:val="20"/>
          </w:rPr>
          <w:t>oddíl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Celkově by se posouzení inovačního potenciálu mělo vztahovat alespoň na opatření související s následujícími společnými hodnotícími otázkami: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Společná hodnotící otázka č. 1 je propojena s opatřeními M1, M2 a M16 (články 14, 15 a 35 nařízení (EU) č. 1305/2013). Posouzení se zaměří na inovační potenciál těchto opatření a pomůže zodpovědět část společné hodnotící otázky, která se týká inovací.</w:t>
      </w:r>
      <w:r w:rsidR="00942266" w:rsidRPr="00942266">
        <w:rPr>
          <w:rStyle w:val="FootnoteReference"/>
          <w:color w:val="FFFFFF" w:themeColor="background1"/>
        </w:rPr>
        <w:footnoteReference w:id="45"/>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Společná hodnotící otázka č. 2 je propojena s opatřením M16 (spolupráce). Podopatření opatření M16 budou posuzována hlavně z hlediska jejich potenciálu přispívat ke třem scénářům inovací. Výsledky pomohou zodpovědět část společné hodnotící otázky, která se týká inovací.</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 xml:space="preserve">Společná hodnotící otázka č. 21 zahrnuje čtyři cíle CSV. Posouzení inovačního potenciálu CSV se zaměří na akce CSV, jež přispívají ke společnému cíli CSV „podpořit inovace v zemědělství, </w:t>
      </w:r>
      <w:r>
        <w:lastRenderedPageBreak/>
        <w:t>produkci potravin, lesnictví a venkovských oblastech“. Toto posouzení pomůže zodpovědět část společné hodnotící otázky, která se týká inovací.</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Společná hodnotící otázka č. 23 bude zodpovězena s posouzením přispění PRV k dosažení hlavního cíle, aby investice do výzkumu/vývoje/inovací (veřejné a soukromé dohromady) dosáhly 3 % HDP EU</w:t>
      </w:r>
      <w:r>
        <w:rPr>
          <w:rFonts w:eastAsia="Times New Roman" w:cs="Times New Roman"/>
          <w:szCs w:val="20"/>
          <w:vertAlign w:val="superscript"/>
          <w:lang w:eastAsia="de-DE"/>
        </w:rPr>
        <w:footnoteReference w:id="46"/>
      </w:r>
      <w:r w:rsidR="00800A02">
        <w:t>,</w:t>
      </w:r>
      <w:r>
        <w:t xml:space="preserve"> pomocí ukazatelů souvisejících s tímto cílem. Posouzení všech opatření PRV z hlediska inovačního potenciálu je důležité pro: a) určení toho, která opatření přispívají k inovacím, a b) posouzení výdajů spojených s těmito opatřeními při výpočtu ukazatelů, které se použijí pro zodpovězení společné hodnotící otázky č.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Společná hodnotící otázka č. 30 je propojena s průřezovým cílem týkajícím se inovací. Zde budou posouzena veškerá opatření/podopatření a jejich kombinace v každé prioritní oblasti s cílem určit opatření/podopatření s potenciálem podpořit inovace prostřednictvím tří scénářů inovací. Tato analýza usnadní hodnotiteli sestavit hodnocení případové studie na základě teorie změny, kterou se navrhuje použít při zodpovězení společné hodnotící otázky č.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Jaký je výsledek? </w:t>
      </w:r>
    </w:p>
    <w:p w:rsidR="00A45935" w:rsidRDefault="00A45935" w:rsidP="00E05D08">
      <w:pPr>
        <w:spacing w:after="120" w:line="280" w:lineRule="atLeast"/>
        <w:mirrorIndents/>
        <w:rPr>
          <w:rFonts w:eastAsia="Times New Roman" w:cs="Times New Roman"/>
          <w:szCs w:val="20"/>
        </w:rPr>
      </w:pPr>
      <w:r>
        <w:rPr>
          <w:b/>
          <w:szCs w:val="20"/>
        </w:rPr>
        <w:t>Posouzení pomáhá explicitněji stanovit intervenční logiku PRV ve vztahu k inovacím.</w:t>
      </w:r>
      <w:r>
        <w:t xml:space="preserve"> Určuje, která opatření PRV mají největší potenciál podporovat inovace, a vyjasňuje také, kterých oblastí (scénářů inovací) se týkají. Při pozdějším hodnocení účinků budou výsledky tohoto posouzení vzaty v úvahu pro porovnání potenciálu se skutečně dosaženými výsledky PRV v oblasti podpory inovací. To hodnotiteli pomáhá, aby se ve své práci zaměřil na ta opatření a podopatření, která jsou považována za obzvláště důležitá pro podporu inovací. </w:t>
      </w:r>
    </w:p>
    <w:p w:rsidR="000A43B7" w:rsidRDefault="005716B0" w:rsidP="009F5AB5">
      <w:pPr>
        <w:pStyle w:val="HStandard"/>
      </w:pPr>
      <w:r>
        <w:rPr>
          <w:b/>
          <w:noProof/>
          <w:lang w:val="en-GB" w:eastAsia="en-GB"/>
        </w:rPr>
        <mc:AlternateContent>
          <mc:Choice Requires="wps">
            <w:drawing>
              <wp:anchor distT="0" distB="0" distL="114300" distR="114300" simplePos="0" relativeHeight="251742208" behindDoc="0" locked="0" layoutInCell="1" allowOverlap="1" wp14:anchorId="73A858C9" wp14:editId="1C63138E">
                <wp:simplePos x="0" y="0"/>
                <wp:positionH relativeFrom="page">
                  <wp:posOffset>1705610</wp:posOffset>
                </wp:positionH>
                <wp:positionV relativeFrom="page">
                  <wp:posOffset>5139360</wp:posOffset>
                </wp:positionV>
                <wp:extent cx="4153546" cy="22860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286000"/>
                        </a:xfrm>
                        <a:prstGeom prst="round2DiagRect">
                          <a:avLst>
                            <a:gd name="adj1" fmla="val 9754"/>
                            <a:gd name="adj2" fmla="val 0"/>
                          </a:avLst>
                        </a:prstGeom>
                        <a:noFill/>
                        <a:ln w="25400" cap="flat" cmpd="sng" algn="ctr">
                          <a:solidFill>
                            <a:srgbClr val="8BAB80"/>
                          </a:solidFill>
                          <a:prstDash val="solid"/>
                        </a:ln>
                        <a:effectLst/>
                      </wps:spPr>
                      <wps:txbx>
                        <w:txbxContent>
                          <w:p w:rsidR="005716B0" w:rsidRDefault="005716B0" w:rsidP="007A450E">
                            <w:pPr>
                              <w:pStyle w:val="Normal12PTcouleurgris"/>
                            </w:pPr>
                            <w:r w:rsidRPr="00171202">
                              <w:rPr>
                                <w:noProof/>
                                <w:sz w:val="18"/>
                                <w:lang w:val="en-GB" w:eastAsia="en-GB"/>
                              </w:rPr>
                              <w:drawing>
                                <wp:inline distT="0" distB="0" distL="0" distR="0" wp14:anchorId="5A816783" wp14:editId="316CE84E">
                                  <wp:extent cx="578362" cy="539115"/>
                                  <wp:effectExtent l="0" t="0" r="0" b="0"/>
                                  <wp:docPr id="36"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86"/>
                              <w:gridCol w:w="3021"/>
                            </w:tblGrid>
                            <w:tr w:rsidR="005716B0" w:rsidRPr="0079762F" w:rsidTr="002D5D91">
                              <w:tc>
                                <w:tcPr>
                                  <w:tcW w:w="3091" w:type="dxa"/>
                                  <w:shd w:val="clear" w:color="auto" w:fill="FFFFFF"/>
                                </w:tcPr>
                                <w:p w:rsidR="005716B0" w:rsidRPr="00B63DE8" w:rsidRDefault="005716B0" w:rsidP="007A450E">
                                  <w:pPr>
                                    <w:suppressOverlap/>
                                    <w:jc w:val="left"/>
                                    <w:rPr>
                                      <w:rFonts w:cs="Arial"/>
                                      <w:b/>
                                      <w:color w:val="404040"/>
                                      <w:szCs w:val="18"/>
                                    </w:rPr>
                                  </w:pPr>
                                  <w:r>
                                    <w:rPr>
                                      <w:b/>
                                      <w:color w:val="404040"/>
                                      <w:szCs w:val="18"/>
                                    </w:rPr>
                                    <w:t>Co dělat</w:t>
                                  </w:r>
                                </w:p>
                                <w:p w:rsidR="005716B0" w:rsidRPr="00B63DE8" w:rsidRDefault="005716B0" w:rsidP="007A450E">
                                  <w:pPr>
                                    <w:pStyle w:val="Hlistbullet"/>
                                    <w:spacing w:line="160" w:lineRule="atLeast"/>
                                    <w:jc w:val="left"/>
                                    <w:rPr>
                                      <w:sz w:val="18"/>
                                      <w:szCs w:val="18"/>
                                    </w:rPr>
                                  </w:pPr>
                                  <w:r>
                                    <w:rPr>
                                      <w:sz w:val="18"/>
                                      <w:szCs w:val="18"/>
                                    </w:rPr>
                                    <w:t xml:space="preserve">Posuďte koncepci opatření (propojení s potřebami, cíli, kritérii výběru, příjemci) z hlediska potenciálu podporovat inovace a jejich intenzity. </w:t>
                                  </w:r>
                                </w:p>
                                <w:p w:rsidR="005716B0" w:rsidRPr="00B63DE8" w:rsidRDefault="005716B0" w:rsidP="007A450E">
                                  <w:pPr>
                                    <w:pStyle w:val="Hlistbullet"/>
                                    <w:spacing w:line="160" w:lineRule="atLeast"/>
                                    <w:jc w:val="left"/>
                                  </w:pPr>
                                  <w:r>
                                    <w:rPr>
                                      <w:sz w:val="18"/>
                                      <w:szCs w:val="18"/>
                                    </w:rPr>
                                    <w:t>Vezměte na vědomí základní intervenční logiku PRV ve vztahu k inovacím.</w:t>
                                  </w:r>
                                  <w:r>
                                    <w:t xml:space="preserve"> </w:t>
                                  </w:r>
                                </w:p>
                              </w:tc>
                              <w:tc>
                                <w:tcPr>
                                  <w:tcW w:w="3131" w:type="dxa"/>
                                  <w:shd w:val="clear" w:color="auto" w:fill="auto"/>
                                </w:tcPr>
                                <w:p w:rsidR="005716B0" w:rsidRPr="00B63DE8" w:rsidRDefault="005716B0" w:rsidP="007A450E">
                                  <w:pPr>
                                    <w:suppressOverlap/>
                                    <w:jc w:val="left"/>
                                    <w:rPr>
                                      <w:rFonts w:cs="Arial"/>
                                      <w:b/>
                                      <w:color w:val="404040"/>
                                      <w:szCs w:val="18"/>
                                    </w:rPr>
                                  </w:pPr>
                                  <w:r>
                                    <w:rPr>
                                      <w:b/>
                                      <w:color w:val="404040"/>
                                      <w:szCs w:val="18"/>
                                    </w:rPr>
                                    <w:t>Co nedělat</w:t>
                                  </w:r>
                                </w:p>
                                <w:p w:rsidR="005716B0" w:rsidRPr="00B63DE8" w:rsidRDefault="005716B0" w:rsidP="007A450E">
                                  <w:pPr>
                                    <w:pStyle w:val="Hlistbullet"/>
                                    <w:spacing w:line="160" w:lineRule="atLeast"/>
                                    <w:jc w:val="left"/>
                                    <w:rPr>
                                      <w:sz w:val="18"/>
                                      <w:szCs w:val="18"/>
                                    </w:rPr>
                                  </w:pPr>
                                  <w:r>
                                    <w:rPr>
                                      <w:sz w:val="18"/>
                                      <w:szCs w:val="18"/>
                                    </w:rPr>
                                    <w:t xml:space="preserve">Neomezujte se při posuzování inovačního potenciálu PRV pouze na případy, kdy kritéria výběru a opatření obsahují slovo „inovační“. </w:t>
                                  </w:r>
                                </w:p>
                                <w:p w:rsidR="005716B0" w:rsidRPr="00B63DE8" w:rsidRDefault="005716B0" w:rsidP="007A450E">
                                  <w:pPr>
                                    <w:suppressOverlap/>
                                    <w:jc w:val="left"/>
                                    <w:rPr>
                                      <w:rFonts w:cs="Arial"/>
                                      <w:color w:val="1A1A1A"/>
                                      <w:szCs w:val="18"/>
                                    </w:rPr>
                                  </w:pPr>
                                </w:p>
                              </w:tc>
                            </w:tr>
                          </w:tbl>
                          <w:p w:rsidR="005716B0" w:rsidRPr="00275EE5" w:rsidRDefault="005716B0"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858C9" id="Rectangle: Diagonal Corners Rounded 67" o:spid="_x0000_s1038" style="position:absolute;left:0;text-align:left;margin-left:134.3pt;margin-top:404.65pt;width:327.05pt;height:18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" adj="-11796480,,5400" path="m222976,l4153546,r,l4153546,2063024v,123146,-99830,222976,-222976,222976l,2286000r,l,222976c,99830,99830,,222976,xe" filled="f" strokecolor="#8bab80" strokeweight="2pt">
                <v:stroke joinstyle="miter"/>
                <v:formulas/>
                <v:path arrowok="t" o:connecttype="custom" o:connectlocs="222976,0;4153546,0;4153546,0;4153546,2063024;3930570,2286000;0,2286000;0,2286000;0,222976;222976,0" o:connectangles="0,0,0,0,0,0,0,0,0" textboxrect="0,0,4153546,2286000"/>
                <v:textbox>
                  <w:txbxContent>
                    <w:p w:rsidR="005716B0" w:rsidRDefault="005716B0" w:rsidP="007A450E">
                      <w:pPr>
                        <w:pStyle w:val="Normal12PTcouleurgris"/>
                      </w:pPr>
                      <w:r w:rsidRPr="00171202">
                        <w:rPr>
                          <w:noProof/>
                          <w:sz w:val="18"/>
                          <w:lang w:val="en-GB" w:eastAsia="en-GB"/>
                        </w:rPr>
                        <w:drawing>
                          <wp:inline distT="0" distB="0" distL="0" distR="0" wp14:anchorId="5A816783" wp14:editId="316CE84E">
                            <wp:extent cx="578362" cy="539115"/>
                            <wp:effectExtent l="0" t="0" r="0" b="0"/>
                            <wp:docPr id="36"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86"/>
                        <w:gridCol w:w="3021"/>
                      </w:tblGrid>
                      <w:tr w:rsidR="005716B0" w:rsidRPr="0079762F" w:rsidTr="002D5D91">
                        <w:tc>
                          <w:tcPr>
                            <w:tcW w:w="3091" w:type="dxa"/>
                            <w:shd w:val="clear" w:color="auto" w:fill="FFFFFF"/>
                          </w:tcPr>
                          <w:p w:rsidR="005716B0" w:rsidRPr="00B63DE8" w:rsidRDefault="005716B0" w:rsidP="007A450E">
                            <w:pPr>
                              <w:suppressOverlap/>
                              <w:jc w:val="left"/>
                              <w:rPr>
                                <w:rFonts w:cs="Arial"/>
                                <w:b/>
                                <w:color w:val="404040"/>
                                <w:szCs w:val="18"/>
                              </w:rPr>
                            </w:pPr>
                            <w:r>
                              <w:rPr>
                                <w:b/>
                                <w:color w:val="404040"/>
                                <w:szCs w:val="18"/>
                              </w:rPr>
                              <w:t>Co dělat</w:t>
                            </w:r>
                          </w:p>
                          <w:p w:rsidR="005716B0" w:rsidRPr="00B63DE8" w:rsidRDefault="005716B0" w:rsidP="007A450E">
                            <w:pPr>
                              <w:pStyle w:val="Hlistbullet"/>
                              <w:spacing w:line="160" w:lineRule="atLeast"/>
                              <w:jc w:val="left"/>
                              <w:rPr>
                                <w:sz w:val="18"/>
                                <w:szCs w:val="18"/>
                              </w:rPr>
                            </w:pPr>
                            <w:r>
                              <w:rPr>
                                <w:sz w:val="18"/>
                                <w:szCs w:val="18"/>
                              </w:rPr>
                              <w:t xml:space="preserve">Posuďte koncepci opatření (propojení s potřebami, cíli, kritérii výběru, příjemci) z hlediska potenciálu podporovat inovace a jejich intenzity. </w:t>
                            </w:r>
                          </w:p>
                          <w:p w:rsidR="005716B0" w:rsidRPr="00B63DE8" w:rsidRDefault="005716B0" w:rsidP="007A450E">
                            <w:pPr>
                              <w:pStyle w:val="Hlistbullet"/>
                              <w:spacing w:line="160" w:lineRule="atLeast"/>
                              <w:jc w:val="left"/>
                            </w:pPr>
                            <w:r>
                              <w:rPr>
                                <w:sz w:val="18"/>
                                <w:szCs w:val="18"/>
                              </w:rPr>
                              <w:t>Vezměte na vědomí základní intervenční logiku PRV ve vztahu k inovacím.</w:t>
                            </w:r>
                            <w:r>
                              <w:t xml:space="preserve"> </w:t>
                            </w:r>
                          </w:p>
                        </w:tc>
                        <w:tc>
                          <w:tcPr>
                            <w:tcW w:w="3131" w:type="dxa"/>
                            <w:shd w:val="clear" w:color="auto" w:fill="auto"/>
                          </w:tcPr>
                          <w:p w:rsidR="005716B0" w:rsidRPr="00B63DE8" w:rsidRDefault="005716B0" w:rsidP="007A450E">
                            <w:pPr>
                              <w:suppressOverlap/>
                              <w:jc w:val="left"/>
                              <w:rPr>
                                <w:rFonts w:cs="Arial"/>
                                <w:b/>
                                <w:color w:val="404040"/>
                                <w:szCs w:val="18"/>
                              </w:rPr>
                            </w:pPr>
                            <w:r>
                              <w:rPr>
                                <w:b/>
                                <w:color w:val="404040"/>
                                <w:szCs w:val="18"/>
                              </w:rPr>
                              <w:t>Co nedělat</w:t>
                            </w:r>
                          </w:p>
                          <w:p w:rsidR="005716B0" w:rsidRPr="00B63DE8" w:rsidRDefault="005716B0" w:rsidP="007A450E">
                            <w:pPr>
                              <w:pStyle w:val="Hlistbullet"/>
                              <w:spacing w:line="160" w:lineRule="atLeast"/>
                              <w:jc w:val="left"/>
                              <w:rPr>
                                <w:sz w:val="18"/>
                                <w:szCs w:val="18"/>
                              </w:rPr>
                            </w:pPr>
                            <w:r>
                              <w:rPr>
                                <w:sz w:val="18"/>
                                <w:szCs w:val="18"/>
                              </w:rPr>
                              <w:t xml:space="preserve">Neomezujte se při posuzování inovačního potenciálu PRV pouze na případy, kdy kritéria výběru a opatření obsahují slovo „inovační“. </w:t>
                            </w:r>
                          </w:p>
                          <w:p w:rsidR="005716B0" w:rsidRPr="00B63DE8" w:rsidRDefault="005716B0" w:rsidP="007A450E">
                            <w:pPr>
                              <w:suppressOverlap/>
                              <w:jc w:val="left"/>
                              <w:rPr>
                                <w:rFonts w:cs="Arial"/>
                                <w:color w:val="1A1A1A"/>
                                <w:szCs w:val="18"/>
                              </w:rPr>
                            </w:pPr>
                          </w:p>
                        </w:tc>
                      </w:tr>
                    </w:tbl>
                    <w:p w:rsidR="005716B0" w:rsidRPr="00275EE5" w:rsidRDefault="005716B0" w:rsidP="007A450E">
                      <w:pPr>
                        <w:pStyle w:val="Normal12PTcouleurgris"/>
                      </w:pPr>
                    </w:p>
                  </w:txbxContent>
                </v:textbox>
                <w10:wrap type="square" anchorx="page" anchory="page"/>
              </v:shape>
            </w:pict>
          </mc:Fallback>
        </mc:AlternateContent>
      </w:r>
    </w:p>
    <w:p w:rsidR="000A43B7" w:rsidRDefault="000A43B7" w:rsidP="009F5AB5">
      <w:pPr>
        <w:pStyle w:val="HStandard"/>
      </w:pPr>
    </w:p>
    <w:p w:rsidR="007A450E" w:rsidRDefault="007A450E">
      <w:pPr>
        <w:jc w:val="left"/>
        <w:rPr>
          <w:rFonts w:eastAsia="Times New Roman" w:cs="Times New Roman"/>
          <w:b/>
          <w:szCs w:val="20"/>
        </w:rPr>
      </w:pPr>
      <w:bookmarkStart w:id="96" w:name="_Toc493151903"/>
      <w:bookmarkStart w:id="97" w:name="_Toc501382129"/>
      <w:r>
        <w:br w:type="page"/>
      </w:r>
    </w:p>
    <w:p w:rsidR="00A45935" w:rsidRPr="00FC7364" w:rsidRDefault="00A45935" w:rsidP="00B421B9">
      <w:pPr>
        <w:pStyle w:val="HHeading2"/>
        <w:numPr>
          <w:ilvl w:val="1"/>
          <w:numId w:val="119"/>
        </w:numPr>
        <w:ind w:left="567" w:hanging="567"/>
      </w:pPr>
      <w:bookmarkStart w:id="98" w:name="Complementing"/>
      <w:bookmarkStart w:id="99" w:name="_Toc508607834"/>
      <w:bookmarkEnd w:id="98"/>
      <w:r>
        <w:lastRenderedPageBreak/>
        <w:t>Doplnění společných prvků hodnocení inovací (doporučeno)</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Proč a kdy doplnit společný systém monitorování a hodnocení? </w:t>
      </w:r>
    </w:p>
    <w:p w:rsidR="00A45935" w:rsidRPr="00E05D08" w:rsidRDefault="00A45935" w:rsidP="00E05D08">
      <w:pPr>
        <w:spacing w:after="120" w:line="280" w:lineRule="atLeast"/>
        <w:mirrorIndents/>
        <w:rPr>
          <w:rFonts w:eastAsia="Times New Roman" w:cs="Times New Roman"/>
          <w:szCs w:val="20"/>
        </w:rPr>
      </w:pPr>
      <w:r>
        <w:rPr>
          <w:b/>
          <w:szCs w:val="20"/>
        </w:rPr>
        <w:t xml:space="preserve">Společný systém monitorování a hodnocení poskytuje základní soubor prvků hodnocení </w:t>
      </w:r>
      <w:r>
        <w:t xml:space="preserve">(společné ukazatele výstupů) pro zodpovězení příslušných společných hodnotících otázek č. 1, 2 a 21 (viz </w:t>
      </w:r>
      <w:hyperlink w:anchor="Policy_framework" w:history="1">
        <w:r>
          <w:rPr>
            <w:rStyle w:val="Hyperlink"/>
            <w:sz w:val="20"/>
            <w:szCs w:val="20"/>
          </w:rPr>
          <w:t>oddíl 1.2.1</w:t>
        </w:r>
      </w:hyperlink>
      <w:r>
        <w:t xml:space="preserve">). Hodnotící kritéria pro všechny společné hodnotící otázky související s inovacemi a některé dodatečné ukazatele jsou navrženy v pracovním dokumentu </w:t>
      </w:r>
      <w:hyperlink r:id="rId33" w:history="1">
        <w:r>
          <w:rPr>
            <w:rStyle w:val="Hyperlink"/>
            <w:sz w:val="20"/>
            <w:szCs w:val="20"/>
          </w:rPr>
          <w:t>Společné hodnotící otázky pro programy rozvoje venkova 2014–2020</w:t>
        </w:r>
      </w:hyperlink>
      <w:r>
        <w:t>. Například společná hodnotící otázka č. 23 souvisí s hlavním cílem strategie Evropa 2020, který lze použít jako základ pro zodpovězení této otázky. Společná hodnotící otázka č. 30 je jedinou otázkou, kterou doprovázejí dodatečné ukazatele</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Společné prvky hodnocení se musí přezkoumat před zahájením hodnocení</w:t>
      </w:r>
      <w:r>
        <w:t xml:space="preserve"> a v případě potřeby doplnit. Tento přezkum může zohlednit zjištění posouzení inovačního potenciálu PRV na podporu inovací (viz </w:t>
      </w:r>
      <w:hyperlink w:anchor="Screening_Potential" w:history="1">
        <w:r>
          <w:rPr>
            <w:rStyle w:val="Hyperlink"/>
            <w:sz w:val="20"/>
            <w:szCs w:val="20"/>
          </w:rPr>
          <w:t>oddíl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Jaké jsou kroky pro vypracování dodatečných prvků hodnocení a prvků hodnocení týkajících se specifického programu?</w:t>
      </w:r>
    </w:p>
    <w:p w:rsidR="00A45935" w:rsidRPr="00E05D08" w:rsidRDefault="00A45935" w:rsidP="00E05D08">
      <w:pPr>
        <w:spacing w:after="120" w:line="280" w:lineRule="atLeast"/>
        <w:mirrorIndents/>
        <w:rPr>
          <w:rFonts w:eastAsia="Calibri" w:cs="Times New Roman"/>
          <w:szCs w:val="20"/>
        </w:rPr>
      </w:pPr>
      <w:r>
        <w:t xml:space="preserve">Vypracování dodatečných prvků hodnocení (podrobně popsané v pokynech </w:t>
      </w:r>
      <w:hyperlink r:id="rId34" w:history="1">
        <w:r>
          <w:rPr>
            <w:rStyle w:val="Hyperlink"/>
            <w:sz w:val="20"/>
            <w:szCs w:val="20"/>
          </w:rPr>
          <w:t>Posuzování výsledků PRV: jak se připravit na podávání zpráv o hodnocení v roce 2017</w:t>
        </w:r>
      </w:hyperlink>
      <w:r>
        <w:t xml:space="preserve">) lze shrnout takto: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710464" behindDoc="0" locked="0" layoutInCell="1" allowOverlap="1" wp14:anchorId="08D04920" wp14:editId="278009ED">
                <wp:simplePos x="0" y="0"/>
                <wp:positionH relativeFrom="column">
                  <wp:posOffset>2832100</wp:posOffset>
                </wp:positionH>
                <wp:positionV relativeFrom="paragraph">
                  <wp:posOffset>74930</wp:posOffset>
                </wp:positionV>
                <wp:extent cx="2832735" cy="2059940"/>
                <wp:effectExtent l="0" t="0" r="24765" b="1651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059940"/>
                        </a:xfrm>
                        <a:prstGeom prst="round2DiagRect">
                          <a:avLst>
                            <a:gd name="adj1" fmla="val 7843"/>
                            <a:gd name="adj2" fmla="val 0"/>
                          </a:avLst>
                        </a:prstGeom>
                        <a:noFill/>
                        <a:ln w="25400" cap="flat" cmpd="sng" algn="ctr">
                          <a:solidFill>
                            <a:srgbClr val="BE4A35"/>
                          </a:solidFill>
                          <a:prstDash val="solid"/>
                        </a:ln>
                        <a:effectLst/>
                      </wps:spPr>
                      <wps:txbx>
                        <w:txbxContent>
                          <w:p w:rsidR="005716B0" w:rsidRPr="00D450FE" w:rsidRDefault="005716B0"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Dodatečné prvky hodnocení</w:t>
                            </w:r>
                            <w:r>
                              <w:rPr>
                                <w:sz w:val="18"/>
                                <w:szCs w:val="18"/>
                              </w:rPr>
                              <w:t xml:space="preserve"> (dodatečné hodnotící otázky, dodatečná hodnotící kritéria a dodatečné ukazatele) navrhované v oddíle 2.4 těchto pokynů jsou </w:t>
                            </w:r>
                            <w:r>
                              <w:rPr>
                                <w:b/>
                                <w:sz w:val="18"/>
                                <w:szCs w:val="18"/>
                              </w:rPr>
                              <w:t xml:space="preserve">NEZÁVAZNÉ! </w:t>
                            </w:r>
                            <w:r>
                              <w:rPr>
                                <w:sz w:val="18"/>
                                <w:szCs w:val="18"/>
                              </w:rPr>
                              <w:t xml:space="preserve">Každý řídící orgán se může rozhodnout, že vypracuje a bude používat své vlastní dodatečné prvky hodnocení a prvky hodnocení týkající se specifického programu.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3pt;margin-top:5.9pt;width:223.05pt;height:16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059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" adj="-11796480,,5400" path="m161561,l2832735,r,l2832735,1898379v,89228,-72333,161561,-161561,161561l,2059940r,l,161561c,72333,72333,,161561,xe" filled="f" strokecolor="#be4a35" strokeweight="2pt">
                <v:stroke joinstyle="miter"/>
                <v:formulas/>
                <v:path arrowok="t" o:connecttype="custom" o:connectlocs="161561,0;2832735,0;2832735,0;2832735,1898379;2671174,2059940;0,2059940;0,2059940;0,161561;161561,0" o:connectangles="0,0,0,0,0,0,0,0,0" textboxrect="0,0,2832735,2059940"/>
                <v:textbox>
                  <w:txbxContent>
                    <w:p w:rsidR="005716B0" w:rsidRPr="00D450FE" w:rsidRDefault="005716B0"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Dodatečné prvky hodnocení</w:t>
                      </w:r>
                      <w:r>
                        <w:rPr>
                          <w:sz w:val="18"/>
                          <w:szCs w:val="18"/>
                        </w:rPr>
                        <w:t xml:space="preserve"> (dodatečné hodnotící otázky, dodatečná hodnotící kritéria a dodatečné ukazatele) navrhované v oddíle 2.4 těchto pokynů jsou </w:t>
                      </w:r>
                      <w:r>
                        <w:rPr>
                          <w:b/>
                          <w:sz w:val="18"/>
                          <w:szCs w:val="18"/>
                        </w:rPr>
                        <w:t xml:space="preserve">NEZÁVAZNÉ! </w:t>
                      </w:r>
                      <w:r>
                        <w:rPr>
                          <w:sz w:val="18"/>
                          <w:szCs w:val="18"/>
                        </w:rPr>
                        <w:t xml:space="preserve">Každý řídící orgán se může rozhodnout, že vypracuje a bude používat své vlastní dodatečné prvky hodnocení a prvky hodnocení týkající se specifického programu. </w:t>
                      </w:r>
                    </w:p>
                  </w:txbxContent>
                </v:textbox>
                <w10:wrap type="square"/>
              </v:shape>
            </w:pict>
          </mc:Fallback>
        </mc:AlternateContent>
      </w:r>
      <w:r>
        <w:t xml:space="preserve">vrátit se k základní intervenční logice PRV ve vztahu k inovacím (viz </w:t>
      </w:r>
      <w:hyperlink w:anchor="Screening_Potential" w:history="1">
        <w:r>
          <w:rPr>
            <w:rStyle w:val="Hyperlink"/>
            <w:sz w:val="20"/>
          </w:rPr>
          <w:t>oddíl 2.2</w:t>
        </w:r>
      </w:hyperlink>
      <w:r>
        <w:t>),</w:t>
      </w:r>
    </w:p>
    <w:p w:rsidR="00A45935" w:rsidRPr="00B10B3C" w:rsidRDefault="00A45935" w:rsidP="00B421B9">
      <w:pPr>
        <w:pStyle w:val="Hlistbullet"/>
        <w:rPr>
          <w:rFonts w:eastAsia="Calibri"/>
        </w:rPr>
      </w:pPr>
      <w:r>
        <w:t xml:space="preserve">přezkoumat společné hodnotící otázky, hodnotící kritéria a ukazatele související s inovacemi a zkontrolovat, zda jsou dostačující pro zodpovězení společné hodnotící otázky týkajících se inovací, </w:t>
      </w:r>
    </w:p>
    <w:p w:rsidR="00576A73" w:rsidRPr="00576A73" w:rsidRDefault="00A45935" w:rsidP="00B421B9">
      <w:pPr>
        <w:pStyle w:val="Hlistbullet"/>
        <w:rPr>
          <w:rFonts w:eastAsia="Calibri"/>
        </w:rPr>
      </w:pPr>
      <w:r>
        <w:t>doplnit společný systém monitorování a hodnocení dodatečnými prvky hodnocení týkajícími se inovací v případě, že společné prvky nestačí k zodpovězení společn</w:t>
      </w:r>
      <w:r w:rsidR="00D313E2">
        <w:t>ých</w:t>
      </w:r>
      <w:r>
        <w:t xml:space="preserve"> hodnotící</w:t>
      </w:r>
      <w:r w:rsidR="00D313E2">
        <w:t>h</w:t>
      </w:r>
      <w:r>
        <w:t xml:space="preserve"> otáz</w:t>
      </w:r>
      <w:r w:rsidR="00D313E2">
        <w:t>e</w:t>
      </w:r>
      <w:r>
        <w:t>k týkajících se inovací,</w:t>
      </w:r>
    </w:p>
    <w:p w:rsidR="002D5D91" w:rsidRDefault="00A45935" w:rsidP="002D5D91">
      <w:pPr>
        <w:pStyle w:val="Hlistbullet"/>
        <w:rPr>
          <w:rFonts w:eastAsia="Calibri"/>
        </w:rPr>
      </w:pPr>
      <w:r>
        <w:t>vypracovat prvky hodnocení týkající se specifického programu pro posouzení inovací, související s prioritními oblastmi specifického programu a s hodnotícími otázkami zvláštního zájmu pro řídící orgán.</w:t>
      </w:r>
      <w:r w:rsidR="002D5D91">
        <w:rPr>
          <w:rFonts w:eastAsia="Calibri"/>
        </w:rPr>
        <w:br w:type="page"/>
      </w:r>
    </w:p>
    <w:p w:rsidR="00576A73" w:rsidRPr="002D5D91" w:rsidRDefault="00A45935" w:rsidP="002D5D91">
      <w:pPr>
        <w:pStyle w:val="Hlistbullet"/>
        <w:numPr>
          <w:ilvl w:val="0"/>
          <w:numId w:val="0"/>
        </w:numPr>
        <w:rPr>
          <w:rFonts w:eastAsia="Calibri"/>
        </w:rPr>
      </w:pPr>
      <w:r w:rsidRPr="002D5D91">
        <w:rPr>
          <w:highlight w:val="yellow"/>
        </w:rPr>
        <w:lastRenderedPageBreak/>
        <w:t xml:space="preserve"> </w:t>
      </w:r>
    </w:p>
    <w:p w:rsidR="000A43B7" w:rsidRDefault="000A43B7" w:rsidP="000A43B7">
      <w:pPr>
        <w:rPr>
          <w:noProof/>
          <w:szCs w:val="20"/>
          <w:highlight w:val="yellow"/>
        </w:rPr>
      </w:pPr>
      <w:r>
        <w:rPr>
          <w:rFonts w:cs="Arial"/>
          <w:b/>
          <w:noProof/>
          <w:color w:val="F07E31"/>
          <w:szCs w:val="20"/>
          <w:lang w:val="en-GB" w:eastAsia="en-GB"/>
        </w:rPr>
        <mc:AlternateContent>
          <mc:Choice Requires="wps">
            <w:drawing>
              <wp:anchor distT="0" distB="0" distL="114300" distR="114300" simplePos="0" relativeHeight="251738112" behindDoc="0" locked="0" layoutInCell="1" allowOverlap="1" wp14:anchorId="447C667D" wp14:editId="1C4B5F1E">
                <wp:simplePos x="0" y="0"/>
                <wp:positionH relativeFrom="column">
                  <wp:posOffset>751205</wp:posOffset>
                </wp:positionH>
                <wp:positionV relativeFrom="paragraph">
                  <wp:posOffset>44450</wp:posOffset>
                </wp:positionV>
                <wp:extent cx="4154170" cy="3340100"/>
                <wp:effectExtent l="0" t="0" r="17780" b="1270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3340100"/>
                        </a:xfrm>
                        <a:prstGeom prst="round2DiagRect">
                          <a:avLst>
                            <a:gd name="adj1" fmla="val 7630"/>
                            <a:gd name="adj2" fmla="val 0"/>
                          </a:avLst>
                        </a:prstGeom>
                        <a:noFill/>
                        <a:ln w="25400" cap="flat" cmpd="sng" algn="ctr">
                          <a:solidFill>
                            <a:srgbClr val="8BAB80"/>
                          </a:solidFill>
                          <a:prstDash val="solid"/>
                        </a:ln>
                        <a:effectLst/>
                      </wps:spPr>
                      <wps:txbx>
                        <w:txbxContent>
                          <w:p w:rsidR="005716B0" w:rsidRPr="00275EE5" w:rsidRDefault="005716B0" w:rsidP="001744D0">
                            <w:pPr>
                              <w:pStyle w:val="Normal12PTcouleurgris"/>
                            </w:pPr>
                            <w:r w:rsidRPr="00171202">
                              <w:rPr>
                                <w:noProof/>
                                <w:lang w:val="en-GB" w:eastAsia="en-GB"/>
                              </w:rPr>
                              <w:drawing>
                                <wp:inline distT="0" distB="0" distL="0" distR="0" wp14:anchorId="30A0D94F" wp14:editId="25BD8278">
                                  <wp:extent cx="881227" cy="540000"/>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716B0" w:rsidRPr="0079762F" w:rsidTr="00E05D08">
                              <w:tc>
                                <w:tcPr>
                                  <w:tcW w:w="2991" w:type="dxa"/>
                                  <w:shd w:val="clear" w:color="auto" w:fill="FFFFFF"/>
                                </w:tcPr>
                                <w:p w:rsidR="005716B0" w:rsidRPr="00654F10" w:rsidRDefault="005716B0" w:rsidP="001744D0">
                                  <w:pPr>
                                    <w:pStyle w:val="Normal12PTcouleurgris"/>
                                    <w:rPr>
                                      <w:b/>
                                      <w:color w:val="404040"/>
                                      <w:sz w:val="18"/>
                                    </w:rPr>
                                  </w:pPr>
                                  <w:r>
                                    <w:rPr>
                                      <w:b/>
                                      <w:color w:val="404040"/>
                                      <w:sz w:val="18"/>
                                    </w:rPr>
                                    <w:t>Co dělat</w:t>
                                  </w:r>
                                </w:p>
                                <w:p w:rsidR="005716B0" w:rsidRPr="00654F10" w:rsidRDefault="005716B0" w:rsidP="007A450E">
                                  <w:pPr>
                                    <w:pStyle w:val="Hlistbullet"/>
                                    <w:spacing w:line="160" w:lineRule="atLeast"/>
                                    <w:jc w:val="left"/>
                                    <w:rPr>
                                      <w:sz w:val="18"/>
                                      <w:szCs w:val="18"/>
                                    </w:rPr>
                                  </w:pPr>
                                  <w:r>
                                    <w:rPr>
                                      <w:sz w:val="18"/>
                                      <w:szCs w:val="18"/>
                                    </w:rPr>
                                    <w:t>Posuďte hodnotící kritéria a ukazatele společného systému monitorování a hodnocení a ujistěte se, že stačí zodpovězení společných hodnotících otázek.</w:t>
                                  </w:r>
                                </w:p>
                                <w:p w:rsidR="005716B0" w:rsidRPr="00654F10" w:rsidRDefault="005716B0" w:rsidP="007A450E">
                                  <w:pPr>
                                    <w:pStyle w:val="Hlistbullet"/>
                                    <w:spacing w:line="160" w:lineRule="atLeast"/>
                                    <w:jc w:val="left"/>
                                    <w:rPr>
                                      <w:sz w:val="18"/>
                                      <w:szCs w:val="18"/>
                                    </w:rPr>
                                  </w:pPr>
                                  <w:r>
                                    <w:rPr>
                                      <w:sz w:val="18"/>
                                      <w:szCs w:val="18"/>
                                    </w:rPr>
                                    <w:t>Vypracujte dodatečná hodnotící kritéria a ukazatele, pokud společná hodnotící kritéria a ukazatele nestačí na shromáždění důkazů nezbytných pro zodpovězení společných hodnotících otázek.</w:t>
                                  </w:r>
                                </w:p>
                              </w:tc>
                              <w:tc>
                                <w:tcPr>
                                  <w:tcW w:w="2960" w:type="dxa"/>
                                  <w:shd w:val="clear" w:color="auto" w:fill="auto"/>
                                </w:tcPr>
                                <w:p w:rsidR="005716B0" w:rsidRPr="00654F10" w:rsidRDefault="005716B0" w:rsidP="001744D0">
                                  <w:pPr>
                                    <w:pStyle w:val="Normal12PTcouleurgris"/>
                                    <w:rPr>
                                      <w:b/>
                                      <w:color w:val="404040"/>
                                      <w:sz w:val="18"/>
                                    </w:rPr>
                                  </w:pPr>
                                  <w:r>
                                    <w:rPr>
                                      <w:b/>
                                      <w:color w:val="404040"/>
                                      <w:sz w:val="18"/>
                                    </w:rPr>
                                    <w:t>Co nedělat</w:t>
                                  </w:r>
                                </w:p>
                                <w:p w:rsidR="005716B0" w:rsidRPr="00654F10" w:rsidRDefault="005716B0" w:rsidP="007A450E">
                                  <w:pPr>
                                    <w:pStyle w:val="Hlistbullet"/>
                                    <w:spacing w:line="160" w:lineRule="atLeast"/>
                                    <w:jc w:val="left"/>
                                    <w:rPr>
                                      <w:sz w:val="18"/>
                                      <w:szCs w:val="18"/>
                                    </w:rPr>
                                  </w:pPr>
                                  <w:r>
                                    <w:rPr>
                                      <w:sz w:val="18"/>
                                      <w:szCs w:val="18"/>
                                    </w:rPr>
                                    <w:t>Nepoužívejte pro zodpovězení společných hodnotících otázek pouze ukazatele výstupů (jimiž nelze plně prokázat, zda daná politika dosáhla svého účelu).</w:t>
                                  </w:r>
                                </w:p>
                                <w:p w:rsidR="005716B0" w:rsidRPr="00654F10" w:rsidRDefault="005716B0" w:rsidP="001744D0">
                                  <w:pPr>
                                    <w:pStyle w:val="Normal12PTcouleurgris"/>
                                    <w:rPr>
                                      <w:color w:val="1A1A1A"/>
                                      <w:sz w:val="18"/>
                                    </w:rPr>
                                  </w:pPr>
                                </w:p>
                              </w:tc>
                            </w:tr>
                          </w:tbl>
                          <w:p w:rsidR="005716B0" w:rsidRPr="00275EE5" w:rsidRDefault="005716B0"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9.15pt;margin-top:3.5pt;width:327.1pt;height:2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334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" adj="-11796480,,5400" path="m254850,l4154170,r,l4154170,3085250v,140750,-114100,254850,-254850,254850l,3340100r,l,254850c,114100,114100,,254850,xe" filled="f" strokecolor="#8bab80" strokeweight="2pt">
                <v:stroke joinstyle="miter"/>
                <v:formulas/>
                <v:path arrowok="t" o:connecttype="custom" o:connectlocs="254850,0;4154170,0;4154170,0;4154170,3085250;3899320,3340100;0,3340100;0,3340100;0,254850;254850,0" o:connectangles="0,0,0,0,0,0,0,0,0" textboxrect="0,0,4154170,3340100"/>
                <v:textbox>
                  <w:txbxContent>
                    <w:p w:rsidR="005716B0" w:rsidRPr="00275EE5" w:rsidRDefault="005716B0" w:rsidP="001744D0">
                      <w:pPr>
                        <w:pStyle w:val="Normal12PTcouleurgris"/>
                      </w:pPr>
                      <w:r w:rsidRPr="00171202">
                        <w:rPr>
                          <w:noProof/>
                          <w:lang w:val="en-GB" w:eastAsia="en-GB"/>
                        </w:rPr>
                        <w:drawing>
                          <wp:inline distT="0" distB="0" distL="0" distR="0" wp14:anchorId="30A0D94F" wp14:editId="25BD8278">
                            <wp:extent cx="881227" cy="540000"/>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716B0" w:rsidRPr="0079762F" w:rsidTr="00E05D08">
                        <w:tc>
                          <w:tcPr>
                            <w:tcW w:w="2991" w:type="dxa"/>
                            <w:shd w:val="clear" w:color="auto" w:fill="FFFFFF"/>
                          </w:tcPr>
                          <w:p w:rsidR="005716B0" w:rsidRPr="00654F10" w:rsidRDefault="005716B0" w:rsidP="001744D0">
                            <w:pPr>
                              <w:pStyle w:val="Normal12PTcouleurgris"/>
                              <w:rPr>
                                <w:b/>
                                <w:color w:val="404040"/>
                                <w:sz w:val="18"/>
                              </w:rPr>
                            </w:pPr>
                            <w:r>
                              <w:rPr>
                                <w:b/>
                                <w:color w:val="404040"/>
                                <w:sz w:val="18"/>
                              </w:rPr>
                              <w:t>Co dělat</w:t>
                            </w:r>
                          </w:p>
                          <w:p w:rsidR="005716B0" w:rsidRPr="00654F10" w:rsidRDefault="005716B0" w:rsidP="007A450E">
                            <w:pPr>
                              <w:pStyle w:val="Hlistbullet"/>
                              <w:spacing w:line="160" w:lineRule="atLeast"/>
                              <w:jc w:val="left"/>
                              <w:rPr>
                                <w:sz w:val="18"/>
                                <w:szCs w:val="18"/>
                              </w:rPr>
                            </w:pPr>
                            <w:r>
                              <w:rPr>
                                <w:sz w:val="18"/>
                                <w:szCs w:val="18"/>
                              </w:rPr>
                              <w:t>Posuďte hodnotící kritéria a ukazatele společného systému monitorování a hodnocení a ujistěte se, že stačí zodpovězení společných hodnotících otázek.</w:t>
                            </w:r>
                          </w:p>
                          <w:p w:rsidR="005716B0" w:rsidRPr="00654F10" w:rsidRDefault="005716B0" w:rsidP="007A450E">
                            <w:pPr>
                              <w:pStyle w:val="Hlistbullet"/>
                              <w:spacing w:line="160" w:lineRule="atLeast"/>
                              <w:jc w:val="left"/>
                              <w:rPr>
                                <w:sz w:val="18"/>
                                <w:szCs w:val="18"/>
                              </w:rPr>
                            </w:pPr>
                            <w:r>
                              <w:rPr>
                                <w:sz w:val="18"/>
                                <w:szCs w:val="18"/>
                              </w:rPr>
                              <w:t>Vypracujte dodatečná hodnotící kritéria a ukazatele, pokud společná hodnotící kritéria a ukazatele nestačí na shromáždění důkazů nezbytných pro zodpovězení společných hodnotících otázek.</w:t>
                            </w:r>
                          </w:p>
                        </w:tc>
                        <w:tc>
                          <w:tcPr>
                            <w:tcW w:w="2960" w:type="dxa"/>
                            <w:shd w:val="clear" w:color="auto" w:fill="auto"/>
                          </w:tcPr>
                          <w:p w:rsidR="005716B0" w:rsidRPr="00654F10" w:rsidRDefault="005716B0" w:rsidP="001744D0">
                            <w:pPr>
                              <w:pStyle w:val="Normal12PTcouleurgris"/>
                              <w:rPr>
                                <w:b/>
                                <w:color w:val="404040"/>
                                <w:sz w:val="18"/>
                              </w:rPr>
                            </w:pPr>
                            <w:r>
                              <w:rPr>
                                <w:b/>
                                <w:color w:val="404040"/>
                                <w:sz w:val="18"/>
                              </w:rPr>
                              <w:t>Co nedělat</w:t>
                            </w:r>
                          </w:p>
                          <w:p w:rsidR="005716B0" w:rsidRPr="00654F10" w:rsidRDefault="005716B0" w:rsidP="007A450E">
                            <w:pPr>
                              <w:pStyle w:val="Hlistbullet"/>
                              <w:spacing w:line="160" w:lineRule="atLeast"/>
                              <w:jc w:val="left"/>
                              <w:rPr>
                                <w:sz w:val="18"/>
                                <w:szCs w:val="18"/>
                              </w:rPr>
                            </w:pPr>
                            <w:r>
                              <w:rPr>
                                <w:sz w:val="18"/>
                                <w:szCs w:val="18"/>
                              </w:rPr>
                              <w:t>Nepoužívejte pro zodpovězení společných hodnotících otázek pouze ukazatele výstupů (jimiž nelze plně prokázat, zda daná politika dosáhla svého účelu).</w:t>
                            </w:r>
                          </w:p>
                          <w:p w:rsidR="005716B0" w:rsidRPr="00654F10" w:rsidRDefault="005716B0" w:rsidP="001744D0">
                            <w:pPr>
                              <w:pStyle w:val="Normal12PTcouleurgris"/>
                              <w:rPr>
                                <w:color w:val="1A1A1A"/>
                                <w:sz w:val="18"/>
                              </w:rPr>
                            </w:pPr>
                          </w:p>
                        </w:tc>
                      </w:tr>
                    </w:tbl>
                    <w:p w:rsidR="005716B0" w:rsidRPr="00275EE5" w:rsidRDefault="005716B0"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607835"/>
      <w:bookmarkEnd w:id="11"/>
      <w:bookmarkEnd w:id="100"/>
      <w:r>
        <w:t>Zodpovězení příslušných společných hodnotících otázek (povinné)</w:t>
      </w:r>
      <w:bookmarkEnd w:id="101"/>
      <w:bookmarkEnd w:id="102"/>
      <w:bookmarkEnd w:id="103"/>
    </w:p>
    <w:p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717632" behindDoc="0" locked="0" layoutInCell="1" allowOverlap="1" wp14:anchorId="3C40B129" wp14:editId="36D62EA0">
                <wp:simplePos x="0" y="0"/>
                <wp:positionH relativeFrom="page">
                  <wp:posOffset>833755</wp:posOffset>
                </wp:positionH>
                <wp:positionV relativeFrom="paragraph">
                  <wp:posOffset>937260</wp:posOffset>
                </wp:positionV>
                <wp:extent cx="5795645" cy="3606165"/>
                <wp:effectExtent l="0" t="0" r="14605" b="13335"/>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606165"/>
                        </a:xfrm>
                        <a:prstGeom prst="round2DiagRect">
                          <a:avLst>
                            <a:gd name="adj1" fmla="val 7843"/>
                            <a:gd name="adj2" fmla="val 0"/>
                          </a:avLst>
                        </a:prstGeom>
                        <a:noFill/>
                        <a:ln w="25400" cap="flat" cmpd="sng" algn="ctr">
                          <a:solidFill>
                            <a:srgbClr val="BE4A35"/>
                          </a:solidFill>
                          <a:prstDash val="solid"/>
                        </a:ln>
                        <a:effectLst/>
                      </wps:spPr>
                      <wps:txbx>
                        <w:txbxContent>
                          <w:p w:rsidR="005716B0" w:rsidRPr="00AC3522" w:rsidRDefault="005716B0"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U každé společné hodnotící otázky se zachovává následující struktura:</w:t>
                            </w:r>
                          </w:p>
                          <w:p w:rsidR="005716B0" w:rsidRPr="00A92E91" w:rsidRDefault="005716B0" w:rsidP="008C0B17">
                            <w:pPr>
                              <w:pStyle w:val="Normal12PTcouleurgris"/>
                              <w:numPr>
                                <w:ilvl w:val="0"/>
                                <w:numId w:val="78"/>
                              </w:numPr>
                              <w:ind w:left="284" w:hanging="284"/>
                              <w:jc w:val="left"/>
                              <w:rPr>
                                <w:b/>
                                <w:shd w:val="clear" w:color="auto" w:fill="FFFFFF"/>
                              </w:rPr>
                            </w:pPr>
                            <w:r>
                              <w:rPr>
                                <w:b/>
                                <w:shd w:val="clear" w:color="auto" w:fill="FFFFFF"/>
                              </w:rPr>
                              <w:t>Pochopení společné hodnotící otázky</w:t>
                            </w:r>
                          </w:p>
                          <w:p w:rsidR="005716B0" w:rsidRPr="00A92E91" w:rsidRDefault="005716B0" w:rsidP="008C0B17">
                            <w:pPr>
                              <w:pStyle w:val="Normal12PTcouleurgris"/>
                              <w:numPr>
                                <w:ilvl w:val="0"/>
                                <w:numId w:val="78"/>
                              </w:numPr>
                              <w:ind w:left="284" w:hanging="284"/>
                              <w:jc w:val="left"/>
                              <w:rPr>
                                <w:b/>
                                <w:shd w:val="clear" w:color="auto" w:fill="FFFFFF"/>
                              </w:rPr>
                            </w:pPr>
                            <w:r>
                              <w:rPr>
                                <w:b/>
                                <w:shd w:val="clear" w:color="auto" w:fill="FFFFFF"/>
                              </w:rPr>
                              <w:t xml:space="preserve">Specifické výzvy </w:t>
                            </w:r>
                          </w:p>
                          <w:p w:rsidR="005716B0" w:rsidRPr="00A92E91" w:rsidRDefault="005716B0" w:rsidP="008C0B17">
                            <w:pPr>
                              <w:pStyle w:val="Normal12PTcouleurgris"/>
                              <w:numPr>
                                <w:ilvl w:val="0"/>
                                <w:numId w:val="78"/>
                              </w:numPr>
                              <w:ind w:left="284" w:hanging="284"/>
                              <w:jc w:val="left"/>
                              <w:rPr>
                                <w:shd w:val="clear" w:color="auto" w:fill="FFFFFF"/>
                              </w:rPr>
                            </w:pPr>
                            <w:r>
                              <w:rPr>
                                <w:b/>
                                <w:shd w:val="clear" w:color="auto" w:fill="FFFFFF"/>
                              </w:rPr>
                              <w:t>Navrhovaný přístup k zodpovězení společné hodnotící otázky</w:t>
                            </w:r>
                            <w:r>
                              <w:rPr>
                                <w:shd w:val="clear" w:color="auto" w:fill="FFFFFF"/>
                              </w:rPr>
                              <w:t xml:space="preserve">: </w:t>
                            </w:r>
                            <w:r>
                              <w:rPr>
                                <w:i/>
                                <w:shd w:val="clear" w:color="auto" w:fill="FFFFFF"/>
                              </w:rPr>
                              <w:t xml:space="preserve">Tato kapitola navrhuje kroky, metody a tipy ohledně toho, jak k zodpovězení společné hodnotící otázky používat společné a dodatečné ukazatele. </w:t>
                            </w:r>
                          </w:p>
                          <w:p w:rsidR="005716B0" w:rsidRPr="00A92E91" w:rsidRDefault="005716B0" w:rsidP="008C0B17">
                            <w:pPr>
                              <w:pStyle w:val="Hlistabc2"/>
                              <w:numPr>
                                <w:ilvl w:val="0"/>
                                <w:numId w:val="54"/>
                              </w:numPr>
                              <w:spacing w:before="120" w:after="120"/>
                              <w:rPr>
                                <w:sz w:val="18"/>
                                <w:szCs w:val="18"/>
                              </w:rPr>
                            </w:pPr>
                            <w:r>
                              <w:rPr>
                                <w:sz w:val="18"/>
                                <w:szCs w:val="18"/>
                              </w:rPr>
                              <w:t xml:space="preserve">Intervenční logika </w:t>
                            </w:r>
                          </w:p>
                          <w:p w:rsidR="005716B0" w:rsidRPr="00A92E91" w:rsidRDefault="005716B0" w:rsidP="008C0B17">
                            <w:pPr>
                              <w:pStyle w:val="Hlistabc2"/>
                              <w:numPr>
                                <w:ilvl w:val="0"/>
                                <w:numId w:val="54"/>
                              </w:numPr>
                              <w:spacing w:before="120" w:after="120"/>
                              <w:rPr>
                                <w:sz w:val="18"/>
                                <w:szCs w:val="18"/>
                              </w:rPr>
                            </w:pPr>
                            <w:r>
                              <w:rPr>
                                <w:sz w:val="18"/>
                                <w:szCs w:val="18"/>
                              </w:rPr>
                              <w:t xml:space="preserve">Prvky hodnocení </w:t>
                            </w:r>
                          </w:p>
                          <w:p w:rsidR="005716B0" w:rsidRPr="00A92E91" w:rsidRDefault="005716B0" w:rsidP="008C0B17">
                            <w:pPr>
                              <w:pStyle w:val="Hlistabc2"/>
                              <w:numPr>
                                <w:ilvl w:val="0"/>
                                <w:numId w:val="54"/>
                              </w:numPr>
                              <w:spacing w:before="120" w:after="120"/>
                              <w:rPr>
                                <w:sz w:val="18"/>
                                <w:szCs w:val="18"/>
                              </w:rPr>
                            </w:pPr>
                            <w:r>
                              <w:rPr>
                                <w:sz w:val="18"/>
                                <w:szCs w:val="18"/>
                              </w:rPr>
                              <w:t xml:space="preserve">Navrhovaná metodika hodnocení </w:t>
                            </w:r>
                          </w:p>
                          <w:p w:rsidR="005716B0" w:rsidRPr="00A92E91" w:rsidRDefault="005716B0" w:rsidP="008C0B17">
                            <w:pPr>
                              <w:pStyle w:val="Hlistabc2"/>
                              <w:numPr>
                                <w:ilvl w:val="0"/>
                                <w:numId w:val="54"/>
                              </w:numPr>
                              <w:spacing w:before="120" w:after="120"/>
                              <w:rPr>
                                <w:sz w:val="18"/>
                                <w:szCs w:val="18"/>
                              </w:rPr>
                            </w:pPr>
                            <w:r>
                              <w:rPr>
                                <w:sz w:val="18"/>
                                <w:szCs w:val="18"/>
                              </w:rPr>
                              <w:t xml:space="preserve">Rizika a řešení </w:t>
                            </w:r>
                          </w:p>
                          <w:p w:rsidR="005716B0" w:rsidRPr="00A92E91" w:rsidRDefault="005716B0" w:rsidP="008C0B17">
                            <w:pPr>
                              <w:pStyle w:val="Hlistabc2"/>
                              <w:numPr>
                                <w:ilvl w:val="0"/>
                                <w:numId w:val="54"/>
                              </w:numPr>
                              <w:spacing w:before="120" w:after="120"/>
                              <w:rPr>
                                <w:sz w:val="18"/>
                                <w:szCs w:val="18"/>
                              </w:rPr>
                            </w:pPr>
                            <w:r>
                              <w:rPr>
                                <w:sz w:val="18"/>
                                <w:szCs w:val="18"/>
                              </w:rPr>
                              <w:t>Závěry a doporučení</w:t>
                            </w:r>
                          </w:p>
                          <w:p w:rsidR="005716B0" w:rsidRPr="00A92E91" w:rsidRDefault="005716B0" w:rsidP="007372CD">
                            <w:pPr>
                              <w:pStyle w:val="Normal12PTcouleurgris"/>
                              <w:numPr>
                                <w:ilvl w:val="0"/>
                                <w:numId w:val="78"/>
                              </w:numPr>
                              <w:ind w:left="284" w:hanging="284"/>
                              <w:jc w:val="left"/>
                              <w:rPr>
                                <w:b/>
                                <w:shd w:val="clear" w:color="auto" w:fill="FFFFFF"/>
                              </w:rPr>
                            </w:pPr>
                            <w:r>
                              <w:rPr>
                                <w:b/>
                                <w:shd w:val="clear" w:color="auto" w:fill="FFFFFF"/>
                              </w:rPr>
                              <w:t>Další informace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129" id="Rectangle: Diagonal Corners Rounded 19" o:spid="_x0000_s1041" style="position:absolute;left:0;text-align:left;margin-left:65.65pt;margin-top:73.8pt;width:456.35pt;height:283.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606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" adj="-11796480,,5400" path="m282832,l5795645,r,l5795645,3323333v,156204,-126628,282832,-282832,282832l,3606165r,l,282832c,126628,126628,,282832,xe" filled="f" strokecolor="#be4a35" strokeweight="2pt">
                <v:stroke joinstyle="miter"/>
                <v:formulas/>
                <v:path arrowok="t" o:connecttype="custom" o:connectlocs="282832,0;5795645,0;5795645,0;5795645,3323333;5512813,3606165;0,3606165;0,3606165;0,282832;282832,0" o:connectangles="0,0,0,0,0,0,0,0,0" textboxrect="0,0,5795645,3606165"/>
                <v:textbox>
                  <w:txbxContent>
                    <w:p w:rsidR="005716B0" w:rsidRPr="00AC3522" w:rsidRDefault="005716B0"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U každé společné hodnotící otázky se zachovává následující struktura:</w:t>
                      </w:r>
                    </w:p>
                    <w:p w:rsidR="005716B0" w:rsidRPr="00A92E91" w:rsidRDefault="005716B0" w:rsidP="008C0B17">
                      <w:pPr>
                        <w:pStyle w:val="Normal12PTcouleurgris"/>
                        <w:numPr>
                          <w:ilvl w:val="0"/>
                          <w:numId w:val="78"/>
                        </w:numPr>
                        <w:ind w:left="284" w:hanging="284"/>
                        <w:jc w:val="left"/>
                        <w:rPr>
                          <w:b/>
                          <w:shd w:val="clear" w:color="auto" w:fill="FFFFFF"/>
                        </w:rPr>
                      </w:pPr>
                      <w:r>
                        <w:rPr>
                          <w:b/>
                          <w:shd w:val="clear" w:color="auto" w:fill="FFFFFF"/>
                        </w:rPr>
                        <w:t>Pochopení společné hodnotící otázky</w:t>
                      </w:r>
                    </w:p>
                    <w:p w:rsidR="005716B0" w:rsidRPr="00A92E91" w:rsidRDefault="005716B0" w:rsidP="008C0B17">
                      <w:pPr>
                        <w:pStyle w:val="Normal12PTcouleurgris"/>
                        <w:numPr>
                          <w:ilvl w:val="0"/>
                          <w:numId w:val="78"/>
                        </w:numPr>
                        <w:ind w:left="284" w:hanging="284"/>
                        <w:jc w:val="left"/>
                        <w:rPr>
                          <w:b/>
                          <w:shd w:val="clear" w:color="auto" w:fill="FFFFFF"/>
                        </w:rPr>
                      </w:pPr>
                      <w:r>
                        <w:rPr>
                          <w:b/>
                          <w:shd w:val="clear" w:color="auto" w:fill="FFFFFF"/>
                        </w:rPr>
                        <w:t xml:space="preserve">Specifické výzvy </w:t>
                      </w:r>
                    </w:p>
                    <w:p w:rsidR="005716B0" w:rsidRPr="00A92E91" w:rsidRDefault="005716B0" w:rsidP="008C0B17">
                      <w:pPr>
                        <w:pStyle w:val="Normal12PTcouleurgris"/>
                        <w:numPr>
                          <w:ilvl w:val="0"/>
                          <w:numId w:val="78"/>
                        </w:numPr>
                        <w:ind w:left="284" w:hanging="284"/>
                        <w:jc w:val="left"/>
                        <w:rPr>
                          <w:shd w:val="clear" w:color="auto" w:fill="FFFFFF"/>
                        </w:rPr>
                      </w:pPr>
                      <w:r>
                        <w:rPr>
                          <w:b/>
                          <w:shd w:val="clear" w:color="auto" w:fill="FFFFFF"/>
                        </w:rPr>
                        <w:t>Navrhovaný přístup k zodpovězení společné hodnotící otázky</w:t>
                      </w:r>
                      <w:r>
                        <w:rPr>
                          <w:shd w:val="clear" w:color="auto" w:fill="FFFFFF"/>
                        </w:rPr>
                        <w:t xml:space="preserve">: </w:t>
                      </w:r>
                      <w:r>
                        <w:rPr>
                          <w:i/>
                          <w:shd w:val="clear" w:color="auto" w:fill="FFFFFF"/>
                        </w:rPr>
                        <w:t xml:space="preserve">Tato kapitola navrhuje kroky, metody a tipy ohledně toho, jak k zodpovězení společné hodnotící otázky používat společné a dodatečné ukazatele. </w:t>
                      </w:r>
                    </w:p>
                    <w:p w:rsidR="005716B0" w:rsidRPr="00A92E91" w:rsidRDefault="005716B0" w:rsidP="008C0B17">
                      <w:pPr>
                        <w:pStyle w:val="Hlistabc2"/>
                        <w:numPr>
                          <w:ilvl w:val="0"/>
                          <w:numId w:val="54"/>
                        </w:numPr>
                        <w:spacing w:before="120" w:after="120"/>
                        <w:rPr>
                          <w:sz w:val="18"/>
                          <w:szCs w:val="18"/>
                        </w:rPr>
                      </w:pPr>
                      <w:r>
                        <w:rPr>
                          <w:sz w:val="18"/>
                          <w:szCs w:val="18"/>
                        </w:rPr>
                        <w:t xml:space="preserve">Intervenční logika </w:t>
                      </w:r>
                    </w:p>
                    <w:p w:rsidR="005716B0" w:rsidRPr="00A92E91" w:rsidRDefault="005716B0" w:rsidP="008C0B17">
                      <w:pPr>
                        <w:pStyle w:val="Hlistabc2"/>
                        <w:numPr>
                          <w:ilvl w:val="0"/>
                          <w:numId w:val="54"/>
                        </w:numPr>
                        <w:spacing w:before="120" w:after="120"/>
                        <w:rPr>
                          <w:sz w:val="18"/>
                          <w:szCs w:val="18"/>
                        </w:rPr>
                      </w:pPr>
                      <w:r>
                        <w:rPr>
                          <w:sz w:val="18"/>
                          <w:szCs w:val="18"/>
                        </w:rPr>
                        <w:t xml:space="preserve">Prvky hodnocení </w:t>
                      </w:r>
                    </w:p>
                    <w:p w:rsidR="005716B0" w:rsidRPr="00A92E91" w:rsidRDefault="005716B0" w:rsidP="008C0B17">
                      <w:pPr>
                        <w:pStyle w:val="Hlistabc2"/>
                        <w:numPr>
                          <w:ilvl w:val="0"/>
                          <w:numId w:val="54"/>
                        </w:numPr>
                        <w:spacing w:before="120" w:after="120"/>
                        <w:rPr>
                          <w:sz w:val="18"/>
                          <w:szCs w:val="18"/>
                        </w:rPr>
                      </w:pPr>
                      <w:r>
                        <w:rPr>
                          <w:sz w:val="18"/>
                          <w:szCs w:val="18"/>
                        </w:rPr>
                        <w:t xml:space="preserve">Navrhovaná metodika hodnocení </w:t>
                      </w:r>
                    </w:p>
                    <w:p w:rsidR="005716B0" w:rsidRPr="00A92E91" w:rsidRDefault="005716B0" w:rsidP="008C0B17">
                      <w:pPr>
                        <w:pStyle w:val="Hlistabc2"/>
                        <w:numPr>
                          <w:ilvl w:val="0"/>
                          <w:numId w:val="54"/>
                        </w:numPr>
                        <w:spacing w:before="120" w:after="120"/>
                        <w:rPr>
                          <w:sz w:val="18"/>
                          <w:szCs w:val="18"/>
                        </w:rPr>
                      </w:pPr>
                      <w:r>
                        <w:rPr>
                          <w:sz w:val="18"/>
                          <w:szCs w:val="18"/>
                        </w:rPr>
                        <w:t xml:space="preserve">Rizika a řešení </w:t>
                      </w:r>
                    </w:p>
                    <w:p w:rsidR="005716B0" w:rsidRPr="00A92E91" w:rsidRDefault="005716B0" w:rsidP="008C0B17">
                      <w:pPr>
                        <w:pStyle w:val="Hlistabc2"/>
                        <w:numPr>
                          <w:ilvl w:val="0"/>
                          <w:numId w:val="54"/>
                        </w:numPr>
                        <w:spacing w:before="120" w:after="120"/>
                        <w:rPr>
                          <w:sz w:val="18"/>
                          <w:szCs w:val="18"/>
                        </w:rPr>
                      </w:pPr>
                      <w:r>
                        <w:rPr>
                          <w:sz w:val="18"/>
                          <w:szCs w:val="18"/>
                        </w:rPr>
                        <w:t>Závěry a doporučení</w:t>
                      </w:r>
                    </w:p>
                    <w:p w:rsidR="005716B0" w:rsidRPr="00A92E91" w:rsidRDefault="005716B0" w:rsidP="007372CD">
                      <w:pPr>
                        <w:pStyle w:val="Normal12PTcouleurgris"/>
                        <w:numPr>
                          <w:ilvl w:val="0"/>
                          <w:numId w:val="78"/>
                        </w:numPr>
                        <w:ind w:left="284" w:hanging="284"/>
                        <w:jc w:val="left"/>
                        <w:rPr>
                          <w:b/>
                          <w:shd w:val="clear" w:color="auto" w:fill="FFFFFF"/>
                        </w:rPr>
                      </w:pPr>
                      <w:r>
                        <w:rPr>
                          <w:b/>
                          <w:shd w:val="clear" w:color="auto" w:fill="FFFFFF"/>
                        </w:rPr>
                        <w:t>Další informace</w:t>
                      </w:r>
                    </w:p>
                  </w:txbxContent>
                </v:textbox>
                <w10:wrap type="square" anchorx="page"/>
              </v:shape>
            </w:pict>
          </mc:Fallback>
        </mc:AlternateContent>
      </w:r>
      <w:r>
        <w:rPr>
          <w:szCs w:val="20"/>
          <w:shd w:val="clear" w:color="auto" w:fill="FFFFFF"/>
        </w:rPr>
        <w:t xml:space="preserve">Zodpovězení společných hodnotících otázek je povinné, avšak tato kapitola uvádí nezávazné pokyny ohledně toho, jak zodpovědět společné hodnotící otázky č. 1, 2, 21, 23 a 30 týkající se inovací. Tyto otázky musí být zodpovězeny v rozšířené výroční zprávě o provádění, která má být předložena v roce 2019, a </w:t>
      </w:r>
      <w:r w:rsidR="00A7104E">
        <w:rPr>
          <w:szCs w:val="20"/>
          <w:shd w:val="clear" w:color="auto" w:fill="FFFFFF"/>
        </w:rPr>
        <w:t>v</w:t>
      </w:r>
      <w:r>
        <w:rPr>
          <w:szCs w:val="20"/>
          <w:shd w:val="clear" w:color="auto" w:fill="FFFFFF"/>
        </w:rPr>
        <w:t xml:space="preserve"> hodnocení </w:t>
      </w:r>
      <w:r>
        <w:rPr>
          <w:i/>
          <w:szCs w:val="20"/>
          <w:shd w:val="clear" w:color="auto" w:fill="FFFFFF"/>
        </w:rPr>
        <w:t>ex post</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607836"/>
      <w:r>
        <w:lastRenderedPageBreak/>
        <w:t>Společná hodnotící otázka č. 1: „Do jaké míry podpořily intervence programu rozvoje venkova inovace, spolupráci a rozvoj znalostní základny ve venkovských oblastech?“</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Pochopení společné hodnotící otázky</w:t>
      </w:r>
    </w:p>
    <w:p w:rsidR="00A45935" w:rsidRPr="00E05D08" w:rsidRDefault="00A45935" w:rsidP="00E05D08">
      <w:pPr>
        <w:spacing w:after="120" w:line="280" w:lineRule="atLeast"/>
        <w:mirrorIndents/>
        <w:rPr>
          <w:rFonts w:eastAsia="Times New Roman" w:cs="Times New Roman"/>
          <w:szCs w:val="20"/>
        </w:rPr>
      </w:pPr>
      <w:r>
        <w:t>Existují tři opatření, jež nejvýznamněji přispívají k dosažení cíle spojeného se společnou hodnotící otázkou č. 1 (tj. podporovat inovace): M1 (článek 14 „Předávání znalostí a informační akce“), M2 (článek 15 „Poradenské, řídicí a pomocné služby pro zemědělství“) a M16 (článek 35 „Spolupráce“)</w:t>
      </w:r>
      <w:r>
        <w:rPr>
          <w:rFonts w:eastAsia="Times New Roman" w:cs="Times New Roman"/>
          <w:szCs w:val="20"/>
          <w:vertAlign w:val="superscript"/>
          <w:lang w:eastAsia="de-DE"/>
        </w:rPr>
        <w:footnoteReference w:id="48"/>
      </w:r>
      <w:r>
        <w:t>. Kromě toho lze také M19 (článek 42 a článek 35 nařízení (EU) č. 1303/2013) považovat za opatření významně přispívající k aspektu inovací v rámci výše uvedeného cíle.</w:t>
      </w:r>
    </w:p>
    <w:p w:rsidR="00A45935" w:rsidRPr="00E05D08" w:rsidRDefault="00A45935" w:rsidP="00E05D08">
      <w:pPr>
        <w:spacing w:after="120" w:line="280" w:lineRule="atLeast"/>
        <w:mirrorIndents/>
        <w:rPr>
          <w:rFonts w:eastAsia="Times New Roman" w:cs="Times New Roman"/>
          <w:szCs w:val="20"/>
        </w:rPr>
      </w:pPr>
      <w:r>
        <w:t xml:space="preserve">Je nezbytné zkoumat, které aspekty těchto opatření podporují inovace. Například z dané intervenční logiky priority 1 by mohlo vyplynout, že M1 a M16 přímo přispívají také k prioritní oblasti 1B (M16) nebo prioritní oblasti 1C (M1), a nejen k prioritní oblasti 1A. </w:t>
      </w:r>
    </w:p>
    <w:p w:rsidR="00A45935" w:rsidRPr="00E05D08" w:rsidRDefault="00654F10" w:rsidP="00E05D08">
      <w:pPr>
        <w:spacing w:after="120" w:line="280" w:lineRule="atLeast"/>
        <w:mirrorIndents/>
        <w:rPr>
          <w:rFonts w:eastAsia="Times New Roman" w:cs="Times New Roman"/>
          <w:szCs w:val="20"/>
        </w:rPr>
      </w:pPr>
      <w:r>
        <w:t xml:space="preserve">Prvky těchto opatření týkající se inovací lze vyčlenit takto: </w:t>
      </w:r>
    </w:p>
    <w:p w:rsidR="00A45935" w:rsidRDefault="00A45935" w:rsidP="00E05D08">
      <w:pPr>
        <w:spacing w:after="120" w:line="280" w:lineRule="atLeast"/>
        <w:mirrorIndents/>
        <w:rPr>
          <w:rFonts w:eastAsia="Times New Roman" w:cs="Times New Roman"/>
          <w:szCs w:val="20"/>
        </w:rPr>
      </w:pPr>
      <w:r>
        <w:rPr>
          <w:b/>
          <w:szCs w:val="20"/>
        </w:rPr>
        <w:t>M1</w:t>
      </w:r>
      <w:r>
        <w:t xml:space="preserve"> (článek 14) zahrnuje odborné vzdělávání a získávání dovedností, demonstrační činnosti a informační akce. Dále může zahrnovat také výměny řídicích pracovníků zemědělských a lesnických podniků a návštěvy zemědělských a lesnických podniků</w:t>
      </w:r>
      <w:r w:rsidR="00A26055">
        <w:t>.</w:t>
      </w:r>
      <w:r>
        <w:t xml:space="preserve"> Ačkoli v článku 14 nejsou inovace výslovně zmíněny, mohou se tyto akce významně podílet na </w:t>
      </w:r>
      <w:r>
        <w:rPr>
          <w:b/>
          <w:szCs w:val="20"/>
        </w:rPr>
        <w:t>budování inovační kapacity</w:t>
      </w:r>
      <w:r>
        <w:t>.</w:t>
      </w:r>
    </w:p>
    <w:p w:rsidR="00A45935" w:rsidRPr="00E05D08" w:rsidRDefault="00A45935" w:rsidP="00E05D08">
      <w:pPr>
        <w:spacing w:after="120" w:line="280" w:lineRule="atLeast"/>
        <w:mirrorIndents/>
        <w:rPr>
          <w:rFonts w:eastAsia="Times New Roman" w:cs="Times New Roman"/>
          <w:szCs w:val="20"/>
        </w:rPr>
      </w:pPr>
      <w:r>
        <w:rPr>
          <w:b/>
          <w:szCs w:val="20"/>
        </w:rPr>
        <w:t>M2</w:t>
      </w:r>
      <w:r>
        <w:t xml:space="preserve"> (článek 15) zahrnuje poradenství poskytované jednotlivým zemědělcům, mladým zemědělcům a jiným uživatelům půdy a rovněž odbornou přípravu poradců nebo poskytovatelů služeb na podporu inovací. To zahrnuje některé prvky, jako je poradenství týkající se opatření PRV na úrovni zemědělských podniků zaměřené mimo jiné na inovace</w:t>
      </w:r>
      <w:r>
        <w:rPr>
          <w:rFonts w:eastAsia="Times New Roman" w:cs="Times New Roman"/>
          <w:szCs w:val="20"/>
          <w:vertAlign w:val="superscript"/>
          <w:lang w:eastAsia="de-DE"/>
        </w:rPr>
        <w:footnoteReference w:id="49"/>
      </w:r>
      <w:r>
        <w:t xml:space="preserve">. Poskytování poradenských služeb je jedním ze způsobů </w:t>
      </w:r>
      <w:r>
        <w:rPr>
          <w:b/>
          <w:szCs w:val="20"/>
        </w:rPr>
        <w:t>budování inovační kapacity</w:t>
      </w:r>
      <w:r>
        <w:t xml:space="preserve"> (viz </w:t>
      </w:r>
      <w:hyperlink w:anchor="Innovation_RD" w:history="1">
        <w:r>
          <w:rPr>
            <w:rStyle w:val="Hyperlink"/>
            <w:sz w:val="20"/>
            <w:szCs w:val="20"/>
          </w:rPr>
          <w:t>oddíl 1.1</w:t>
        </w:r>
      </w:hyperlink>
      <w:r>
        <w:t>) tím, že nabízí příležitost k předávání poznatků. V kontextu EIP kromě toho poradci / služby na podporu inovací přejímají úlohu „koučování“ v rámci interaktivních inovačních procesů spojených s operačními skupinami.</w:t>
      </w:r>
    </w:p>
    <w:p w:rsidR="00A45935" w:rsidRDefault="00A45935" w:rsidP="00E05D08">
      <w:pPr>
        <w:spacing w:after="120" w:line="280" w:lineRule="atLeast"/>
        <w:mirrorIndents/>
        <w:rPr>
          <w:rFonts w:eastAsia="Times New Roman" w:cs="Times New Roman"/>
          <w:szCs w:val="20"/>
        </w:rPr>
      </w:pPr>
      <w:r>
        <w:rPr>
          <w:b/>
        </w:rPr>
        <w:t>M16</w:t>
      </w:r>
      <w:r>
        <w:t xml:space="preserve"> (článek 35) podporuje a) spolupráci mezi širokou škálou aktérů, kteří přispívají k dosažení cílů politiky rozvoje venkova (odvětví zemědělství a lesnictví, potravinový řetězec, družstva, mezioborové organizace a další); b) vytváření klastrů a sítí a c) zřizování a provoz operačních skupin EIP-AGRI. Opatření M16 obsahuje 10 podopatření a podporuje inovace v souvislosti se </w:t>
      </w:r>
      <w:r>
        <w:rPr>
          <w:b/>
          <w:szCs w:val="20"/>
        </w:rPr>
        <w:t>všemi třemi scénáři</w:t>
      </w:r>
      <w:r>
        <w:t xml:space="preserve"> popsanými v oddíle 1.1 (viz rámeček níže).</w:t>
      </w:r>
    </w:p>
    <w:p w:rsidR="006F1601" w:rsidRDefault="00A45935" w:rsidP="00E05D08">
      <w:pPr>
        <w:spacing w:after="120" w:line="280" w:lineRule="atLeast"/>
        <w:mirrorIndents/>
        <w:rPr>
          <w:rFonts w:eastAsia="Times New Roman" w:cs="Times New Roman"/>
          <w:szCs w:val="20"/>
        </w:rPr>
      </w:pPr>
      <w:r>
        <w:rPr>
          <w:b/>
          <w:szCs w:val="20"/>
        </w:rPr>
        <w:t xml:space="preserve">M19 </w:t>
      </w:r>
      <w:r>
        <w:t>(článek 42) podporuje místní rozvoj venkova prostřednictvím uplatňování zásad LEADER</w:t>
      </w:r>
      <w:r>
        <w:rPr>
          <w:rFonts w:eastAsia="Calibri" w:cs="Times New Roman"/>
          <w:szCs w:val="20"/>
          <w:vertAlign w:val="superscript"/>
          <w:lang w:eastAsia="de-DE"/>
        </w:rPr>
        <w:footnoteReference w:id="50"/>
      </w:r>
      <w:r>
        <w:t>. Jedna z těchto zásad se zaměřuje na podporu inovací prostřednictvím činností místních akčních skupin a příjemců strategií komunitně vedeného místního rozvoje. Opatření M19 obsahuje 5 podopatření, jež mohou podporovat inovace jedním, dvěma nebo všemi třemi scénáři popsanými v oddíle 1.1 (viz rámeček níže).</w:t>
      </w:r>
    </w:p>
    <w:p w:rsidR="005716B0" w:rsidRDefault="005716B0">
      <w:pPr>
        <w:jc w:val="left"/>
        <w:rPr>
          <w:rFonts w:eastAsia="Calibri" w:cs="Times New Roman"/>
          <w:szCs w:val="20"/>
          <w:lang w:eastAsia="de-DE"/>
        </w:rPr>
      </w:pPr>
      <w:r>
        <w:rPr>
          <w:rFonts w:eastAsia="Calibri" w:cs="Times New Roman"/>
          <w:szCs w:val="20"/>
          <w:lang w:eastAsia="de-DE"/>
        </w:rPr>
        <w:br w:type="page"/>
      </w:r>
    </w:p>
    <w:p w:rsidR="00A66F3C" w:rsidRPr="005716B0" w:rsidRDefault="005716B0" w:rsidP="00A66F3C">
      <w:pPr>
        <w:spacing w:after="120" w:line="280" w:lineRule="atLeast"/>
        <w:mirrorIndents/>
        <w:rPr>
          <w:rFonts w:eastAsia="Calibri" w:cs="Times New Roman"/>
          <w:b/>
          <w:color w:val="57825E"/>
          <w:sz w:val="16"/>
          <w:szCs w:val="16"/>
          <w:shd w:val="clear" w:color="auto" w:fill="FFFFFF"/>
        </w:rPr>
      </w:pPr>
      <w:r w:rsidRPr="00346923">
        <w:rPr>
          <w:rStyle w:val="FootnoteReference"/>
          <w:rFonts w:eastAsia="Calibri" w:cs="Times New Roman"/>
          <w:b/>
          <w:color w:val="FFFFFF" w:themeColor="background1"/>
          <w:sz w:val="16"/>
          <w:szCs w:val="16"/>
          <w:shd w:val="clear" w:color="auto" w:fill="FFFFFF"/>
        </w:rPr>
        <w:lastRenderedPageBreak/>
        <w:footnoteReference w:id="51"/>
      </w:r>
      <w:r w:rsidRPr="005716B0">
        <w:rPr>
          <w:rFonts w:eastAsia="Times New Roman" w:cs="Times New Roman"/>
          <w:noProof/>
          <w:sz w:val="16"/>
          <w:szCs w:val="16"/>
          <w:lang w:val="en-GB" w:eastAsia="en-GB"/>
        </w:rPr>
        <mc:AlternateContent>
          <mc:Choice Requires="wps">
            <w:drawing>
              <wp:anchor distT="0" distB="0" distL="114300" distR="114300" simplePos="0" relativeHeight="251736064" behindDoc="1" locked="0" layoutInCell="1" allowOverlap="1" wp14:anchorId="73F6588C" wp14:editId="4CAFFA7B">
                <wp:simplePos x="0" y="0"/>
                <wp:positionH relativeFrom="column">
                  <wp:posOffset>-95097</wp:posOffset>
                </wp:positionH>
                <wp:positionV relativeFrom="paragraph">
                  <wp:posOffset>584</wp:posOffset>
                </wp:positionV>
                <wp:extent cx="5972810" cy="7484745"/>
                <wp:effectExtent l="0" t="0" r="27940" b="20955"/>
                <wp:wrapTight wrapText="bothSides">
                  <wp:wrapPolygon edited="0">
                    <wp:start x="758" y="0"/>
                    <wp:lineTo x="0" y="275"/>
                    <wp:lineTo x="0" y="21605"/>
                    <wp:lineTo x="20943" y="21605"/>
                    <wp:lineTo x="21081" y="21605"/>
                    <wp:lineTo x="21632" y="21221"/>
                    <wp:lineTo x="21632" y="0"/>
                    <wp:lineTo x="758"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72810" cy="7484745"/>
                        </a:xfrm>
                        <a:prstGeom prst="round2DiagRect">
                          <a:avLst>
                            <a:gd name="adj1" fmla="val 5642"/>
                            <a:gd name="adj2" fmla="val 0"/>
                          </a:avLst>
                        </a:prstGeom>
                        <a:noFill/>
                        <a:ln w="25400" cap="flat" cmpd="sng" algn="ctr">
                          <a:solidFill>
                            <a:srgbClr val="F07E31"/>
                          </a:solidFill>
                          <a:prstDash val="solid"/>
                        </a:ln>
                        <a:effectLst/>
                      </wps:spPr>
                      <wps:txbx>
                        <w:txbxContent>
                          <w:p w:rsidR="005716B0" w:rsidRDefault="005716B0" w:rsidP="00C3334D">
                            <w:pPr>
                              <w:pStyle w:val="HStandard"/>
                              <w:ind w:left="284" w:right="23"/>
                            </w:pPr>
                            <w:r>
                              <w:rPr>
                                <w:noProof/>
                                <w:lang w:val="en-GB" w:eastAsia="en-GB"/>
                              </w:rPr>
                              <w:drawing>
                                <wp:inline distT="0" distB="0" distL="0" distR="0" wp14:anchorId="2FE01868" wp14:editId="43151C15">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716B0" w:rsidRPr="005716B0" w:rsidRDefault="005716B0" w:rsidP="00A66F3C">
                            <w:pPr>
                              <w:pStyle w:val="HStandard"/>
                              <w:ind w:right="23"/>
                              <w:rPr>
                                <w:b/>
                                <w:color w:val="F07E31"/>
                                <w:sz w:val="16"/>
                                <w:szCs w:val="16"/>
                              </w:rPr>
                            </w:pPr>
                            <w:r w:rsidRPr="005716B0">
                              <w:rPr>
                                <w:b/>
                                <w:color w:val="F07E31"/>
                                <w:sz w:val="16"/>
                                <w:szCs w:val="16"/>
                              </w:rPr>
                              <w:t>Příklady toho, jak opatření M1 může budovat inovační kapacitu:</w:t>
                            </w:r>
                          </w:p>
                          <w:p w:rsidR="005716B0" w:rsidRPr="005716B0" w:rsidRDefault="005716B0" w:rsidP="00A66F3C">
                            <w:pPr>
                              <w:pStyle w:val="Hlistbullet"/>
                              <w:rPr>
                                <w:sz w:val="16"/>
                                <w:szCs w:val="16"/>
                              </w:rPr>
                            </w:pPr>
                            <w:r w:rsidRPr="005716B0">
                              <w:rPr>
                                <w:sz w:val="16"/>
                                <w:szCs w:val="16"/>
                              </w:rPr>
                              <w:t>Nové dovednosti pro zemědělce / malé a střední podniky při uplatňování inovativních procesů/technik nebo nové organizační dovednosti</w:t>
                            </w:r>
                          </w:p>
                          <w:p w:rsidR="005716B0" w:rsidRPr="005716B0" w:rsidRDefault="005716B0" w:rsidP="00A66F3C">
                            <w:pPr>
                              <w:pStyle w:val="Hlistbullet"/>
                              <w:rPr>
                                <w:sz w:val="16"/>
                                <w:szCs w:val="16"/>
                              </w:rPr>
                            </w:pPr>
                            <w:r w:rsidRPr="005716B0">
                              <w:rPr>
                                <w:sz w:val="16"/>
                                <w:szCs w:val="16"/>
                              </w:rPr>
                              <w:t>Výměny a návštěvy, jež pomáhají předávat poznatky z jednoho zemědělského podniku / regionu do druhého</w:t>
                            </w:r>
                          </w:p>
                          <w:p w:rsidR="005716B0" w:rsidRPr="005716B0" w:rsidRDefault="005716B0" w:rsidP="00C3334D">
                            <w:pPr>
                              <w:pStyle w:val="HStandard"/>
                              <w:ind w:right="54"/>
                              <w:rPr>
                                <w:b/>
                                <w:color w:val="F07E31"/>
                                <w:sz w:val="16"/>
                                <w:szCs w:val="16"/>
                              </w:rPr>
                            </w:pPr>
                            <w:r w:rsidRPr="005716B0">
                              <w:rPr>
                                <w:b/>
                                <w:color w:val="F07E31"/>
                                <w:sz w:val="16"/>
                                <w:szCs w:val="16"/>
                              </w:rPr>
                              <w:t>Příklady toho, jak opatření M16 podporuje inovace</w:t>
                            </w:r>
                          </w:p>
                          <w:p w:rsidR="005716B0" w:rsidRPr="005716B0" w:rsidRDefault="005716B0" w:rsidP="00A66F3C">
                            <w:pPr>
                              <w:pStyle w:val="Hlistbullet"/>
                              <w:rPr>
                                <w:sz w:val="16"/>
                                <w:szCs w:val="16"/>
                              </w:rPr>
                            </w:pPr>
                            <w:r w:rsidRPr="005716B0">
                              <w:rPr>
                                <w:sz w:val="16"/>
                                <w:szCs w:val="16"/>
                              </w:rPr>
                              <w:t>Vývoj nových produktů, postupů, technologií v odvětvích zemědělství, potravinářství a lesnictví (podopatření M16.2</w:t>
                            </w:r>
                            <w:r w:rsidRPr="005716B0">
                              <w:rPr>
                                <w:sz w:val="16"/>
                                <w:szCs w:val="16"/>
                                <w:vertAlign w:val="superscript"/>
                              </w:rPr>
                              <w:t>51</w:t>
                            </w:r>
                            <w:r w:rsidRPr="005716B0">
                              <w:rPr>
                                <w:sz w:val="16"/>
                                <w:szCs w:val="16"/>
                              </w:rPr>
                              <w:t xml:space="preserve">) souvisí se spoluprací při identifikaci a rozvíjení inovací. </w:t>
                            </w:r>
                          </w:p>
                          <w:p w:rsidR="005716B0" w:rsidRPr="005716B0" w:rsidRDefault="005716B0" w:rsidP="00A66F3C">
                            <w:pPr>
                              <w:pStyle w:val="Hlistbullet"/>
                              <w:rPr>
                                <w:sz w:val="16"/>
                                <w:szCs w:val="16"/>
                              </w:rPr>
                            </w:pPr>
                            <w:r w:rsidRPr="005716B0">
                              <w:rPr>
                                <w:sz w:val="16"/>
                                <w:szCs w:val="16"/>
                              </w:rPr>
                              <w:t xml:space="preserve">Všechna ostatní podopatření mají potenciál </w:t>
                            </w:r>
                            <w:r w:rsidRPr="005716B0">
                              <w:rPr>
                                <w:b/>
                                <w:sz w:val="16"/>
                                <w:szCs w:val="16"/>
                              </w:rPr>
                              <w:t>budovat inovační kapacitu</w:t>
                            </w:r>
                            <w:r w:rsidRPr="005716B0">
                              <w:rPr>
                                <w:sz w:val="16"/>
                                <w:szCs w:val="16"/>
                              </w:rPr>
                              <w:t xml:space="preserve"> vzhledem k tomu, že proces spolupráce znamená společně zjišťovat nové příležitosti, produkovat nové nápady, experimentovat s novými technologiemi nebo hledat nové cesty a způsoby.</w:t>
                            </w:r>
                          </w:p>
                          <w:p w:rsidR="005716B0" w:rsidRPr="005716B0" w:rsidRDefault="005716B0" w:rsidP="00A66F3C">
                            <w:pPr>
                              <w:pStyle w:val="Hlistbullet"/>
                              <w:rPr>
                                <w:sz w:val="16"/>
                                <w:szCs w:val="16"/>
                              </w:rPr>
                            </w:pPr>
                            <w:r w:rsidRPr="005716B0">
                              <w:rPr>
                                <w:sz w:val="16"/>
                                <w:szCs w:val="16"/>
                              </w:rPr>
                              <w:t>Podpora, kterou projektům založeným na spolupráci poskytují poradci / služby na podporu inovací včetně podpory, kterou za tímto účelem poskytují CSV, může přispívat k </w:t>
                            </w:r>
                            <w:r w:rsidRPr="005716B0">
                              <w:rPr>
                                <w:b/>
                                <w:sz w:val="16"/>
                                <w:szCs w:val="16"/>
                              </w:rPr>
                              <w:t>budování inovační kapacity</w:t>
                            </w:r>
                            <w:r w:rsidRPr="005716B0">
                              <w:rPr>
                                <w:sz w:val="16"/>
                                <w:szCs w:val="16"/>
                              </w:rPr>
                              <w:t>.</w:t>
                            </w:r>
                          </w:p>
                          <w:p w:rsidR="005716B0" w:rsidRPr="005716B0" w:rsidRDefault="005716B0" w:rsidP="00A66F3C">
                            <w:pPr>
                              <w:pStyle w:val="Hlistbullet"/>
                              <w:rPr>
                                <w:sz w:val="16"/>
                                <w:szCs w:val="16"/>
                              </w:rPr>
                            </w:pPr>
                            <w:r w:rsidRPr="005716B0">
                              <w:rPr>
                                <w:sz w:val="16"/>
                                <w:szCs w:val="16"/>
                              </w:rPr>
                              <w:t>Zapojení inovačních zúčastněných stran do projektů založených na spolupráci (např. služeb na podporu inovací, středisek pro výzkum a vývoj nebo inovačních a technologických středisek) může přispívat k </w:t>
                            </w:r>
                            <w:r w:rsidRPr="005716B0">
                              <w:rPr>
                                <w:b/>
                                <w:sz w:val="16"/>
                                <w:szCs w:val="16"/>
                              </w:rPr>
                              <w:t>vytváření příznivého prostředí pro inovace</w:t>
                            </w:r>
                            <w:r w:rsidRPr="005716B0">
                              <w:rPr>
                                <w:sz w:val="16"/>
                                <w:szCs w:val="16"/>
                              </w:rPr>
                              <w:t>. Například provádění společného výzkumného projektu může vést k výsledku, který může ovlivnit právní předpisy (např. právní předpisy v oblasti ochrany životního prostředí).</w:t>
                            </w:r>
                          </w:p>
                          <w:p w:rsidR="005716B0" w:rsidRPr="005716B0" w:rsidRDefault="005716B0" w:rsidP="00A66F3C">
                            <w:pPr>
                              <w:pStyle w:val="Hlistbullet"/>
                              <w:rPr>
                                <w:sz w:val="16"/>
                                <w:szCs w:val="16"/>
                              </w:rPr>
                            </w:pPr>
                            <w:r w:rsidRPr="005716B0">
                              <w:rPr>
                                <w:sz w:val="16"/>
                                <w:szCs w:val="16"/>
                              </w:rPr>
                              <w:t xml:space="preserve">Zakládání a provoz operačních skupin může přinést ještě ucelenější přístup k podpoře inovací prostřednictvím zkombinování </w:t>
                            </w:r>
                            <w:r w:rsidRPr="005716B0">
                              <w:rPr>
                                <w:b/>
                                <w:sz w:val="16"/>
                                <w:szCs w:val="16"/>
                              </w:rPr>
                              <w:t>všech tří scénářů</w:t>
                            </w:r>
                            <w:r w:rsidRPr="005716B0">
                              <w:rPr>
                                <w:sz w:val="16"/>
                                <w:szCs w:val="16"/>
                              </w:rPr>
                              <w:t>: identifikace nových nápadů (výchozí bod pro operační skupiny), budování investiční kapacity (podpora ze strany poradců / služeb na podporu inovací) a vytváření příznivého prostředí pro inovace (výsledky projektů operačních skupin).</w:t>
                            </w:r>
                          </w:p>
                          <w:p w:rsidR="005716B0" w:rsidRPr="005716B0" w:rsidRDefault="005716B0" w:rsidP="00C3334D">
                            <w:pPr>
                              <w:pStyle w:val="Normal12PTcouleurgris"/>
                              <w:ind w:left="284"/>
                              <w:rPr>
                                <w:color w:val="F07E31"/>
                                <w:sz w:val="16"/>
                                <w:szCs w:val="16"/>
                              </w:rPr>
                            </w:pPr>
                            <w:r w:rsidRPr="005716B0">
                              <w:rPr>
                                <w:b/>
                                <w:color w:val="F07E31"/>
                                <w:sz w:val="16"/>
                                <w:szCs w:val="16"/>
                              </w:rPr>
                              <w:t>Příklady toho, jak opatření M19 podporuje inovace</w:t>
                            </w:r>
                          </w:p>
                          <w:p w:rsidR="005716B0" w:rsidRPr="005716B0" w:rsidRDefault="005716B0" w:rsidP="00A66F3C">
                            <w:pPr>
                              <w:pStyle w:val="Hlistbullet"/>
                              <w:rPr>
                                <w:sz w:val="16"/>
                                <w:szCs w:val="16"/>
                              </w:rPr>
                            </w:pPr>
                            <w:r w:rsidRPr="005716B0">
                              <w:rPr>
                                <w:sz w:val="16"/>
                                <w:szCs w:val="16"/>
                              </w:rPr>
                              <w:t xml:space="preserve">Uplatňování nových způsobů navrhování strategií včetně různých jedinečných forem zajištění účasti místních obyvatel na přijímání strategických rozhodnutí (např. různé činnosti zaměřené na oživení spojené se shromažďováním informací, různá pracovní setkání a diskusní platformy atd.), a přispívat tak </w:t>
                            </w:r>
                            <w:r w:rsidRPr="005716B0">
                              <w:rPr>
                                <w:b/>
                                <w:sz w:val="16"/>
                                <w:szCs w:val="16"/>
                              </w:rPr>
                              <w:t>k příznivému prostředí pro inovace (scénář 3)</w:t>
                            </w:r>
                            <w:r w:rsidRPr="005716B0">
                              <w:rPr>
                                <w:sz w:val="16"/>
                                <w:szCs w:val="16"/>
                              </w:rPr>
                              <w:t>.</w:t>
                            </w:r>
                          </w:p>
                          <w:p w:rsidR="005716B0" w:rsidRPr="005716B0" w:rsidRDefault="005716B0" w:rsidP="00A66F3C">
                            <w:pPr>
                              <w:pStyle w:val="Hlistbullet"/>
                              <w:rPr>
                                <w:sz w:val="16"/>
                                <w:szCs w:val="16"/>
                              </w:rPr>
                            </w:pPr>
                            <w:r w:rsidRPr="005716B0">
                              <w:rPr>
                                <w:sz w:val="16"/>
                                <w:szCs w:val="16"/>
                              </w:rPr>
                              <w:t xml:space="preserve">Provádění inovativních činností zaměřených na oživení, jež přesahují podobu a provádění strategie a zajišťují zapojení širších vrstev obyvatelstva do různých inovativních akcí místních akčních skupin (např. zaměřených na budování silné územní identity, například prostřednictvím  zapojení přírodního a kulturního dědictví), což dále podporuje </w:t>
                            </w:r>
                            <w:r w:rsidRPr="005716B0">
                              <w:rPr>
                                <w:b/>
                                <w:sz w:val="16"/>
                                <w:szCs w:val="16"/>
                              </w:rPr>
                              <w:t>příznivé prostředí a rozvíjí potenciální inovativní nápady (scénář 3 a 1).</w:t>
                            </w:r>
                          </w:p>
                          <w:p w:rsidR="005716B0" w:rsidRPr="005716B0" w:rsidRDefault="005716B0" w:rsidP="00A66F3C">
                            <w:pPr>
                              <w:pStyle w:val="Hlistbullet"/>
                              <w:rPr>
                                <w:sz w:val="16"/>
                                <w:szCs w:val="16"/>
                              </w:rPr>
                            </w:pPr>
                            <w:r w:rsidRPr="005716B0">
                              <w:rPr>
                                <w:sz w:val="16"/>
                                <w:szCs w:val="16"/>
                              </w:rPr>
                              <w:t xml:space="preserve">Zahájení inovačních projektů založených na spolupráci, jež umožní předávání nových poznatků, zkušeností a technologií na území místních akčních skupin a poskytuje prostor pro </w:t>
                            </w:r>
                            <w:r w:rsidRPr="005716B0">
                              <w:rPr>
                                <w:b/>
                                <w:sz w:val="16"/>
                                <w:szCs w:val="16"/>
                              </w:rPr>
                              <w:t>rozvíjení potenciálně inovativních nápadů (scénář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588C" id="Rectangle: Diagonal Corners Rounded 11" o:spid="_x0000_s1042" style="position:absolute;left:0;text-align:left;margin-left:-7.5pt;margin-top:.05pt;width:470.3pt;height:589.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72810,7484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" adj="-11796480,,5400" path="m336986,l5972810,r,l5972810,7147759v,186112,-150874,336986,-336986,336986l,7484745r,l,336986c,150874,150874,,336986,xe" filled="f" strokecolor="#f07e31" strokeweight="2pt">
                <v:stroke joinstyle="miter"/>
                <v:formulas/>
                <v:path arrowok="t" o:connecttype="custom" o:connectlocs="336986,0;5972810,0;5972810,0;5972810,7147759;5635824,7484745;0,7484745;0,7484745;0,336986;336986,0" o:connectangles="0,0,0,0,0,0,0,0,0" textboxrect="0,0,5972810,7484745"/>
                <v:textbox>
                  <w:txbxContent>
                    <w:p w:rsidR="005716B0" w:rsidRDefault="005716B0" w:rsidP="00C3334D">
                      <w:pPr>
                        <w:pStyle w:val="HStandard"/>
                        <w:ind w:left="284" w:right="23"/>
                      </w:pPr>
                      <w:r>
                        <w:rPr>
                          <w:noProof/>
                          <w:lang w:val="en-GB" w:eastAsia="en-GB"/>
                        </w:rPr>
                        <w:drawing>
                          <wp:inline distT="0" distB="0" distL="0" distR="0" wp14:anchorId="2FE01868" wp14:editId="43151C15">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716B0" w:rsidRPr="005716B0" w:rsidRDefault="005716B0" w:rsidP="00A66F3C">
                      <w:pPr>
                        <w:pStyle w:val="HStandard"/>
                        <w:ind w:right="23"/>
                        <w:rPr>
                          <w:b/>
                          <w:color w:val="F07E31"/>
                          <w:sz w:val="16"/>
                          <w:szCs w:val="16"/>
                        </w:rPr>
                      </w:pPr>
                      <w:r w:rsidRPr="005716B0">
                        <w:rPr>
                          <w:b/>
                          <w:color w:val="F07E31"/>
                          <w:sz w:val="16"/>
                          <w:szCs w:val="16"/>
                        </w:rPr>
                        <w:t>Příklady toho, jak opatření M1 může budovat inovační kapacitu:</w:t>
                      </w:r>
                    </w:p>
                    <w:p w:rsidR="005716B0" w:rsidRPr="005716B0" w:rsidRDefault="005716B0" w:rsidP="00A66F3C">
                      <w:pPr>
                        <w:pStyle w:val="Hlistbullet"/>
                        <w:rPr>
                          <w:sz w:val="16"/>
                          <w:szCs w:val="16"/>
                        </w:rPr>
                      </w:pPr>
                      <w:r w:rsidRPr="005716B0">
                        <w:rPr>
                          <w:sz w:val="16"/>
                          <w:szCs w:val="16"/>
                        </w:rPr>
                        <w:t>Nové dovednosti pro zemědělce / malé a střední podniky při uplatňování inovativních procesů/technik nebo nové organizační dovednosti</w:t>
                      </w:r>
                    </w:p>
                    <w:p w:rsidR="005716B0" w:rsidRPr="005716B0" w:rsidRDefault="005716B0" w:rsidP="00A66F3C">
                      <w:pPr>
                        <w:pStyle w:val="Hlistbullet"/>
                        <w:rPr>
                          <w:sz w:val="16"/>
                          <w:szCs w:val="16"/>
                        </w:rPr>
                      </w:pPr>
                      <w:r w:rsidRPr="005716B0">
                        <w:rPr>
                          <w:sz w:val="16"/>
                          <w:szCs w:val="16"/>
                        </w:rPr>
                        <w:t>Výměny a návštěvy, jež pomáhají předávat poznatky z jednoho zemědělského podniku / regionu do druhého</w:t>
                      </w:r>
                    </w:p>
                    <w:p w:rsidR="005716B0" w:rsidRPr="005716B0" w:rsidRDefault="005716B0" w:rsidP="00C3334D">
                      <w:pPr>
                        <w:pStyle w:val="HStandard"/>
                        <w:ind w:right="54"/>
                        <w:rPr>
                          <w:b/>
                          <w:color w:val="F07E31"/>
                          <w:sz w:val="16"/>
                          <w:szCs w:val="16"/>
                        </w:rPr>
                      </w:pPr>
                      <w:r w:rsidRPr="005716B0">
                        <w:rPr>
                          <w:b/>
                          <w:color w:val="F07E31"/>
                          <w:sz w:val="16"/>
                          <w:szCs w:val="16"/>
                        </w:rPr>
                        <w:t>Příklady toho, jak opatření M16 podporuje inovace</w:t>
                      </w:r>
                    </w:p>
                    <w:p w:rsidR="005716B0" w:rsidRPr="005716B0" w:rsidRDefault="005716B0" w:rsidP="00A66F3C">
                      <w:pPr>
                        <w:pStyle w:val="Hlistbullet"/>
                        <w:rPr>
                          <w:sz w:val="16"/>
                          <w:szCs w:val="16"/>
                        </w:rPr>
                      </w:pPr>
                      <w:r w:rsidRPr="005716B0">
                        <w:rPr>
                          <w:sz w:val="16"/>
                          <w:szCs w:val="16"/>
                        </w:rPr>
                        <w:t>Vývoj nových produktů, postupů, technologií v odvětvích zemědělství, potravinářství a lesnictví (podopatření M16.2</w:t>
                      </w:r>
                      <w:r w:rsidRPr="005716B0">
                        <w:rPr>
                          <w:sz w:val="16"/>
                          <w:szCs w:val="16"/>
                          <w:vertAlign w:val="superscript"/>
                        </w:rPr>
                        <w:t>51</w:t>
                      </w:r>
                      <w:r w:rsidRPr="005716B0">
                        <w:rPr>
                          <w:sz w:val="16"/>
                          <w:szCs w:val="16"/>
                        </w:rPr>
                        <w:t xml:space="preserve">) souvisí se spoluprací při identifikaci a rozvíjení inovací. </w:t>
                      </w:r>
                    </w:p>
                    <w:p w:rsidR="005716B0" w:rsidRPr="005716B0" w:rsidRDefault="005716B0" w:rsidP="00A66F3C">
                      <w:pPr>
                        <w:pStyle w:val="Hlistbullet"/>
                        <w:rPr>
                          <w:sz w:val="16"/>
                          <w:szCs w:val="16"/>
                        </w:rPr>
                      </w:pPr>
                      <w:r w:rsidRPr="005716B0">
                        <w:rPr>
                          <w:sz w:val="16"/>
                          <w:szCs w:val="16"/>
                        </w:rPr>
                        <w:t xml:space="preserve">Všechna ostatní podopatření mají potenciál </w:t>
                      </w:r>
                      <w:r w:rsidRPr="005716B0">
                        <w:rPr>
                          <w:b/>
                          <w:sz w:val="16"/>
                          <w:szCs w:val="16"/>
                        </w:rPr>
                        <w:t>budovat inovační kapacitu</w:t>
                      </w:r>
                      <w:r w:rsidRPr="005716B0">
                        <w:rPr>
                          <w:sz w:val="16"/>
                          <w:szCs w:val="16"/>
                        </w:rPr>
                        <w:t xml:space="preserve"> vzhledem k tomu, že proces spolupráce znamená společně zjišťovat nové příležitosti, produkovat nové nápady, experimentovat s novými technologiemi nebo hledat nové cesty a způsoby.</w:t>
                      </w:r>
                    </w:p>
                    <w:p w:rsidR="005716B0" w:rsidRPr="005716B0" w:rsidRDefault="005716B0" w:rsidP="00A66F3C">
                      <w:pPr>
                        <w:pStyle w:val="Hlistbullet"/>
                        <w:rPr>
                          <w:sz w:val="16"/>
                          <w:szCs w:val="16"/>
                        </w:rPr>
                      </w:pPr>
                      <w:r w:rsidRPr="005716B0">
                        <w:rPr>
                          <w:sz w:val="16"/>
                          <w:szCs w:val="16"/>
                        </w:rPr>
                        <w:t>Podpora, kterou projektům založeným na spolupráci poskytují poradci / služby na podporu inovací včetně podpory, kterou za tímto účelem poskytují CSV, může přispívat k </w:t>
                      </w:r>
                      <w:r w:rsidRPr="005716B0">
                        <w:rPr>
                          <w:b/>
                          <w:sz w:val="16"/>
                          <w:szCs w:val="16"/>
                        </w:rPr>
                        <w:t>budování inovační kapacity</w:t>
                      </w:r>
                      <w:r w:rsidRPr="005716B0">
                        <w:rPr>
                          <w:sz w:val="16"/>
                          <w:szCs w:val="16"/>
                        </w:rPr>
                        <w:t>.</w:t>
                      </w:r>
                    </w:p>
                    <w:p w:rsidR="005716B0" w:rsidRPr="005716B0" w:rsidRDefault="005716B0" w:rsidP="00A66F3C">
                      <w:pPr>
                        <w:pStyle w:val="Hlistbullet"/>
                        <w:rPr>
                          <w:sz w:val="16"/>
                          <w:szCs w:val="16"/>
                        </w:rPr>
                      </w:pPr>
                      <w:r w:rsidRPr="005716B0">
                        <w:rPr>
                          <w:sz w:val="16"/>
                          <w:szCs w:val="16"/>
                        </w:rPr>
                        <w:t>Zapojení inovačních zúčastněných stran do projektů založených na spolupráci (např. služeb na podporu inovací, středisek pro výzkum a vývoj nebo inovačních a technologických středisek) může přispívat k </w:t>
                      </w:r>
                      <w:r w:rsidRPr="005716B0">
                        <w:rPr>
                          <w:b/>
                          <w:sz w:val="16"/>
                          <w:szCs w:val="16"/>
                        </w:rPr>
                        <w:t>vytváření příznivého prostředí pro inovace</w:t>
                      </w:r>
                      <w:r w:rsidRPr="005716B0">
                        <w:rPr>
                          <w:sz w:val="16"/>
                          <w:szCs w:val="16"/>
                        </w:rPr>
                        <w:t>. Například provádění společného výzkumného projektu může vést k výsledku, který může ovlivnit právní předpisy (např. právní předpisy v oblasti ochrany životního prostředí).</w:t>
                      </w:r>
                    </w:p>
                    <w:p w:rsidR="005716B0" w:rsidRPr="005716B0" w:rsidRDefault="005716B0" w:rsidP="00A66F3C">
                      <w:pPr>
                        <w:pStyle w:val="Hlistbullet"/>
                        <w:rPr>
                          <w:sz w:val="16"/>
                          <w:szCs w:val="16"/>
                        </w:rPr>
                      </w:pPr>
                      <w:r w:rsidRPr="005716B0">
                        <w:rPr>
                          <w:sz w:val="16"/>
                          <w:szCs w:val="16"/>
                        </w:rPr>
                        <w:t xml:space="preserve">Zakládání a provoz operačních skupin může přinést ještě ucelenější přístup k podpoře inovací prostřednictvím zkombinování </w:t>
                      </w:r>
                      <w:r w:rsidRPr="005716B0">
                        <w:rPr>
                          <w:b/>
                          <w:sz w:val="16"/>
                          <w:szCs w:val="16"/>
                        </w:rPr>
                        <w:t>všech tří scénářů</w:t>
                      </w:r>
                      <w:r w:rsidRPr="005716B0">
                        <w:rPr>
                          <w:sz w:val="16"/>
                          <w:szCs w:val="16"/>
                        </w:rPr>
                        <w:t>: identifikace nových nápadů (výchozí bod pro operační skupiny), budování investiční kapacity (podpora ze strany poradců / služeb na podporu inovací) a vytváření příznivého prostředí pro inovace (výsledky projektů operačních skupin).</w:t>
                      </w:r>
                    </w:p>
                    <w:p w:rsidR="005716B0" w:rsidRPr="005716B0" w:rsidRDefault="005716B0" w:rsidP="00C3334D">
                      <w:pPr>
                        <w:pStyle w:val="Normal12PTcouleurgris"/>
                        <w:ind w:left="284"/>
                        <w:rPr>
                          <w:color w:val="F07E31"/>
                          <w:sz w:val="16"/>
                          <w:szCs w:val="16"/>
                        </w:rPr>
                      </w:pPr>
                      <w:r w:rsidRPr="005716B0">
                        <w:rPr>
                          <w:b/>
                          <w:color w:val="F07E31"/>
                          <w:sz w:val="16"/>
                          <w:szCs w:val="16"/>
                        </w:rPr>
                        <w:t>Příklady toho, jak opatření M19 podporuje inovace</w:t>
                      </w:r>
                    </w:p>
                    <w:p w:rsidR="005716B0" w:rsidRPr="005716B0" w:rsidRDefault="005716B0" w:rsidP="00A66F3C">
                      <w:pPr>
                        <w:pStyle w:val="Hlistbullet"/>
                        <w:rPr>
                          <w:sz w:val="16"/>
                          <w:szCs w:val="16"/>
                        </w:rPr>
                      </w:pPr>
                      <w:r w:rsidRPr="005716B0">
                        <w:rPr>
                          <w:sz w:val="16"/>
                          <w:szCs w:val="16"/>
                        </w:rPr>
                        <w:t xml:space="preserve">Uplatňování nových způsobů navrhování strategií včetně různých jedinečných forem zajištění účasti místních obyvatel na přijímání strategických rozhodnutí (např. různé činnosti zaměřené na oživení spojené se shromažďováním informací, různá pracovní setkání a diskusní platformy atd.), a přispívat tak </w:t>
                      </w:r>
                      <w:r w:rsidRPr="005716B0">
                        <w:rPr>
                          <w:b/>
                          <w:sz w:val="16"/>
                          <w:szCs w:val="16"/>
                        </w:rPr>
                        <w:t>k příznivému prostředí pro inovace (scénář 3)</w:t>
                      </w:r>
                      <w:r w:rsidRPr="005716B0">
                        <w:rPr>
                          <w:sz w:val="16"/>
                          <w:szCs w:val="16"/>
                        </w:rPr>
                        <w:t>.</w:t>
                      </w:r>
                    </w:p>
                    <w:p w:rsidR="005716B0" w:rsidRPr="005716B0" w:rsidRDefault="005716B0" w:rsidP="00A66F3C">
                      <w:pPr>
                        <w:pStyle w:val="Hlistbullet"/>
                        <w:rPr>
                          <w:sz w:val="16"/>
                          <w:szCs w:val="16"/>
                        </w:rPr>
                      </w:pPr>
                      <w:r w:rsidRPr="005716B0">
                        <w:rPr>
                          <w:sz w:val="16"/>
                          <w:szCs w:val="16"/>
                        </w:rPr>
                        <w:t xml:space="preserve">Provádění inovativních činností zaměřených na oživení, jež přesahují podobu a provádění strategie a zajišťují zapojení širších vrstev obyvatelstva do různých inovativních akcí místních akčních skupin (např. zaměřených na budování silné územní identity, například prostřednictvím  zapojení přírodního a kulturního dědictví), což dále podporuje </w:t>
                      </w:r>
                      <w:r w:rsidRPr="005716B0">
                        <w:rPr>
                          <w:b/>
                          <w:sz w:val="16"/>
                          <w:szCs w:val="16"/>
                        </w:rPr>
                        <w:t>příznivé prostředí a rozvíjí potenciální inovativní nápady (scénář 3 a 1).</w:t>
                      </w:r>
                    </w:p>
                    <w:p w:rsidR="005716B0" w:rsidRPr="005716B0" w:rsidRDefault="005716B0" w:rsidP="00A66F3C">
                      <w:pPr>
                        <w:pStyle w:val="Hlistbullet"/>
                        <w:rPr>
                          <w:sz w:val="16"/>
                          <w:szCs w:val="16"/>
                        </w:rPr>
                      </w:pPr>
                      <w:r w:rsidRPr="005716B0">
                        <w:rPr>
                          <w:sz w:val="16"/>
                          <w:szCs w:val="16"/>
                        </w:rPr>
                        <w:t xml:space="preserve">Zahájení inovačních projektů založených na spolupráci, jež umožní předávání nových poznatků, zkušeností a technologií na území místních akčních skupin a poskytuje prostor pro </w:t>
                      </w:r>
                      <w:r w:rsidRPr="005716B0">
                        <w:rPr>
                          <w:b/>
                          <w:sz w:val="16"/>
                          <w:szCs w:val="16"/>
                        </w:rPr>
                        <w:t>rozvíjení potenciálně inovativních nápadů (scénář 1).</w:t>
                      </w:r>
                    </w:p>
                  </w:txbxContent>
                </v:textbox>
                <w10:wrap type="tight"/>
              </v:shape>
            </w:pict>
          </mc:Fallback>
        </mc:AlternateContent>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t xml:space="preserve">Specifické výzvy </w:t>
      </w:r>
    </w:p>
    <w:p w:rsidR="00A45935" w:rsidRPr="000A718F" w:rsidRDefault="00A45935" w:rsidP="00A66F3C">
      <w:pPr>
        <w:pStyle w:val="Hlistbullet"/>
      </w:pPr>
      <w:r>
        <w:rPr>
          <w:b/>
        </w:rPr>
        <w:t>Vypracování</w:t>
      </w:r>
      <w:r>
        <w:rPr>
          <w:b/>
          <w:shd w:val="clear" w:color="auto" w:fill="FFFFFF"/>
        </w:rPr>
        <w:t xml:space="preserve"> dodatečných prvků hodnocení a prvků hodnocení týkajících se specifického programu</w:t>
      </w:r>
      <w:r>
        <w:rPr>
          <w:shd w:val="clear" w:color="auto" w:fill="FFFFFF"/>
        </w:rPr>
        <w:t xml:space="preserve">: Společná hodnotící otázka č. 1 je propojena s jedním společným ukazatelem cíle </w:t>
      </w:r>
      <w:r>
        <w:rPr>
          <w:shd w:val="clear" w:color="auto" w:fill="FFFFFF"/>
        </w:rPr>
        <w:lastRenderedPageBreak/>
        <w:t xml:space="preserve">(T1), který nemusí být dostatečný pro zodpovězení společné hodnotící otázky, a může být zapotřebí ho doplnit dodatečnými ukazateli pro měření výdajů na příslušná opatření týkajících se inovací. Současně lze použít dva společné ukazatele výstupů k zodpovězení společné hodnotící otázky č. 1 (O13 Počet příjemců, kterým bylo poskytnuto poradenství a O16 Počet podpořených operací v rámci EIP). Aby bylo možné posoudit všechny aspekty týkající se inovací, mohou být v závislosti na konkrétní intervenční logice nezbytné další prvky hodnocení. </w:t>
      </w:r>
    </w:p>
    <w:p w:rsidR="00A45935" w:rsidRPr="000A718F" w:rsidRDefault="00A45935" w:rsidP="00A66F3C">
      <w:pPr>
        <w:pStyle w:val="Hlistbullet"/>
        <w:rPr>
          <w:rFonts w:eastAsia="Calibri"/>
          <w:shd w:val="clear" w:color="auto" w:fill="FFFFFF"/>
        </w:rPr>
      </w:pPr>
      <w:r>
        <w:rPr>
          <w:b/>
          <w:shd w:val="clear" w:color="auto" w:fill="FFFFFF"/>
        </w:rPr>
        <w:t xml:space="preserve">Přiřazení zjištěných změn </w:t>
      </w:r>
      <w:r>
        <w:rPr>
          <w:shd w:val="clear" w:color="auto" w:fill="FFFFFF"/>
        </w:rPr>
        <w:t>souvisejících s podporou inovací k </w:t>
      </w:r>
      <w:r>
        <w:rPr>
          <w:b/>
          <w:shd w:val="clear" w:color="auto" w:fill="FFFFFF"/>
        </w:rPr>
        <w:t>opatřením</w:t>
      </w:r>
      <w:r>
        <w:rPr>
          <w:shd w:val="clear" w:color="auto" w:fill="FFFFFF"/>
        </w:rPr>
        <w:t xml:space="preserve"> M1, M2, M16 a M19.</w:t>
      </w:r>
    </w:p>
    <w:p w:rsidR="00A45935" w:rsidRPr="000A718F" w:rsidRDefault="00A45935" w:rsidP="00A66F3C">
      <w:pPr>
        <w:pStyle w:val="Hlistbullet"/>
        <w:rPr>
          <w:rFonts w:eastAsia="Calibri"/>
          <w:shd w:val="clear" w:color="auto" w:fill="FFFFFF"/>
        </w:rPr>
      </w:pPr>
      <w:r>
        <w:rPr>
          <w:b/>
          <w:shd w:val="clear" w:color="auto" w:fill="FFFFFF"/>
        </w:rPr>
        <w:t>Zachycení přispění opatření naprogramovaných v rámci jiných prioritních oblastí</w:t>
      </w:r>
      <w:r>
        <w:rPr>
          <w:shd w:val="clear" w:color="auto" w:fill="FFFFFF"/>
        </w:rPr>
        <w:t xml:space="preserve"> (jiných než prioritní oblast 1B) k podpoře inovací.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Navrhovaný přístup k zodpovězení společné hodnotící otázky č.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Intervenční logika </w:t>
      </w:r>
    </w:p>
    <w:p w:rsidR="00863DB0" w:rsidRDefault="00A45935" w:rsidP="00A66F3C">
      <w:pPr>
        <w:spacing w:after="120" w:line="280" w:lineRule="atLeast"/>
        <w:mirrorIndents/>
        <w:rPr>
          <w:rFonts w:eastAsia="Times New Roman" w:cs="Times New Roman"/>
          <w:szCs w:val="20"/>
        </w:rPr>
      </w:pPr>
      <w:r>
        <w:t xml:space="preserve">Lze se také vrátit k intervenční logice spojené z hlediska inovací se společnou hodnotící otázkou č. 1. Toto lze provést na základě výsledků posouzení inovačního potenciálu (viz </w:t>
      </w:r>
      <w:hyperlink w:anchor="Screening_Potential" w:history="1">
        <w:r>
          <w:rPr>
            <w:rStyle w:val="Hyperlink"/>
            <w:sz w:val="20"/>
            <w:szCs w:val="20"/>
          </w:rPr>
          <w:t>oddíl 2.2</w:t>
        </w:r>
      </w:hyperlink>
      <w:r>
        <w:t xml:space="preserve">) opatření M1, M2, M16 a M19, která jsou obvykle naprogramována v rámci jiných prioritních oblastí než v rámci prioritní oblasti 1A v kombinaci s jinými opatřeními. Pomůže to zachytit výsledky dosažené v rámci programu při plnění cílů prioritní oblasti 1A a zjistit, kteří příjemci a zúčastněné strany PRV mohou být poskytovateli údajů a informací. </w:t>
      </w:r>
    </w:p>
    <w:p w:rsidR="00A45935" w:rsidRPr="00D66501" w:rsidRDefault="00DD247A" w:rsidP="00A66F3C">
      <w:pPr>
        <w:pStyle w:val="HHeadingfigures"/>
      </w:pPr>
      <w:bookmarkStart w:id="106" w:name="_Toc508703635"/>
      <w:r>
        <w:t>Příklad intervenční logiky spojené se společnou hodnotící otázkou č. 1</w:t>
      </w:r>
      <w:bookmarkEnd w:id="106"/>
      <w:r>
        <w:t xml:space="preserve"> </w:t>
      </w:r>
    </w:p>
    <w:p w:rsidR="007D2A0C" w:rsidRDefault="002D5D91" w:rsidP="00690E70">
      <w:pPr>
        <w:spacing w:after="120" w:line="280" w:lineRule="atLeast"/>
        <w:mirrorIndents/>
        <w:jc w:val="center"/>
        <w:rPr>
          <w:rFonts w:eastAsia="Times New Roman" w:cs="Times New Roman"/>
          <w:i/>
          <w:sz w:val="16"/>
          <w:szCs w:val="16"/>
          <w:lang w:eastAsia="de-DE"/>
        </w:rPr>
      </w:pPr>
      <w:r w:rsidRPr="002D5D91">
        <w:rPr>
          <w:noProof/>
          <w:lang w:val="en-GB" w:eastAsia="en-GB"/>
        </w:rPr>
        <w:drawing>
          <wp:inline distT="0" distB="0" distL="0" distR="0" wp14:anchorId="1E527411" wp14:editId="5C3B7243">
            <wp:extent cx="4659782" cy="262357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2661" cy="2630826"/>
                    </a:xfrm>
                    <a:prstGeom prst="rect">
                      <a:avLst/>
                    </a:prstGeom>
                    <a:noFill/>
                    <a:ln>
                      <a:noFill/>
                    </a:ln>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324B7104" wp14:editId="1536FF22">
                <wp:simplePos x="0" y="0"/>
                <wp:positionH relativeFrom="column">
                  <wp:posOffset>0</wp:posOffset>
                </wp:positionH>
                <wp:positionV relativeFrom="paragraph">
                  <wp:posOffset>303630</wp:posOffset>
                </wp:positionV>
                <wp:extent cx="5732780" cy="18288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28800"/>
                        </a:xfrm>
                        <a:prstGeom prst="round2DiagRect">
                          <a:avLst>
                            <a:gd name="adj1" fmla="val 11556"/>
                            <a:gd name="adj2" fmla="val 0"/>
                          </a:avLst>
                        </a:prstGeom>
                        <a:noFill/>
                        <a:ln w="25400" cap="flat" cmpd="sng" algn="ctr">
                          <a:solidFill>
                            <a:srgbClr val="F07E31"/>
                          </a:solidFill>
                          <a:prstDash val="solid"/>
                        </a:ln>
                        <a:effectLst/>
                      </wps:spPr>
                      <wps:txbx>
                        <w:txbxContent>
                          <w:p w:rsidR="005716B0" w:rsidRPr="00D33212" w:rsidRDefault="005716B0"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 xml:space="preserve">V tomto příkladu </w:t>
                            </w:r>
                            <w:r>
                              <w:t>bylo zjištěno, že podopatření opatření M1 „odborné vzdělávání a získávání dovedností“ a podopatření opatření M2 „odborná příprava poradců“ mají potenciál  podpořit inovace prostřednictvím budování inovačních kapacit. Kombinace M16.7 a M16.8 má potenciál podpořit inovace prostřednictvím rozvíjení inovativních nápadů a M16.1 má potenciál podpořit inovace prostřednictvím všech tří scénářů. Podopatření 19.2, jež podporuje strategie komunitně vedeného místního rozvoje, přispívá k vstřícnému prostředí. Podopatření týkající se spolupráce v rámci iniciativy LEADER (M 19.3) napomáhá spolupráci při rozvíjení inovativních nápadů a buduje inovační kapacity.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9pt;width:451.4pt;height:2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w:txbxContent>
                    <w:p w:rsidR="005716B0" w:rsidRPr="00D33212" w:rsidRDefault="005716B0"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 xml:space="preserve">V tomto příkladu </w:t>
                      </w:r>
                      <w:r>
                        <w:t>bylo zjištěno, že podopatření opatření M1 „odborné vzdělávání a získávání dovedností“ a podopatření opatření M2 „odborná příprava poradců“ mají potenciál  podpořit inovace prostřednictvím budování inovačních kapacit. Kombinace M16.7 a M16.8 má potenciál podpořit inovace prostřednictvím rozvíjení inovativních nápadů a M16.1 má potenciál podpořit inovace prostřednictvím všech tří scénářů. Podopatření 19.2, jež podporuje strategie komunitně vedeného místního rozvoje, přispívá k vstřícnému prostředí. Podopatření týkající se spolupráce v rámci iniciativy LEADER (M 19.3) napomáhá spolupráci při rozvíjení inovativních nápadů a buduje inovační kapacity.</w:t>
                      </w:r>
                    </w:p>
                  </w:txbxContent>
                </v:textbox>
                <w10:wrap type="square"/>
              </v:shape>
            </w:pict>
          </mc:Fallback>
        </mc:AlternateContent>
      </w:r>
      <w:r>
        <w:rPr>
          <w:i/>
          <w:sz w:val="16"/>
          <w:szCs w:val="16"/>
        </w:rPr>
        <w:t>Zdroj: evropská asistenční služba pro účely hodnocení politiky rozvoje venkova,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Prvky hodnocení </w:t>
      </w:r>
    </w:p>
    <w:p w:rsidR="00A45935" w:rsidRDefault="00734B11" w:rsidP="00E05D08">
      <w:pPr>
        <w:spacing w:before="120" w:after="120" w:line="280" w:lineRule="atLeast"/>
        <w:mirrorIndents/>
        <w:rPr>
          <w:rFonts w:eastAsia="Times New Roman" w:cs="Times New Roman"/>
          <w:szCs w:val="20"/>
        </w:rPr>
      </w:pPr>
      <w:r>
        <w:t xml:space="preserve">Společná hodnotící kritéria a ukazatele pro společnou hodnotící otázku č. 1 zůstávají na úrovni výstupů operací prováděných v rámci opatření M1, M2 a M16 a M19. Aby bylo možné posoudit výsledky těchto opatření, bude možná nutné vypracovat dodatečná hodnotící kritéria a ukazatele (viz </w:t>
      </w:r>
      <w:hyperlink w:anchor="Evaluation_elements" w:history="1">
        <w:r>
          <w:rPr>
            <w:rStyle w:val="Hyperlink"/>
            <w:sz w:val="20"/>
            <w:szCs w:val="20"/>
          </w:rPr>
          <w:t>tabulka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73935">
      <w:pPr>
        <w:pStyle w:val="HHeadingtables"/>
      </w:pPr>
      <w:bookmarkStart w:id="107" w:name="Evaluation_elements"/>
      <w:bookmarkStart w:id="108" w:name="_Toc508703602"/>
      <w:r>
        <w:lastRenderedPageBreak/>
        <w:t>Prvky hodnocení a informační zdroje</w:t>
      </w:r>
      <w:bookmarkEnd w:id="107"/>
      <w:r>
        <w:t xml:space="preserve"> v souvislosti se společnou hodnotící otázkou č.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Hodnotící kritéria</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Ukazatele</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Potřeby údajů</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Zdroje údajů</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 xml:space="preserve">Společné prvky hodnocení (společný systém monitorování a hodnocení a prvky navržené v pracovním dokumentu </w:t>
            </w:r>
            <w:r>
              <w:rPr>
                <w:b/>
                <w:i/>
                <w:color w:val="FFFFFF"/>
                <w:sz w:val="18"/>
                <w:szCs w:val="18"/>
              </w:rPr>
              <w:t>„Společné hodnotící otázky pro programy rozvoje venkova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Projekty PRV jsou inovativní a založené na rozvinutých znalostech.</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 výdajů podle článků 14, 15 a 35 nařízení (EU) č. 1305/2013 v poměru k celkovým výdajům na program rozvoje venkova.</w:t>
            </w:r>
          </w:p>
          <w:p w:rsidR="00A45935" w:rsidRPr="00385368" w:rsidRDefault="00EC7477" w:rsidP="00FE15F9">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Dodatečné</w:t>
            </w:r>
            <w:r w:rsidR="00A45935">
              <w:rPr>
                <w:color w:val="57825E"/>
                <w:sz w:val="18"/>
                <w:szCs w:val="18"/>
                <w:u w:val="single"/>
                <w14:textFill>
                  <w14:solidFill>
                    <w14:srgbClr w14:val="57825E">
                      <w14:lumMod w14:val="75000"/>
                    </w14:srgbClr>
                  </w14:solidFill>
                </w14:textFill>
              </w:rPr>
              <w:t xml:space="preserve"> ukazatele</w:t>
            </w:r>
            <w:r w:rsidR="00A45935">
              <w:rPr>
                <w:color w:val="57825E"/>
                <w:sz w:val="18"/>
                <w:szCs w:val="18"/>
                <w14:textFill>
                  <w14:solidFill>
                    <w14:srgbClr w14:val="57825E">
                      <w14:lumMod w14:val="75000"/>
                    </w14:srgbClr>
                  </w14:solidFill>
                </w14:textFill>
              </w:rPr>
              <w:t xml:space="preserve">: % inovativních projektů z počtu všech projektů podporovaných z PRV.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Údaje o realizovaných výdajích na opatření 1, 2 a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Shromážděny by pokud možno měly být také údaje o výdajích na podopatření, u kterých byl zjištěn potenciál pro podporu inovací.</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monitorování PRV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Žádosti příjemců o platbu (na konci projektu)</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Byly vytvořeny operační skupiny.</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Počet operací v rámci EIP.</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operací v rámci EIP (datová položka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monitorování PRV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Žádosti příjemců o platbu (na konci projektu)</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Různorodost partnerů zapojených v operačních skupinách EIP.</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Počet a kategorie partnerů v operacích EIP.</w:t>
            </w:r>
          </w:p>
          <w:p w:rsidR="00A45935" w:rsidRPr="00385368" w:rsidRDefault="00EC7477" w:rsidP="00FE15F9">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Dodatečné</w:t>
            </w:r>
            <w:r w:rsidR="00A45935">
              <w:rPr>
                <w:color w:val="57825E"/>
                <w:sz w:val="18"/>
                <w:szCs w:val="18"/>
                <w:u w:val="single"/>
                <w14:textFill>
                  <w14:solidFill>
                    <w14:srgbClr w14:val="57825E">
                      <w14:lumMod w14:val="75000"/>
                    </w14:srgbClr>
                  </w14:solidFill>
                </w14:textFill>
              </w:rPr>
              <w:t xml:space="preserve"> ukazatele</w:t>
            </w:r>
            <w:r w:rsidR="00A45935">
              <w:rPr>
                <w:color w:val="57825E"/>
                <w:sz w:val="18"/>
                <w:szCs w:val="18"/>
                <w14:textFill>
                  <w14:solidFill>
                    <w14:srgbClr w14:val="57825E">
                      <w14:lumMod w14:val="75000"/>
                    </w14:srgbClr>
                  </w14:solidFill>
                </w14:textFill>
              </w:rPr>
              <w:t>: počet a kategorie partnerů zapojených do projektů založených na spolupráci.</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kategorie partnerů.</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monitorování PRV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Žádosti příjemců o platbu (na konci projektu)</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Shrnutí postupů operačních skupin.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Operační skupiny EIP prováděly a šířily inovativní akce.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Počet operací v rámci EIP.</w:t>
            </w:r>
          </w:p>
          <w:p w:rsidR="00A45935" w:rsidRPr="00385368" w:rsidRDefault="00EC7477" w:rsidP="007E63EF">
            <w:pPr>
              <w:spacing w:after="120" w:line="280" w:lineRule="atLeast"/>
              <w:jc w:val="left"/>
              <w:rPr>
                <w:rFonts w:eastAsia="Calibri" w:cs="Arial"/>
                <w:color w:val="57825E"/>
                <w:sz w:val="18"/>
                <w:szCs w:val="18"/>
              </w:rPr>
            </w:pPr>
            <w:r>
              <w:rPr>
                <w:color w:val="57825E"/>
                <w:sz w:val="18"/>
                <w:szCs w:val="18"/>
                <w:u w:val="single"/>
              </w:rPr>
              <w:t>Dodatečné</w:t>
            </w:r>
            <w:r w:rsidR="00A45935">
              <w:rPr>
                <w:color w:val="57825E"/>
                <w:sz w:val="18"/>
                <w:szCs w:val="18"/>
                <w:u w:val="single"/>
              </w:rPr>
              <w:t xml:space="preserve"> ukazatele</w:t>
            </w:r>
            <w:r w:rsidR="00A45935">
              <w:rPr>
                <w:color w:val="57825E"/>
                <w:sz w:val="18"/>
                <w:szCs w:val="18"/>
              </w:rPr>
              <w:t>: počet podpořených inovativních akcí prováděných a šířených operačními skupinami EIP v členění podle druhů, odvětví atd.</w:t>
            </w:r>
          </w:p>
          <w:p w:rsidR="00F200A2" w:rsidRPr="00024983"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Počet operací v rámci EIP (datová položka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monitorování PRV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Žádosti příjemců o platbu (na konci projektu)</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Shrnutí postupů operačních skupin.</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Dodatečné prvky hodnocení (nepovinné)</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Operační skupiny EIP zahrnují inovační zúčastněné strany.</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Složení operačních skupin EIP (počet a kategorie partnerů), z toho inovačních zúčastněných stran.</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Počet partnerů v rámci operačních skupin.</w:t>
            </w:r>
          </w:p>
          <w:p w:rsidR="00A45935" w:rsidRPr="00E05D08" w:rsidRDefault="00A45935" w:rsidP="007E63EF">
            <w:pPr>
              <w:suppressAutoHyphens/>
              <w:spacing w:before="40" w:after="40"/>
              <w:jc w:val="left"/>
              <w:rPr>
                <w:rFonts w:cs="Arial"/>
                <w:sz w:val="18"/>
                <w:szCs w:val="18"/>
              </w:rPr>
            </w:pPr>
            <w:r>
              <w:rPr>
                <w:sz w:val="18"/>
                <w:szCs w:val="18"/>
              </w:rPr>
              <w:t>Kategorie partnerů v rámci operačních skupin.</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Systém monitorování PRV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Žádosti příjemců o platbu (na konci projektu)</w:t>
            </w:r>
          </w:p>
          <w:p w:rsidR="00A45935" w:rsidRPr="00385368" w:rsidRDefault="00A45935" w:rsidP="007E63EF">
            <w:pPr>
              <w:suppressAutoHyphens/>
              <w:spacing w:before="40" w:after="40"/>
              <w:jc w:val="left"/>
              <w:rPr>
                <w:rFonts w:cs="Arial"/>
                <w:sz w:val="18"/>
                <w:szCs w:val="18"/>
              </w:rPr>
            </w:pPr>
            <w:r>
              <w:rPr>
                <w:sz w:val="18"/>
                <w:szCs w:val="18"/>
              </w:rPr>
              <w:t>Průzkumy v rámci operačních skupin EIP a místních akčních skupin.</w:t>
            </w:r>
          </w:p>
          <w:p w:rsidR="00A45935" w:rsidRPr="00385368" w:rsidRDefault="00A45935" w:rsidP="007E63EF">
            <w:pPr>
              <w:suppressAutoHyphens/>
              <w:spacing w:before="40" w:after="40"/>
              <w:jc w:val="left"/>
              <w:rPr>
                <w:rFonts w:cs="Arial"/>
                <w:sz w:val="18"/>
                <w:szCs w:val="18"/>
              </w:rPr>
            </w:pPr>
            <w:r>
              <w:rPr>
                <w:sz w:val="18"/>
                <w:szCs w:val="18"/>
              </w:rPr>
              <w:t>Internetové platformy operačních skupin.</w:t>
            </w:r>
          </w:p>
          <w:p w:rsidR="00A45935" w:rsidRPr="00E05D08" w:rsidRDefault="00A45935" w:rsidP="007E63EF">
            <w:pPr>
              <w:suppressAutoHyphens/>
              <w:spacing w:before="40" w:after="40"/>
              <w:jc w:val="left"/>
              <w:rPr>
                <w:rFonts w:cs="Arial"/>
                <w:sz w:val="18"/>
                <w:szCs w:val="18"/>
              </w:rPr>
            </w:pPr>
            <w:r>
              <w:rPr>
                <w:sz w:val="18"/>
                <w:szCs w:val="18"/>
              </w:rPr>
              <w:t>Shrnutí postupů operačních skupin.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Místní akční skupiny podporovaly inovativní projekty.</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projektů prováděných místními akčními skupinami a jejich příjemci označených jako inovativní (za dodržení kritérií způsobilosti a výběru).</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Údaje z monitorování projektů místních akčních skupin.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Databáze operací místních akčních skupin.</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Bylo prováděno školení inovačních zúčastněných stran.</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typ vyškolených inovačních zúčastněných stran.</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typ vyškolených zúčastněných stran.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monitorování PRV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Žádosti příjemců o platbu (na konci projektu)</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Rozhovory, průzkumy s řídícími orgány a s poskytovateli odborné přípravy.</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Nejdůležitější faktory úspěchu při podpoře inovací prostřednictvím opatření M1, M2, M16 a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Popis nejdůležitějších faktorů, jež přispěly k podpoře inovací ve venkovských oblastech.</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Kvalitativní informace.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Rozhovory, průzkumy a tematicky zaměřené skupiny s příjemci podopatření M1, M2 týkajících se inovací a s operačními skupinami.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a místní akční skupiny.</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Shrnutí postupů operačních skupin.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Databáze operací místních akčních skupin.</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Navrhovaná metodika hodnocení pro zodpovězení společné hodnotící otázky č. 1 </w:t>
      </w:r>
    </w:p>
    <w:p w:rsidR="00A45935" w:rsidRPr="00E05D08" w:rsidRDefault="00A45935" w:rsidP="00E05D08">
      <w:pPr>
        <w:spacing w:after="120" w:line="280" w:lineRule="atLeast"/>
        <w:mirrorIndents/>
        <w:rPr>
          <w:rFonts w:eastAsia="Times New Roman" w:cs="Times New Roman"/>
          <w:szCs w:val="20"/>
        </w:rPr>
      </w:pPr>
      <w:r>
        <w:t>Výpočet společných ukazatelů souvisejících se společnou hodnotící otázkou č. 1 je popsán v příloze 11 pokynů „</w:t>
      </w:r>
      <w:hyperlink r:id="rId40" w:history="1">
        <w:r>
          <w:rPr>
            <w:color w:val="F07E31"/>
            <w:szCs w:val="20"/>
            <w:u w:val="single"/>
          </w:rPr>
          <w:t>Posuzování výsledků PRV:</w:t>
        </w:r>
      </w:hyperlink>
      <w:r w:rsidR="007E525A">
        <w:t xml:space="preserve"> </w:t>
      </w:r>
      <w:hyperlink r:id="rId41" w:history="1">
        <w:r>
          <w:rPr>
            <w:color w:val="F07E31"/>
            <w:szCs w:val="20"/>
            <w:u w:val="single"/>
          </w:rPr>
          <w:t>jak se připravit na podávání zpráv o hodnocení v roce 2017</w:t>
        </w:r>
      </w:hyperlink>
      <w:r w:rsidR="007E525A">
        <w:t>“</w:t>
      </w:r>
      <w:r>
        <w:t xml:space="preserve">. </w:t>
      </w:r>
    </w:p>
    <w:p w:rsidR="00A45935" w:rsidRPr="00E05D08" w:rsidRDefault="00A45935" w:rsidP="00E05D08">
      <w:pPr>
        <w:spacing w:after="120" w:line="280" w:lineRule="atLeast"/>
        <w:mirrorIndents/>
        <w:rPr>
          <w:rFonts w:eastAsia="Times New Roman" w:cs="Times New Roman"/>
          <w:szCs w:val="20"/>
        </w:rPr>
      </w:pPr>
      <w:r>
        <w:t>Pro posuzování části společné hodnotící otázky č. 1 týkající se inovací se navrhuje:</w:t>
      </w:r>
    </w:p>
    <w:p w:rsidR="00A45935" w:rsidRPr="00331223" w:rsidRDefault="00A45935" w:rsidP="00C202EC">
      <w:pPr>
        <w:pStyle w:val="Hlistbullet"/>
      </w:pPr>
      <w:r>
        <w:rPr>
          <w:b/>
        </w:rPr>
        <w:t>KROK 1: Určit inovační potenciál příjemců</w:t>
      </w:r>
      <w:r>
        <w:t xml:space="preserve"> opatření/podopatření M1, M2, M16 a M19 (příjemci, kteří prováděli operace hodnocené jako inovativní). </w:t>
      </w:r>
    </w:p>
    <w:p w:rsidR="00A45935" w:rsidRPr="00331223" w:rsidRDefault="00A45935" w:rsidP="00C202EC">
      <w:pPr>
        <w:pStyle w:val="Hlistbullet"/>
      </w:pPr>
      <w:r>
        <w:rPr>
          <w:b/>
        </w:rPr>
        <w:t>KROK 2: Kvantifikovat ukazatele výstupů a cílů</w:t>
      </w:r>
      <w:r>
        <w:t xml:space="preserve"> s použitím monitorovacích údajů o příjemcích (kteří prováděli operace hodnocené jako inovativní) získaných z databáze operací PRV / místních akčních skupin. Aby bylo možné databáze operací využít pro hodnocení inovací, mohou řídící orgány rozhodnout o přidání datových položek souvisejících s inovacemi a shromáždění příslušných údajů. </w:t>
      </w:r>
    </w:p>
    <w:p w:rsidR="00A45935" w:rsidRPr="00331223" w:rsidRDefault="00A45935" w:rsidP="00C202EC">
      <w:pPr>
        <w:pStyle w:val="Hlistbullet"/>
      </w:pPr>
      <w:r>
        <w:rPr>
          <w:b/>
        </w:rPr>
        <w:t>KROK 3: Shromáždit důkazy pro zodpovězení společné hodnotící otázky pomocí uvedených metod.</w:t>
      </w:r>
      <w:r>
        <w:t xml:space="preserve"> Při shromažďování údajů pro navrhovaná hodnotící kritéria a dodatečné ukazatele výsledků mohou pomoci průzkumy, tematicky zaměřené skupiny a například metoda Delphi. Při uplatňování těchto metod je třeba posoudit otázku kvality a ověřování údajů, pokud jsou vykazovány příjemci (viz </w:t>
      </w:r>
      <w:hyperlink w:anchor="Recommended_Methods" w:history="1">
        <w:r>
          <w:rPr>
            <w:rStyle w:val="Hyperlink"/>
            <w:sz w:val="20"/>
          </w:rPr>
          <w:t>tabulka 2</w:t>
        </w:r>
      </w:hyperlink>
      <w:r>
        <w:t xml:space="preserve">). </w:t>
      </w:r>
    </w:p>
    <w:p w:rsidR="00A45935" w:rsidRPr="00C202EC" w:rsidRDefault="00A45935" w:rsidP="00C202EC">
      <w:pPr>
        <w:pStyle w:val="Hlistbullet"/>
        <w:rPr>
          <w:b/>
          <w:sz w:val="16"/>
        </w:rPr>
      </w:pPr>
      <w:r>
        <w:rPr>
          <w:b/>
        </w:rPr>
        <w:t>KROK 4: Zanalyzovat a interpretovat shromážděné důkazy</w:t>
      </w:r>
      <w:r>
        <w:t xml:space="preserve"> a použít je k zodpovězení společné hodnotící otázky č. 1 z hlediska podpory inovací. </w:t>
      </w:r>
    </w:p>
    <w:p w:rsidR="00A45935" w:rsidRPr="00FA6691" w:rsidRDefault="00A45935" w:rsidP="00FA6691">
      <w:pPr>
        <w:pStyle w:val="HHeadingtables"/>
        <w:rPr>
          <w:color w:val="6F6F6F"/>
          <w:sz w:val="18"/>
          <w:szCs w:val="18"/>
        </w:rPr>
      </w:pPr>
      <w:bookmarkStart w:id="109" w:name="Recommended_Methods"/>
      <w:bookmarkStart w:id="110" w:name="_Toc508703603"/>
      <w:bookmarkEnd w:id="109"/>
      <w:r>
        <w:rPr>
          <w:color w:val="6F6F6F"/>
          <w:sz w:val="18"/>
          <w:szCs w:val="18"/>
        </w:rPr>
        <w:t>Doporučené metody pro společnou hodnotící otázku č.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Metody</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Tipy, jak tyto metody používat</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Průzkumy u vedoucích pracovníků M1 a M2 </w:t>
            </w:r>
          </w:p>
          <w:p w:rsidR="00A45935" w:rsidRPr="00385368" w:rsidRDefault="00A45935" w:rsidP="007E63EF">
            <w:pPr>
              <w:spacing w:after="120" w:line="280" w:lineRule="atLeast"/>
              <w:ind w:right="116"/>
              <w:mirrorIndents/>
              <w:jc w:val="left"/>
              <w:rPr>
                <w:sz w:val="18"/>
                <w:szCs w:val="18"/>
              </w:rPr>
            </w:pPr>
            <w:r>
              <w:rPr>
                <w:sz w:val="18"/>
                <w:szCs w:val="18"/>
              </w:rPr>
              <w:t>Průzkumy u příjemců M1 a M2</w:t>
            </w:r>
          </w:p>
          <w:p w:rsidR="00A45935" w:rsidRPr="00385368" w:rsidRDefault="00A45935" w:rsidP="007E63EF">
            <w:pPr>
              <w:spacing w:after="120" w:line="280" w:lineRule="atLeast"/>
              <w:ind w:right="116"/>
              <w:mirrorIndents/>
              <w:jc w:val="left"/>
              <w:rPr>
                <w:sz w:val="18"/>
                <w:szCs w:val="18"/>
              </w:rPr>
            </w:pPr>
            <w:r>
              <w:rPr>
                <w:sz w:val="18"/>
                <w:szCs w:val="18"/>
              </w:rPr>
              <w:t>Průzkumy týkající se projektů operačních skupin založených na spolupráci</w:t>
            </w:r>
          </w:p>
          <w:p w:rsidR="00A45935" w:rsidRPr="00385368" w:rsidRDefault="00A45935" w:rsidP="00F86C48">
            <w:pPr>
              <w:spacing w:after="120" w:line="280" w:lineRule="atLeast"/>
              <w:ind w:right="116"/>
              <w:mirrorIndents/>
              <w:jc w:val="left"/>
              <w:rPr>
                <w:sz w:val="18"/>
                <w:szCs w:val="18"/>
              </w:rPr>
            </w:pPr>
            <w:r>
              <w:rPr>
                <w:sz w:val="18"/>
                <w:szCs w:val="18"/>
              </w:rPr>
              <w:t xml:space="preserve">Průzkumy u místních akčních skupin a jejich příjemců </w:t>
            </w:r>
          </w:p>
        </w:tc>
        <w:tc>
          <w:tcPr>
            <w:tcW w:w="6770" w:type="dxa"/>
          </w:tcPr>
          <w:p w:rsidR="00A45935" w:rsidRPr="00385368" w:rsidRDefault="00A45935" w:rsidP="00C202EC">
            <w:pPr>
              <w:pStyle w:val="Hlistbullet"/>
              <w:rPr>
                <w:sz w:val="18"/>
                <w:szCs w:val="18"/>
              </w:rPr>
            </w:pPr>
            <w:r>
              <w:rPr>
                <w:sz w:val="18"/>
                <w:szCs w:val="18"/>
              </w:rPr>
              <w:t xml:space="preserve">Vyberte vedoucí pracovníky / příjemce podopatření opatření M1 a M2 týkajících se inovací pro provedení průzkumu. </w:t>
            </w:r>
          </w:p>
          <w:p w:rsidR="00A45935" w:rsidRPr="00385368" w:rsidRDefault="00A45935" w:rsidP="00C202EC">
            <w:pPr>
              <w:pStyle w:val="Hlistbullet"/>
              <w:rPr>
                <w:sz w:val="18"/>
                <w:szCs w:val="18"/>
              </w:rPr>
            </w:pPr>
            <w:r>
              <w:rPr>
                <w:sz w:val="18"/>
                <w:szCs w:val="18"/>
              </w:rPr>
              <w:t>Vyberte vzorek projektů založených na spolupráci (např. podle odvětví, velikosti operační skupiny, zeměpisné polohy atd.) za účelem shromáždění údajů a informací pro stanovení ukazatelů prostřednictvím průzkumu mezi příjemci.</w:t>
            </w:r>
          </w:p>
          <w:p w:rsidR="00A45935" w:rsidRPr="00385368" w:rsidRDefault="00A45935" w:rsidP="00C202EC">
            <w:pPr>
              <w:pStyle w:val="Hlistbullet"/>
              <w:rPr>
                <w:sz w:val="18"/>
                <w:szCs w:val="18"/>
              </w:rPr>
            </w:pPr>
            <w:r>
              <w:rPr>
                <w:sz w:val="18"/>
                <w:szCs w:val="18"/>
              </w:rPr>
              <w:t>Sestavte průzkumy s použitím otevřených otázek ohledně toho, jak činnosti M1 a M2, operační skupiny a místní akční skupiny přispívaly k: a) sdílení inovativních nápadů, b) budování inovační kapacity, c) vytváření příznivého prostředí pro inovace.</w:t>
            </w:r>
          </w:p>
          <w:p w:rsidR="00A45935" w:rsidRPr="00385368" w:rsidRDefault="00A45935" w:rsidP="00C202EC">
            <w:pPr>
              <w:pStyle w:val="Hlistbullet"/>
              <w:rPr>
                <w:sz w:val="18"/>
                <w:szCs w:val="18"/>
              </w:rPr>
            </w:pPr>
            <w:r>
              <w:rPr>
                <w:sz w:val="18"/>
                <w:szCs w:val="18"/>
              </w:rPr>
              <w:t>Poznatky z průzkumů použijte na:</w:t>
            </w:r>
          </w:p>
          <w:p w:rsidR="00A45935" w:rsidRPr="00385368" w:rsidRDefault="00A45935" w:rsidP="00C202EC">
            <w:pPr>
              <w:pStyle w:val="Hlistbullet2"/>
              <w:rPr>
                <w:sz w:val="18"/>
                <w:szCs w:val="18"/>
              </w:rPr>
            </w:pPr>
            <w:r>
              <w:rPr>
                <w:sz w:val="18"/>
                <w:szCs w:val="18"/>
              </w:rPr>
              <w:t>posouzení toho, jak různé formy odborné přípravy a informačních akcí v rámci M1 přispívají k podpoře inovací,</w:t>
            </w:r>
          </w:p>
          <w:p w:rsidR="00A45935" w:rsidRPr="00385368" w:rsidRDefault="00A45935" w:rsidP="00C202EC">
            <w:pPr>
              <w:pStyle w:val="Hlistbullet2"/>
              <w:rPr>
                <w:sz w:val="18"/>
                <w:szCs w:val="18"/>
              </w:rPr>
            </w:pPr>
            <w:r>
              <w:rPr>
                <w:sz w:val="18"/>
                <w:szCs w:val="18"/>
              </w:rPr>
              <w:t>posouzení toho, jak poradenské služby přispívají k podpoře inovací,</w:t>
            </w:r>
          </w:p>
          <w:p w:rsidR="00A45935" w:rsidRPr="00385368" w:rsidRDefault="00A45935" w:rsidP="00C202EC">
            <w:pPr>
              <w:pStyle w:val="Hlistbullet2"/>
              <w:rPr>
                <w:sz w:val="18"/>
                <w:szCs w:val="18"/>
              </w:rPr>
            </w:pPr>
            <w:r>
              <w:rPr>
                <w:sz w:val="18"/>
                <w:szCs w:val="18"/>
              </w:rPr>
              <w:t xml:space="preserve">posouzení toho, jak operační skupiny přispívají k vytváření výsledků, které lze využít, </w:t>
            </w:r>
          </w:p>
          <w:p w:rsidR="00A45935" w:rsidRPr="00385368" w:rsidRDefault="00A45935" w:rsidP="00C202EC">
            <w:pPr>
              <w:pStyle w:val="Hlistbullet2"/>
            </w:pPr>
            <w:r>
              <w:rPr>
                <w:sz w:val="18"/>
                <w:szCs w:val="18"/>
              </w:rPr>
              <w:t>posouzení toho, jak místní akční skupiny podporují inovace prostřednictvím projektů podporovaných strategiemi komunitně vedeného místního rozvoje nebo činnostmi prováděnými místními akčními skupinami prostřednictvím jejich oživení.</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Tematicky zaměřené skupiny</w:t>
            </w:r>
          </w:p>
        </w:tc>
        <w:tc>
          <w:tcPr>
            <w:tcW w:w="6770" w:type="dxa"/>
          </w:tcPr>
          <w:p w:rsidR="00A45935" w:rsidRPr="00385368" w:rsidRDefault="00A45935" w:rsidP="00C202EC">
            <w:pPr>
              <w:pStyle w:val="Hlistbullet"/>
              <w:rPr>
                <w:sz w:val="18"/>
                <w:szCs w:val="18"/>
              </w:rPr>
            </w:pPr>
            <w:r>
              <w:rPr>
                <w:sz w:val="18"/>
                <w:szCs w:val="18"/>
              </w:rPr>
              <w:t>Zapojte účastníky inovačního procesu do tematicky zaměřených skupin (např. služby na podporu inovací, poradci působící jako zprostředkovatelé inovací, střediska pro výzkum a inovace atd.).</w:t>
            </w:r>
          </w:p>
          <w:p w:rsidR="00A45935" w:rsidRPr="00385368" w:rsidRDefault="00A45935" w:rsidP="00C202EC">
            <w:pPr>
              <w:pStyle w:val="Hlistbullet"/>
              <w:rPr>
                <w:sz w:val="18"/>
                <w:szCs w:val="18"/>
              </w:rPr>
            </w:pPr>
            <w:r>
              <w:rPr>
                <w:sz w:val="18"/>
                <w:szCs w:val="18"/>
              </w:rPr>
              <w:t>Analyzujte, jak příslušná podopatření opatření M1 a M2 a operační skupiny a místní akční skupiny ovlivňují inovační kapacitu a vytváření příznivého prostředí pro inovace.</w:t>
            </w:r>
          </w:p>
          <w:p w:rsidR="00A45935" w:rsidRPr="00385368" w:rsidRDefault="00A45935" w:rsidP="00C202EC">
            <w:pPr>
              <w:pStyle w:val="Hlistbullet"/>
              <w:rPr>
                <w:sz w:val="18"/>
                <w:szCs w:val="18"/>
              </w:rPr>
            </w:pPr>
            <w:r>
              <w:rPr>
                <w:sz w:val="18"/>
                <w:szCs w:val="18"/>
              </w:rPr>
              <w:t>Zvažte možnost zapojení tematicky zaměřených skupin (např. tematicky zaměřené skupiny pro zprostředkování inovací).</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Metoda Delphi</w:t>
            </w:r>
          </w:p>
        </w:tc>
        <w:tc>
          <w:tcPr>
            <w:tcW w:w="6770" w:type="dxa"/>
          </w:tcPr>
          <w:p w:rsidR="00A45935" w:rsidRPr="00385368" w:rsidRDefault="00A45935" w:rsidP="00C202EC">
            <w:pPr>
              <w:pStyle w:val="Hlistbullet"/>
              <w:rPr>
                <w:sz w:val="18"/>
                <w:szCs w:val="18"/>
              </w:rPr>
            </w:pPr>
            <w:r>
              <w:rPr>
                <w:sz w:val="18"/>
                <w:szCs w:val="18"/>
              </w:rPr>
              <w:t>Zapojte inovační odborníky (např. již zapojené do opatření a projektů založených na spolupráci, ale i jiné odborníky v oblasti inovací, např. z akademických kruhů).</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Postupy hodnocení vykazované ve výročních zprávách o provádění v roce 2017</w:t>
      </w: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9F6C028" wp14:editId="57336FA5">
                <wp:extent cx="5828599" cy="5508448"/>
                <wp:effectExtent l="0" t="0" r="20320" b="16510"/>
                <wp:docPr id="60" name="Rectangle: Diagonal Corners Rounded 60"/>
                <wp:cNvGraphicFramePr/>
                <a:graphic xmlns:a="http://schemas.openxmlformats.org/drawingml/2006/main">
                  <a:graphicData uri="http://schemas.microsoft.com/office/word/2010/wordprocessingShape">
                    <wps:wsp>
                      <wps:cNvSpPr/>
                      <wps:spPr>
                        <a:xfrm>
                          <a:off x="0" y="0"/>
                          <a:ext cx="5828599" cy="5508448"/>
                        </a:xfrm>
                        <a:prstGeom prst="round2DiagRect">
                          <a:avLst>
                            <a:gd name="adj1" fmla="val 5521"/>
                            <a:gd name="adj2" fmla="val 0"/>
                          </a:avLst>
                        </a:prstGeom>
                        <a:noFill/>
                        <a:ln w="25400" cap="flat" cmpd="sng" algn="ctr">
                          <a:solidFill>
                            <a:srgbClr val="F07E31"/>
                          </a:solidFill>
                          <a:prstDash val="solid"/>
                        </a:ln>
                        <a:effectLst/>
                      </wps:spPr>
                      <wps:txbx>
                        <w:txbxContent>
                          <w:p w:rsidR="005716B0" w:rsidRPr="00C202EC" w:rsidRDefault="005716B0"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716B0" w:rsidRPr="00346923" w:rsidRDefault="005716B0" w:rsidP="00C202EC">
                            <w:pPr>
                              <w:pStyle w:val="Normal12PTcouleurgris"/>
                              <w:spacing w:after="120"/>
                              <w:ind w:left="567" w:hanging="567"/>
                              <w:rPr>
                                <w:b/>
                                <w:color w:val="F07E31"/>
                                <w:sz w:val="16"/>
                                <w:szCs w:val="16"/>
                              </w:rPr>
                            </w:pPr>
                            <w:r w:rsidRPr="00346923">
                              <w:rPr>
                                <w:b/>
                                <w:color w:val="F07E31"/>
                                <w:sz w:val="16"/>
                                <w:szCs w:val="16"/>
                              </w:rPr>
                              <w:t>Příklady určování inovačního potenciálu</w:t>
                            </w:r>
                          </w:p>
                          <w:p w:rsidR="005716B0" w:rsidRPr="00346923" w:rsidRDefault="005716B0" w:rsidP="00C202EC">
                            <w:pPr>
                              <w:pStyle w:val="Hlistbullet"/>
                              <w:rPr>
                                <w:sz w:val="16"/>
                                <w:szCs w:val="16"/>
                              </w:rPr>
                            </w:pPr>
                            <w:r w:rsidRPr="00346923">
                              <w:rPr>
                                <w:b/>
                                <w:sz w:val="16"/>
                                <w:szCs w:val="16"/>
                              </w:rPr>
                              <w:t>Castilla y León (ES)</w:t>
                            </w:r>
                            <w:r w:rsidRPr="00346923">
                              <w:rPr>
                                <w:sz w:val="16"/>
                                <w:szCs w:val="16"/>
                              </w:rPr>
                              <w:t xml:space="preserve"> – zdůrazňuje inovační potenciál místních akčních skupin a doporučuje prostřednictvím analýzy místních rozvojových strategií zjistit, které druhy operací prováděných v rámci těchto strategií podporují přispění místních akčních skupin k cílům prioritní oblasti 1A týkajícím se inovací.</w:t>
                            </w:r>
                            <w:r w:rsidRPr="00346923">
                              <w:rPr>
                                <w:b/>
                                <w:sz w:val="16"/>
                                <w:szCs w:val="16"/>
                              </w:rPr>
                              <w:t xml:space="preserve"> </w:t>
                            </w:r>
                          </w:p>
                          <w:p w:rsidR="005716B0" w:rsidRPr="00346923" w:rsidRDefault="005716B0" w:rsidP="00C202EC">
                            <w:pPr>
                              <w:pStyle w:val="Hlistbullet"/>
                              <w:rPr>
                                <w:sz w:val="16"/>
                                <w:szCs w:val="16"/>
                              </w:rPr>
                            </w:pPr>
                            <w:r w:rsidRPr="00346923">
                              <w:rPr>
                                <w:b/>
                                <w:sz w:val="16"/>
                                <w:szCs w:val="16"/>
                              </w:rPr>
                              <w:t>Canarias (ES)</w:t>
                            </w:r>
                            <w:r w:rsidRPr="00346923">
                              <w:rPr>
                                <w:sz w:val="16"/>
                                <w:szCs w:val="16"/>
                              </w:rPr>
                              <w:t xml:space="preserve"> – také zdůrazňuje inovační potenciál místních akčních skupin a doporučuje do systému monitorování a hodnocení zahrnout proměnnou, která udává, zda operace, jež provádějí místní akční skupiny v rámci místních rozvojových strategií v souladu s opatřením M19, jsou inovativní.</w:t>
                            </w:r>
                          </w:p>
                          <w:p w:rsidR="005716B0" w:rsidRPr="00346923" w:rsidRDefault="005716B0" w:rsidP="003F6478">
                            <w:pPr>
                              <w:pStyle w:val="HStandard"/>
                              <w:ind w:left="567" w:hanging="567"/>
                              <w:rPr>
                                <w:b/>
                                <w:color w:val="F07E31"/>
                                <w:sz w:val="16"/>
                                <w:szCs w:val="16"/>
                              </w:rPr>
                            </w:pPr>
                            <w:r w:rsidRPr="00346923">
                              <w:rPr>
                                <w:b/>
                                <w:color w:val="F07E31"/>
                                <w:sz w:val="16"/>
                                <w:szCs w:val="16"/>
                              </w:rPr>
                              <w:t xml:space="preserve">Příklady dodatečných prvků hodnocení </w:t>
                            </w:r>
                          </w:p>
                          <w:p w:rsidR="005716B0" w:rsidRPr="00346923" w:rsidRDefault="005716B0" w:rsidP="00C202EC">
                            <w:pPr>
                              <w:pStyle w:val="Hlistbullet"/>
                              <w:rPr>
                                <w:sz w:val="16"/>
                                <w:szCs w:val="16"/>
                              </w:rPr>
                            </w:pPr>
                            <w:r w:rsidRPr="00346923">
                              <w:rPr>
                                <w:b/>
                                <w:sz w:val="16"/>
                                <w:szCs w:val="16"/>
                              </w:rPr>
                              <w:t>Bavorsko (ES)</w:t>
                            </w:r>
                            <w:r w:rsidRPr="00346923">
                              <w:rPr>
                                <w:sz w:val="16"/>
                                <w:szCs w:val="16"/>
                              </w:rPr>
                              <w:t xml:space="preserve"> – uvádí použití dodatečných hodnotících kritérií týkajících se inovací na úrovni místních akčních skupin (např. nové víceodvětvové projekty prováděné místními akčními skupinami, testování nových procesů/technik). Byl použit dodatečný ukazatel výsledku (nové nápady/řešení, inovace – M19). Ukazatel byl kvantifikován a informace shromážděny prostřednictvím a) internetového průzkumu mezi vedoucími pracovníky místních akčních skupin; b) polostrukturovaných rozhovorů s vybranými vedoucími pracovníky místních akčních skupin. </w:t>
                            </w:r>
                          </w:p>
                          <w:p w:rsidR="005716B0" w:rsidRPr="00346923" w:rsidRDefault="005716B0" w:rsidP="00C202EC">
                            <w:pPr>
                              <w:pStyle w:val="Hlistbullet"/>
                              <w:rPr>
                                <w:sz w:val="16"/>
                                <w:szCs w:val="16"/>
                              </w:rPr>
                            </w:pPr>
                            <w:r w:rsidRPr="00346923">
                              <w:rPr>
                                <w:b/>
                                <w:sz w:val="16"/>
                                <w:szCs w:val="16"/>
                              </w:rPr>
                              <w:t>Česká republika</w:t>
                            </w:r>
                            <w:r w:rsidRPr="00346923">
                              <w:rPr>
                                <w:sz w:val="16"/>
                                <w:szCs w:val="16"/>
                              </w:rPr>
                              <w:t xml:space="preserve"> – popisuje shromažďování údajů pro dodatečný ukazatel výsledku „počet účastníků dokončujících činnosti zaměřené na inovace“ prostřednictvím databáze operací. Zmiňuje také průzkum u příjemců v rámci podporovaných projektů s cílem získat informace týkající se inovací.</w:t>
                            </w:r>
                          </w:p>
                          <w:p w:rsidR="005716B0" w:rsidRPr="00346923" w:rsidRDefault="005716B0" w:rsidP="00142A64">
                            <w:pPr>
                              <w:pStyle w:val="HStandard"/>
                              <w:rPr>
                                <w:b/>
                                <w:sz w:val="16"/>
                                <w:szCs w:val="16"/>
                              </w:rPr>
                            </w:pPr>
                            <w:r w:rsidRPr="00346923">
                              <w:rPr>
                                <w:b/>
                                <w:color w:val="F07E31"/>
                                <w:sz w:val="16"/>
                                <w:szCs w:val="16"/>
                              </w:rPr>
                              <w:t>Příklady metod</w:t>
                            </w:r>
                          </w:p>
                          <w:p w:rsidR="005716B0" w:rsidRPr="00346923" w:rsidRDefault="005716B0" w:rsidP="00C202EC">
                            <w:pPr>
                              <w:pStyle w:val="Hlistbullet"/>
                              <w:rPr>
                                <w:sz w:val="16"/>
                                <w:szCs w:val="16"/>
                              </w:rPr>
                            </w:pPr>
                            <w:r w:rsidRPr="00346923">
                              <w:rPr>
                                <w:b/>
                                <w:sz w:val="16"/>
                                <w:szCs w:val="16"/>
                              </w:rPr>
                              <w:t>Castilla y León (ES)</w:t>
                            </w:r>
                            <w:r w:rsidRPr="00346923">
                              <w:rPr>
                                <w:sz w:val="16"/>
                                <w:szCs w:val="16"/>
                              </w:rPr>
                              <w:t xml:space="preserve"> – doporučuje provádět rozhovory s vedoucím pracovníkem každého opatření a včlenit do systému monitorování dodatečné datové prvky, jež umožňují posoudit, jak jsou do jednotlivých operací začleněny inovativní prvky a jak tyto operace přispívají k cílům inovace.</w:t>
                            </w:r>
                          </w:p>
                          <w:p w:rsidR="005716B0" w:rsidRPr="00346923" w:rsidRDefault="005716B0" w:rsidP="00C202EC">
                            <w:pPr>
                              <w:pStyle w:val="Hlistbullet"/>
                              <w:rPr>
                                <w:sz w:val="16"/>
                                <w:szCs w:val="16"/>
                              </w:rPr>
                            </w:pPr>
                            <w:r w:rsidRPr="00346923">
                              <w:rPr>
                                <w:b/>
                                <w:sz w:val="16"/>
                                <w:szCs w:val="16"/>
                              </w:rPr>
                              <w:t>Castilla la Mancha (ES)</w:t>
                            </w:r>
                            <w:r w:rsidRPr="00346923">
                              <w:rPr>
                                <w:sz w:val="16"/>
                                <w:szCs w:val="16"/>
                              </w:rPr>
                              <w:t xml:space="preserve"> – použili anketu zaslanou všem účastníkům školení s cílem zhodnotit mimo jiné, jak předávání znalostí a informačních akcí přispívá k inovacím. Průzkum umožnil posoudit inovativní vzdělávací kurzy.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58.95pt;height:433.75pt;visibility:visible;mso-wrap-style:square;mso-left-percent:-10001;mso-top-percent:-10001;mso-position-horizontal:absolute;mso-position-horizontal-relative:char;mso-position-vertical:absolute;mso-position-vertical-relative:line;mso-left-percent:-10001;mso-top-percent:-10001;v-text-anchor:middle" coordsize="5828599,55084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" adj="-11796480,,5400" path="m304121,l5828599,r,l5828599,5204327v,167961,-136160,304121,-304121,304121l,5508448r,l,304121c,136160,136160,,304121,xe" filled="f" strokecolor="#f07e31" strokeweight="2pt">
                <v:stroke joinstyle="miter"/>
                <v:formulas/>
                <v:path arrowok="t" o:connecttype="custom" o:connectlocs="304121,0;5828599,0;5828599,0;5828599,5204327;5524478,5508448;0,5508448;0,5508448;0,304121;304121,0" o:connectangles="0,0,0,0,0,0,0,0,0" textboxrect="0,0,5828599,5508448"/>
                <v:textbox>
                  <w:txbxContent>
                    <w:p w:rsidR="005716B0" w:rsidRPr="00C202EC" w:rsidRDefault="005716B0"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716B0" w:rsidRPr="00346923" w:rsidRDefault="005716B0" w:rsidP="00C202EC">
                      <w:pPr>
                        <w:pStyle w:val="Normal12PTcouleurgris"/>
                        <w:spacing w:after="120"/>
                        <w:ind w:left="567" w:hanging="567"/>
                        <w:rPr>
                          <w:b/>
                          <w:color w:val="F07E31"/>
                          <w:sz w:val="16"/>
                          <w:szCs w:val="16"/>
                        </w:rPr>
                      </w:pPr>
                      <w:r w:rsidRPr="00346923">
                        <w:rPr>
                          <w:b/>
                          <w:color w:val="F07E31"/>
                          <w:sz w:val="16"/>
                          <w:szCs w:val="16"/>
                        </w:rPr>
                        <w:t>Příklady určování inovačního potenciálu</w:t>
                      </w:r>
                    </w:p>
                    <w:p w:rsidR="005716B0" w:rsidRPr="00346923" w:rsidRDefault="005716B0" w:rsidP="00C202EC">
                      <w:pPr>
                        <w:pStyle w:val="Hlistbullet"/>
                        <w:rPr>
                          <w:sz w:val="16"/>
                          <w:szCs w:val="16"/>
                        </w:rPr>
                      </w:pPr>
                      <w:r w:rsidRPr="00346923">
                        <w:rPr>
                          <w:b/>
                          <w:sz w:val="16"/>
                          <w:szCs w:val="16"/>
                        </w:rPr>
                        <w:t>Castilla y León (ES)</w:t>
                      </w:r>
                      <w:r w:rsidRPr="00346923">
                        <w:rPr>
                          <w:sz w:val="16"/>
                          <w:szCs w:val="16"/>
                        </w:rPr>
                        <w:t xml:space="preserve"> – zdůrazňuje inovační potenciál místních akčních skupin a doporučuje prostřednictvím analýzy místních rozvojových strategií zjistit, které druhy operací prováděných v rámci těchto strategií podporují přispění místních akčních skupin k cílům prioritní oblasti 1A týkajícím se inovací.</w:t>
                      </w:r>
                      <w:r w:rsidRPr="00346923">
                        <w:rPr>
                          <w:b/>
                          <w:sz w:val="16"/>
                          <w:szCs w:val="16"/>
                        </w:rPr>
                        <w:t xml:space="preserve"> </w:t>
                      </w:r>
                    </w:p>
                    <w:p w:rsidR="005716B0" w:rsidRPr="00346923" w:rsidRDefault="005716B0" w:rsidP="00C202EC">
                      <w:pPr>
                        <w:pStyle w:val="Hlistbullet"/>
                        <w:rPr>
                          <w:sz w:val="16"/>
                          <w:szCs w:val="16"/>
                        </w:rPr>
                      </w:pPr>
                      <w:r w:rsidRPr="00346923">
                        <w:rPr>
                          <w:b/>
                          <w:sz w:val="16"/>
                          <w:szCs w:val="16"/>
                        </w:rPr>
                        <w:t>Canarias (ES)</w:t>
                      </w:r>
                      <w:r w:rsidRPr="00346923">
                        <w:rPr>
                          <w:sz w:val="16"/>
                          <w:szCs w:val="16"/>
                        </w:rPr>
                        <w:t xml:space="preserve"> – také zdůrazňuje inovační potenciál místních akčních skupin a doporučuje do systému monitorování a hodnocení zahrnout proměnnou, která udává, zda operace, jež provádějí místní akční skupiny v rámci místních rozvojových strategií v souladu s opatřením M19, jsou inovativní.</w:t>
                      </w:r>
                    </w:p>
                    <w:p w:rsidR="005716B0" w:rsidRPr="00346923" w:rsidRDefault="005716B0" w:rsidP="003F6478">
                      <w:pPr>
                        <w:pStyle w:val="HStandard"/>
                        <w:ind w:left="567" w:hanging="567"/>
                        <w:rPr>
                          <w:b/>
                          <w:color w:val="F07E31"/>
                          <w:sz w:val="16"/>
                          <w:szCs w:val="16"/>
                        </w:rPr>
                      </w:pPr>
                      <w:r w:rsidRPr="00346923">
                        <w:rPr>
                          <w:b/>
                          <w:color w:val="F07E31"/>
                          <w:sz w:val="16"/>
                          <w:szCs w:val="16"/>
                        </w:rPr>
                        <w:t xml:space="preserve">Příklady dodatečných prvků hodnocení </w:t>
                      </w:r>
                    </w:p>
                    <w:p w:rsidR="005716B0" w:rsidRPr="00346923" w:rsidRDefault="005716B0" w:rsidP="00C202EC">
                      <w:pPr>
                        <w:pStyle w:val="Hlistbullet"/>
                        <w:rPr>
                          <w:sz w:val="16"/>
                          <w:szCs w:val="16"/>
                        </w:rPr>
                      </w:pPr>
                      <w:r w:rsidRPr="00346923">
                        <w:rPr>
                          <w:b/>
                          <w:sz w:val="16"/>
                          <w:szCs w:val="16"/>
                        </w:rPr>
                        <w:t>Bavorsko (ES)</w:t>
                      </w:r>
                      <w:r w:rsidRPr="00346923">
                        <w:rPr>
                          <w:sz w:val="16"/>
                          <w:szCs w:val="16"/>
                        </w:rPr>
                        <w:t xml:space="preserve"> – uvádí použití dodatečných hodnotících kritérií týkajících se inovací na úrovni místních akčních skupin (např. nové víceodvětvové projekty prováděné místními akčními skupinami, testování nových procesů/technik). Byl použit dodatečný ukazatel výsledku (nové nápady/řešení, inovace – M19). Ukazatel byl kvantifikován a informace shromážděny prostřednictvím a) internetového průzkumu mezi vedoucími pracovníky místních akčních skupin; b) polostrukturovaných rozhovorů s vybranými vedoucími pracovníky místních akčních skupin. </w:t>
                      </w:r>
                    </w:p>
                    <w:p w:rsidR="005716B0" w:rsidRPr="00346923" w:rsidRDefault="005716B0" w:rsidP="00C202EC">
                      <w:pPr>
                        <w:pStyle w:val="Hlistbullet"/>
                        <w:rPr>
                          <w:sz w:val="16"/>
                          <w:szCs w:val="16"/>
                        </w:rPr>
                      </w:pPr>
                      <w:r w:rsidRPr="00346923">
                        <w:rPr>
                          <w:b/>
                          <w:sz w:val="16"/>
                          <w:szCs w:val="16"/>
                        </w:rPr>
                        <w:t>Česká republika</w:t>
                      </w:r>
                      <w:r w:rsidRPr="00346923">
                        <w:rPr>
                          <w:sz w:val="16"/>
                          <w:szCs w:val="16"/>
                        </w:rPr>
                        <w:t xml:space="preserve"> – popisuje shromažďování údajů pro dodatečný ukazatel výsledku „počet účastníků dokončujících činnosti zaměřené na inovace“ prostřednictvím databáze operací. Zmiňuje také průzkum u příjemců v rámci podporovaných projektů s cílem získat informace týkající se inovací.</w:t>
                      </w:r>
                    </w:p>
                    <w:p w:rsidR="005716B0" w:rsidRPr="00346923" w:rsidRDefault="005716B0" w:rsidP="00142A64">
                      <w:pPr>
                        <w:pStyle w:val="HStandard"/>
                        <w:rPr>
                          <w:b/>
                          <w:sz w:val="16"/>
                          <w:szCs w:val="16"/>
                        </w:rPr>
                      </w:pPr>
                      <w:r w:rsidRPr="00346923">
                        <w:rPr>
                          <w:b/>
                          <w:color w:val="F07E31"/>
                          <w:sz w:val="16"/>
                          <w:szCs w:val="16"/>
                        </w:rPr>
                        <w:t>Příklady metod</w:t>
                      </w:r>
                    </w:p>
                    <w:p w:rsidR="005716B0" w:rsidRPr="00346923" w:rsidRDefault="005716B0" w:rsidP="00C202EC">
                      <w:pPr>
                        <w:pStyle w:val="Hlistbullet"/>
                        <w:rPr>
                          <w:sz w:val="16"/>
                          <w:szCs w:val="16"/>
                        </w:rPr>
                      </w:pPr>
                      <w:r w:rsidRPr="00346923">
                        <w:rPr>
                          <w:b/>
                          <w:sz w:val="16"/>
                          <w:szCs w:val="16"/>
                        </w:rPr>
                        <w:t>Castilla y León (ES)</w:t>
                      </w:r>
                      <w:r w:rsidRPr="00346923">
                        <w:rPr>
                          <w:sz w:val="16"/>
                          <w:szCs w:val="16"/>
                        </w:rPr>
                        <w:t xml:space="preserve"> – doporučuje provádět rozhovory s vedoucím pracovníkem každého opatření a včlenit do systému monitorování dodatečné datové prvky, jež umožňují posoudit, jak jsou do jednotlivých operací začleněny inovativní prvky a jak tyto operace přispívají k cílům inovace.</w:t>
                      </w:r>
                    </w:p>
                    <w:p w:rsidR="005716B0" w:rsidRPr="00346923" w:rsidRDefault="005716B0" w:rsidP="00C202EC">
                      <w:pPr>
                        <w:pStyle w:val="Hlistbullet"/>
                        <w:rPr>
                          <w:sz w:val="16"/>
                          <w:szCs w:val="16"/>
                        </w:rPr>
                      </w:pPr>
                      <w:r w:rsidRPr="00346923">
                        <w:rPr>
                          <w:b/>
                          <w:sz w:val="16"/>
                          <w:szCs w:val="16"/>
                        </w:rPr>
                        <w:t>Castilla la Mancha (ES)</w:t>
                      </w:r>
                      <w:r w:rsidRPr="00346923">
                        <w:rPr>
                          <w:sz w:val="16"/>
                          <w:szCs w:val="16"/>
                        </w:rPr>
                        <w:t xml:space="preserve"> – použili anketu zaslanou všem účastníkům školení s cílem zhodnotit mimo jiné, jak předávání znalostí a informačních akcí přispívá k inovacím. Průzkum umožnil posoudit inovativní vzdělávací kurzy.</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Rizika a řešení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Rizika</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Řešení</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Některé datové položky (např. konečný počet projektů založených na spolupráci) nemusí být k dispozici dříve než po skončení programového období.</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Namísto konečného počtu kooperativních struktur lze prostřednictvím kvalitativního posouzení analyzovat druhy kooperativních struktur / vytvořených operačních skupin (právní struktura, složení, prohlášení partnerů o závazcích atd.).</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Informace o složení a kategorii partnerů v kooperativních projektech nebo inovačních zúčastněných stran v rámci opatření M1 a M2 nemusejí být v údajích z monitorování zaznamenány.</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Složení a kategorie partnerů lze posoudit pomocí průzkumů a rozhovorů týkajících se podporovaných operací. Alternativně lze užitečné údaje získat ze žádostí vztahujících se k podporovaným operacím.</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V tabulkách vzniklých na základě monitorování nemusí být zaznamenán druh vytvořených inovací a jejich využití.</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Pro odhad druhů vytvořených inovací mohou posloužit průzkumy, tematicky zaměřené skupiny a rozhovory s operačními skupinami.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Závěry a doporučení</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Závěry a doporučení by měly řešit alespoň tyto politické otázky:</w:t>
      </w:r>
    </w:p>
    <w:p w:rsidR="00A45935" w:rsidRPr="00B41573" w:rsidRDefault="00A45935" w:rsidP="00AB16BB">
      <w:pPr>
        <w:pStyle w:val="Hlistbullet"/>
        <w:rPr>
          <w:rFonts w:eastAsia="Calibri"/>
          <w:shd w:val="clear" w:color="auto" w:fill="FFFFFF"/>
        </w:rPr>
      </w:pPr>
      <w:r>
        <w:rPr>
          <w:b/>
          <w:shd w:val="clear" w:color="auto" w:fill="FFFFFF"/>
        </w:rPr>
        <w:t>Realizace inovačního potenciálu</w:t>
      </w:r>
      <w:r>
        <w:rPr>
          <w:shd w:val="clear" w:color="auto" w:fill="FFFFFF"/>
        </w:rPr>
        <w:t xml:space="preserve"> (prostřednictvím tří scénářů) opatření M1, M2, M16 a M19 a jejich zjištěných podopatření.</w:t>
      </w:r>
    </w:p>
    <w:p w:rsidR="00A45935" w:rsidRPr="00B41573" w:rsidRDefault="00A45935" w:rsidP="00AB16BB">
      <w:pPr>
        <w:pStyle w:val="Hlistbullet"/>
        <w:rPr>
          <w:rFonts w:eastAsia="Calibri"/>
          <w:shd w:val="clear" w:color="auto" w:fill="FFFFFF"/>
        </w:rPr>
      </w:pPr>
      <w:r>
        <w:rPr>
          <w:b/>
          <w:shd w:val="clear" w:color="auto" w:fill="FFFFFF"/>
        </w:rPr>
        <w:t>Účinek odborného vzdělávání a informačních akcí</w:t>
      </w:r>
      <w:r>
        <w:rPr>
          <w:shd w:val="clear" w:color="auto" w:fill="FFFFFF"/>
        </w:rPr>
        <w:t xml:space="preserve"> v rámci opatření M1 a poradenských služeb v rámci opatření M2 týkajících se budování inovační kapacity.</w:t>
      </w:r>
    </w:p>
    <w:p w:rsidR="00A45935" w:rsidRPr="00B41573" w:rsidRDefault="00A45935" w:rsidP="00AB16BB">
      <w:pPr>
        <w:pStyle w:val="Hlistbullet"/>
        <w:rPr>
          <w:rFonts w:eastAsia="Calibri"/>
          <w:shd w:val="clear" w:color="auto" w:fill="FFFFFF"/>
        </w:rPr>
      </w:pPr>
      <w:r>
        <w:rPr>
          <w:b/>
          <w:shd w:val="clear" w:color="auto" w:fill="FFFFFF"/>
        </w:rPr>
        <w:t>Účinek projektů založených na spolupráci</w:t>
      </w:r>
      <w:r>
        <w:rPr>
          <w:shd w:val="clear" w:color="auto" w:fill="FFFFFF"/>
        </w:rPr>
        <w:t>, zejména prováděných operačními skupinami, na podporu inovací, a konkrétněji:</w:t>
      </w:r>
    </w:p>
    <w:p w:rsidR="00A45935" w:rsidRPr="00E05D08" w:rsidRDefault="00A45935" w:rsidP="00AB16BB">
      <w:pPr>
        <w:pStyle w:val="Hlistbullet2"/>
        <w:rPr>
          <w:rFonts w:eastAsia="Calibri"/>
          <w:shd w:val="clear" w:color="auto" w:fill="FFFFFF"/>
        </w:rPr>
      </w:pPr>
      <w:r>
        <w:rPr>
          <w:shd w:val="clear" w:color="auto" w:fill="FFFFFF"/>
        </w:rPr>
        <w:t>počet, rozsah, obsah a doba trvání projektů operačních skupin, z nichž lze vyvodit užitečné závěry týkající se identifikace inovativních nápadů, jež by měly být uvedeny do praxe;</w:t>
      </w:r>
    </w:p>
    <w:p w:rsidR="00A45935" w:rsidRPr="00E05D08" w:rsidRDefault="00A45935" w:rsidP="00AB16BB">
      <w:pPr>
        <w:pStyle w:val="Hlistbullet2"/>
        <w:rPr>
          <w:rFonts w:eastAsia="Calibri"/>
          <w:shd w:val="clear" w:color="auto" w:fill="FFFFFF"/>
        </w:rPr>
      </w:pPr>
      <w:r>
        <w:rPr>
          <w:shd w:val="clear" w:color="auto" w:fill="FFFFFF"/>
        </w:rPr>
        <w:t>počet a druhy projektů operačních skupin a zapojení inovačních zúčastněných stran, z nichž lze vyvodit příslušné závěry o dosažených výsledcích opatření spolupráce v souvislosti s inovační kapacitou ve venkovských oblastech;</w:t>
      </w:r>
    </w:p>
    <w:p w:rsidR="00A45935" w:rsidRPr="00E05D08" w:rsidRDefault="00A45935" w:rsidP="00AB16BB">
      <w:pPr>
        <w:pStyle w:val="Hlistbullet2"/>
        <w:rPr>
          <w:rFonts w:eastAsia="Calibri"/>
          <w:shd w:val="clear" w:color="auto" w:fill="FFFFFF"/>
        </w:rPr>
      </w:pPr>
      <w:r>
        <w:rPr>
          <w:shd w:val="clear" w:color="auto" w:fill="FFFFFF"/>
        </w:rPr>
        <w:t xml:space="preserve">závěry, do jaké míry projekty operačních skupin vytvářejí struktury a postupy, jež usnadňují vytváření inovací.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Účinky činností místních akčních skupin </w:t>
      </w:r>
      <w:r>
        <w:rPr>
          <w:szCs w:val="20"/>
          <w:shd w:val="clear" w:color="auto" w:fill="FFFFFF"/>
        </w:rPr>
        <w:t xml:space="preserve">(včetně spolupráce mezi místními akčními skupinami) a projekty uskutečněné prostřednictvím strategií komunitně vedeného místního rozvoje.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Další informace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1975104"/>
                <wp:effectExtent l="0" t="0" r="24765" b="25400"/>
                <wp:docPr id="5" name="Rectangle: Diagonal Corners Rounded 5"/>
                <wp:cNvGraphicFramePr/>
                <a:graphic xmlns:a="http://schemas.openxmlformats.org/drawingml/2006/main">
                  <a:graphicData uri="http://schemas.microsoft.com/office/word/2010/wordprocessingShape">
                    <wps:wsp>
                      <wps:cNvSpPr/>
                      <wps:spPr>
                        <a:xfrm>
                          <a:off x="0" y="0"/>
                          <a:ext cx="5633634" cy="1975104"/>
                        </a:xfrm>
                        <a:prstGeom prst="round2DiagRect">
                          <a:avLst>
                            <a:gd name="adj1" fmla="val 11556"/>
                            <a:gd name="adj2" fmla="val 0"/>
                          </a:avLst>
                        </a:prstGeom>
                        <a:noFill/>
                        <a:ln w="25400" cap="flat" cmpd="sng" algn="ctr">
                          <a:solidFill>
                            <a:srgbClr val="59638E"/>
                          </a:solidFill>
                          <a:prstDash val="solid"/>
                        </a:ln>
                        <a:effectLst/>
                      </wps:spPr>
                      <wps:txbx>
                        <w:txbxContent>
                          <w:p w:rsidR="005716B0" w:rsidRDefault="005716B0"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EB3015" w:rsidRDefault="005716B0" w:rsidP="00E05D08">
                            <w:pPr>
                              <w:pStyle w:val="HStandard"/>
                              <w:rPr>
                                <w:color w:val="000000"/>
                                <w:sz w:val="18"/>
                              </w:rPr>
                            </w:pPr>
                            <w:r>
                              <w:t>Pokyny</w:t>
                            </w:r>
                            <w:r>
                              <w:rPr>
                                <w:color w:val="000000"/>
                                <w:sz w:val="18"/>
                              </w:rPr>
                              <w:t xml:space="preserve"> </w:t>
                            </w:r>
                            <w:hyperlink r:id="rId43" w:history="1">
                              <w:r>
                                <w:rPr>
                                  <w:rStyle w:val="Hyperlink"/>
                                  <w:sz w:val="18"/>
                                </w:rPr>
                                <w:t>Posuzování výsledků PRV:</w:t>
                              </w:r>
                            </w:hyperlink>
                            <w:r>
                              <w:rPr>
                                <w:rStyle w:val="Hyperlink"/>
                                <w:sz w:val="18"/>
                              </w:rPr>
                              <w:t xml:space="preserve"> </w:t>
                            </w:r>
                            <w:hyperlink r:id="rId44" w:history="1">
                              <w:r>
                                <w:rPr>
                                  <w:rStyle w:val="Hyperlink"/>
                                  <w:sz w:val="18"/>
                                </w:rPr>
                                <w:t>jak se připravit na podávání zpráv o hodnocení v roce 2017</w:t>
                              </w:r>
                            </w:hyperlink>
                            <w:r>
                              <w:rPr>
                                <w:sz w:val="18"/>
                              </w:rPr>
                              <w:t>, příloha 11</w:t>
                            </w:r>
                            <w:r>
                              <w:rPr>
                                <w:color w:val="000000"/>
                                <w:sz w:val="18"/>
                              </w:rPr>
                              <w:t xml:space="preserve"> </w:t>
                            </w:r>
                          </w:p>
                          <w:p w:rsidR="005716B0" w:rsidRPr="00730192" w:rsidRDefault="005716B0" w:rsidP="00E05D08">
                            <w:pPr>
                              <w:pStyle w:val="HStandard"/>
                              <w:rPr>
                                <w:sz w:val="18"/>
                              </w:rPr>
                            </w:pPr>
                            <w:r>
                              <w:t>Pokyny</w:t>
                            </w:r>
                            <w:r>
                              <w:rPr>
                                <w:sz w:val="18"/>
                              </w:rPr>
                              <w:t xml:space="preserve"> „</w:t>
                            </w:r>
                            <w:hyperlink r:id="rId45" w:history="1">
                              <w:r>
                                <w:rPr>
                                  <w:rStyle w:val="Hyperlink"/>
                                  <w:sz w:val="18"/>
                                </w:rPr>
                                <w:t>Opatření spolupráce</w:t>
                              </w:r>
                            </w:hyperlink>
                            <w:r>
                              <w:rPr>
                                <w:sz w:val="18"/>
                              </w:rPr>
                              <w:t>“, článek 35 nařízení (EU č. 1305/2013, listopad 2014</w:t>
                            </w:r>
                          </w:p>
                          <w:p w:rsidR="005716B0" w:rsidRPr="009D62F4" w:rsidRDefault="005716B0" w:rsidP="00E05D08">
                            <w:pPr>
                              <w:pStyle w:val="HStandard"/>
                              <w:rPr>
                                <w:sz w:val="18"/>
                                <w:szCs w:val="18"/>
                              </w:rPr>
                            </w:pPr>
                            <w:r>
                              <w:rPr>
                                <w:sz w:val="18"/>
                              </w:rPr>
                              <w:t xml:space="preserve">Dokumenty z pracovního setkání Evropské sítě pro rozvoj venkova k opatření M16 „Spolupráce“, červen 2016, Brusel, </w:t>
                            </w:r>
                            <w:hyperlink r:id="rId46"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55.5pt;visibility:visible;mso-wrap-style:square;mso-left-percent:-10001;mso-top-percent:-10001;mso-position-horizontal:absolute;mso-position-horizontal-relative:char;mso-position-vertical:absolute;mso-position-vertical-relative:line;mso-left-percent:-10001;mso-top-percent:-10001;v-text-anchor:middle" coordsize="5633634,19751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" adj="-11796480,,5400" path="m228243,l5633634,r,l5633634,1746861v,126055,-102188,228243,-228243,228243l,1975104r,l,228243c,102188,102188,,228243,xe" filled="f" strokecolor="#59638e" strokeweight="2pt">
                <v:stroke joinstyle="miter"/>
                <v:formulas/>
                <v:path arrowok="t" o:connecttype="custom" o:connectlocs="228243,0;5633634,0;5633634,0;5633634,1746861;5405391,1975104;0,1975104;0,1975104;0,228243;228243,0" o:connectangles="0,0,0,0,0,0,0,0,0" textboxrect="0,0,5633634,1975104"/>
                <v:textbox>
                  <w:txbxContent>
                    <w:p w:rsidR="005716B0" w:rsidRDefault="005716B0"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EB3015" w:rsidRDefault="005716B0" w:rsidP="00E05D08">
                      <w:pPr>
                        <w:pStyle w:val="HStandard"/>
                        <w:rPr>
                          <w:color w:val="000000"/>
                          <w:sz w:val="18"/>
                        </w:rPr>
                      </w:pPr>
                      <w:r>
                        <w:t>Pokyny</w:t>
                      </w:r>
                      <w:r>
                        <w:rPr>
                          <w:color w:val="000000"/>
                          <w:sz w:val="18"/>
                        </w:rPr>
                        <w:t xml:space="preserve"> </w:t>
                      </w:r>
                      <w:hyperlink r:id="rId47" w:history="1">
                        <w:r>
                          <w:rPr>
                            <w:rStyle w:val="Hyperlink"/>
                            <w:sz w:val="18"/>
                          </w:rPr>
                          <w:t>Posuzování výsledků PRV:</w:t>
                        </w:r>
                      </w:hyperlink>
                      <w:r>
                        <w:rPr>
                          <w:rStyle w:val="Hyperlink"/>
                          <w:sz w:val="18"/>
                        </w:rPr>
                        <w:t xml:space="preserve"> </w:t>
                      </w:r>
                      <w:hyperlink r:id="rId48" w:history="1">
                        <w:r>
                          <w:rPr>
                            <w:rStyle w:val="Hyperlink"/>
                            <w:sz w:val="18"/>
                          </w:rPr>
                          <w:t>jak se připravit na podávání zpráv o hodnocení v roce 2017</w:t>
                        </w:r>
                      </w:hyperlink>
                      <w:r>
                        <w:rPr>
                          <w:sz w:val="18"/>
                        </w:rPr>
                        <w:t>, příloha 11</w:t>
                      </w:r>
                      <w:r>
                        <w:rPr>
                          <w:color w:val="000000"/>
                          <w:sz w:val="18"/>
                        </w:rPr>
                        <w:t xml:space="preserve"> </w:t>
                      </w:r>
                    </w:p>
                    <w:p w:rsidR="005716B0" w:rsidRPr="00730192" w:rsidRDefault="005716B0" w:rsidP="00E05D08">
                      <w:pPr>
                        <w:pStyle w:val="HStandard"/>
                        <w:rPr>
                          <w:sz w:val="18"/>
                        </w:rPr>
                      </w:pPr>
                      <w:r>
                        <w:t>Pokyny</w:t>
                      </w:r>
                      <w:r>
                        <w:rPr>
                          <w:sz w:val="18"/>
                        </w:rPr>
                        <w:t xml:space="preserve"> „</w:t>
                      </w:r>
                      <w:hyperlink r:id="rId49" w:history="1">
                        <w:r>
                          <w:rPr>
                            <w:rStyle w:val="Hyperlink"/>
                            <w:sz w:val="18"/>
                          </w:rPr>
                          <w:t>Opatření spolupráce</w:t>
                        </w:r>
                      </w:hyperlink>
                      <w:r>
                        <w:rPr>
                          <w:sz w:val="18"/>
                        </w:rPr>
                        <w:t>“, článek 35 nařízení (EU č. 1305/2013, listopad 2014</w:t>
                      </w:r>
                    </w:p>
                    <w:p w:rsidR="005716B0" w:rsidRPr="009D62F4" w:rsidRDefault="005716B0" w:rsidP="00E05D08">
                      <w:pPr>
                        <w:pStyle w:val="HStandard"/>
                        <w:rPr>
                          <w:sz w:val="18"/>
                          <w:szCs w:val="18"/>
                        </w:rPr>
                      </w:pPr>
                      <w:r>
                        <w:rPr>
                          <w:sz w:val="18"/>
                        </w:rPr>
                        <w:t xml:space="preserve">Dokumenty z pracovního setkání Evropské sítě pro rozvoj venkova k opatření M16 „Spolupráce“, červen 2016, Brusel, </w:t>
                      </w:r>
                      <w:hyperlink r:id="rId50"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607837"/>
      <w:r>
        <w:t>Společná hodnotící otázka č. 2: „Do jaké míry podpořily intervence programu rozvoje venkova posílení vazeb mezi zemědělstvím, produkcí potravin a lesnictvím a výzkumem a inovacemi, mimo jiné za účelem zlepšeného řízení v oblasti životního prostředí a environmentálního profilu?“</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Pochopení společné hodnotící otázky</w:t>
      </w:r>
    </w:p>
    <w:p w:rsidR="00A45935" w:rsidRPr="00E05D08" w:rsidRDefault="00A45935" w:rsidP="00E05D08">
      <w:pPr>
        <w:spacing w:after="120" w:line="280" w:lineRule="atLeast"/>
        <w:mirrorIndents/>
        <w:rPr>
          <w:rFonts w:eastAsia="Times New Roman" w:cs="Times New Roman"/>
          <w:szCs w:val="20"/>
        </w:rPr>
      </w:pPr>
      <w:r>
        <w:t>Společná hodnotící otázka č. 2 souvisí především s opatřením M16 a jeho 10 podopatřeními podle článku 35 – Spolupráce</w:t>
      </w:r>
      <w:r>
        <w:rPr>
          <w:rFonts w:eastAsia="Times New Roman" w:cs="Arial"/>
          <w:szCs w:val="20"/>
          <w:vertAlign w:val="superscript"/>
          <w:lang w:eastAsia="de-DE"/>
        </w:rPr>
        <w:footnoteReference w:id="52"/>
      </w:r>
      <w:r>
        <w:t xml:space="preserve">. </w:t>
      </w:r>
      <w:r>
        <w:rPr>
          <w:b/>
          <w:szCs w:val="20"/>
        </w:rPr>
        <w:t>Vazby mezi zemědělstvím, produkcí potravin, lesnictvím a výzkumem a inovacemi</w:t>
      </w:r>
      <w:r>
        <w:t xml:space="preserve"> lze podporovat třemi způsoby</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Spolupráce mezi širokým spektrem aktérů z odvětví zemědělství a lesnictví, potravinového řetězce a dalších, kteří přispívají k dosažení cílů politiky rozvoje venkova, a také seskupení producentů, družstev a mezioborových organizací.</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Vytváření klastrů a sítí, což jsou specifičtější, ale důležité formy spolupráce.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Vytváření operačních skupin EIP-AGRI, nové složky politiky rozvoje venkova, jejímž cílem je těsnější sepětí mezi výzkumem a praxí.</w:t>
      </w:r>
    </w:p>
    <w:p w:rsidR="00A45935" w:rsidRPr="00E05D08" w:rsidRDefault="00A45935" w:rsidP="00E05D08">
      <w:pPr>
        <w:spacing w:after="120" w:line="280" w:lineRule="atLeast"/>
        <w:mirrorIndents/>
        <w:rPr>
          <w:rFonts w:eastAsia="Times New Roman" w:cs="Times New Roman"/>
          <w:szCs w:val="20"/>
        </w:rPr>
      </w:pPr>
      <w:r>
        <w:t>Podpora těchto forem spolupráce ze strany politiky rozvoje venkova se postupem času vyvíjela. V předchozím programovém období byly podporovány velmi konkrétní formy spolupráce (systémy kvality potravin a seskupení producentů) (v rámci iniciativy LEADER). Stávající politika podporuje vazby mezi širším spektrem aktérů a je flexibilnější, pokud jde o pole působnosti a složení činností v oblasti spolupráce. Propojením zemědělství, lesnictví a potravinového řetězce s aktéry v oblasti výzkumu/inovací klade politika rozvoje venkova silný důraz na inovace jako způsob dosažení cílů PRV. Například:</w:t>
      </w:r>
    </w:p>
    <w:p w:rsidR="00A45935" w:rsidRPr="00D35751" w:rsidRDefault="00A45935" w:rsidP="00AB16BB">
      <w:pPr>
        <w:pStyle w:val="Hlistbullet"/>
      </w:pPr>
      <w:r>
        <w:t>Propojení výzkumu s praxí může pomoci určit inovace, jež mohou posílit provádění programů a přispět k cílům PRV.</w:t>
      </w:r>
    </w:p>
    <w:p w:rsidR="00EF1B0F" w:rsidRPr="00EF1B0F" w:rsidRDefault="00A45935" w:rsidP="00734B11">
      <w:pPr>
        <w:pStyle w:val="Hlistbullet"/>
      </w:pPr>
      <w:r>
        <w:t xml:space="preserve">Důraz na podporu projektů založených na spolupráci ze strany poradců a služeb na podporu inovací (včetně podpory poskytované prostřednictvím místních akčních skupin) může napomoci budování inovační kapacity a zlepšování konkurenceschopnosti a/nebo životního prostředí. </w:t>
      </w:r>
    </w:p>
    <w:p w:rsidR="00EF1B0F" w:rsidRDefault="00A45935" w:rsidP="00734B11">
      <w:pPr>
        <w:pStyle w:val="Hlistbullet"/>
      </w:pPr>
      <w:r>
        <w:t xml:space="preserve">Dalším aspektem, na který se zaměřuje společná hodnotící otázka č. 2, je </w:t>
      </w:r>
      <w:r>
        <w:rPr>
          <w:b/>
        </w:rPr>
        <w:t>spolupráce za účelem zlepšeného řízení v oblasti životního prostředí a environmentálního profilu.</w:t>
      </w:r>
      <w:r>
        <w:t xml:space="preserve"> Oblast </w:t>
      </w:r>
      <w:r w:rsidR="00346923">
        <w:rPr>
          <w:noProof/>
          <w:color w:val="auto"/>
          <w:sz w:val="18"/>
          <w:lang w:val="en-GB" w:eastAsia="en-GB"/>
        </w:rPr>
        <w:lastRenderedPageBreak/>
        <mc:AlternateContent>
          <mc:Choice Requires="wps">
            <w:drawing>
              <wp:anchor distT="0" distB="0" distL="114300" distR="114300" simplePos="0" relativeHeight="251723776" behindDoc="0" locked="0" layoutInCell="1" allowOverlap="1" wp14:anchorId="30EE039E" wp14:editId="2974153D">
                <wp:simplePos x="0" y="0"/>
                <wp:positionH relativeFrom="column">
                  <wp:posOffset>94615</wp:posOffset>
                </wp:positionH>
                <wp:positionV relativeFrom="page">
                  <wp:posOffset>753110</wp:posOffset>
                </wp:positionV>
                <wp:extent cx="5763260" cy="6598285"/>
                <wp:effectExtent l="0" t="0" r="27940" b="1206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598285"/>
                        </a:xfrm>
                        <a:prstGeom prst="round2DiagRect">
                          <a:avLst>
                            <a:gd name="adj1" fmla="val 5422"/>
                            <a:gd name="adj2" fmla="val 0"/>
                          </a:avLst>
                        </a:prstGeom>
                        <a:noFill/>
                        <a:ln w="25400" cap="flat" cmpd="sng" algn="ctr">
                          <a:solidFill>
                            <a:srgbClr val="F07E31"/>
                          </a:solidFill>
                          <a:prstDash val="solid"/>
                        </a:ln>
                        <a:effectLst/>
                      </wps:spPr>
                      <wps:txbx>
                        <w:txbxContent>
                          <w:p w:rsidR="005716B0" w:rsidRPr="007B4A6D" w:rsidRDefault="005716B0"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 Opatření v oblasti spolupráce používaná za účelem zlepšeného řízení v oblasti životního prostředí</w:t>
                            </w:r>
                          </w:p>
                          <w:p w:rsidR="005716B0" w:rsidRPr="007B4A6D" w:rsidRDefault="005716B0" w:rsidP="00E05D08">
                            <w:pPr>
                              <w:pStyle w:val="HStandard"/>
                              <w:rPr>
                                <w:sz w:val="18"/>
                                <w:szCs w:val="18"/>
                              </w:rPr>
                            </w:pPr>
                            <w:r>
                              <w:rPr>
                                <w:b/>
                                <w:sz w:val="18"/>
                                <w:szCs w:val="18"/>
                              </w:rPr>
                              <w:t>Finsko</w:t>
                            </w:r>
                            <w:r>
                              <w:rPr>
                                <w:sz w:val="18"/>
                                <w:szCs w:val="18"/>
                              </w:rPr>
                              <w:t xml:space="preserve"> – opatření M16 doplňuje další opatření PRV na dosažení cílů priorit P4 a P5:</w:t>
                            </w:r>
                          </w:p>
                          <w:p w:rsidR="005716B0" w:rsidRPr="00055039" w:rsidRDefault="005716B0" w:rsidP="008C0B17">
                            <w:pPr>
                              <w:pStyle w:val="HStandard"/>
                              <w:numPr>
                                <w:ilvl w:val="0"/>
                                <w:numId w:val="24"/>
                              </w:numPr>
                              <w:ind w:left="567" w:hanging="567"/>
                              <w:rPr>
                                <w:sz w:val="18"/>
                                <w:szCs w:val="18"/>
                              </w:rPr>
                            </w:pPr>
                            <w:r>
                              <w:rPr>
                                <w:sz w:val="18"/>
                                <w:szCs w:val="18"/>
                              </w:rPr>
                              <w:t>58 % opatření M16 a části opatření M1 a M2 jsou využívány na podporu energetické účinnosti,</w:t>
                            </w:r>
                          </w:p>
                          <w:p w:rsidR="005716B0" w:rsidRPr="00D66182" w:rsidRDefault="005716B0" w:rsidP="008C0B17">
                            <w:pPr>
                              <w:pStyle w:val="HStandard"/>
                              <w:numPr>
                                <w:ilvl w:val="0"/>
                                <w:numId w:val="24"/>
                              </w:numPr>
                              <w:ind w:left="567" w:hanging="567"/>
                              <w:rPr>
                                <w:sz w:val="18"/>
                                <w:szCs w:val="18"/>
                              </w:rPr>
                            </w:pPr>
                            <w:r>
                              <w:rPr>
                                <w:sz w:val="18"/>
                                <w:szCs w:val="18"/>
                              </w:rPr>
                              <w:t>49 % opatření M16 a části opatření M1 a M2 jsou využívány na pohlcování a ukládání uhlíku,</w:t>
                            </w:r>
                          </w:p>
                          <w:p w:rsidR="005716B0" w:rsidRPr="000E1D4B" w:rsidRDefault="005716B0" w:rsidP="008C0B17">
                            <w:pPr>
                              <w:pStyle w:val="HStandard"/>
                              <w:numPr>
                                <w:ilvl w:val="0"/>
                                <w:numId w:val="24"/>
                              </w:numPr>
                              <w:ind w:left="567" w:hanging="567"/>
                              <w:rPr>
                                <w:sz w:val="18"/>
                                <w:szCs w:val="18"/>
                              </w:rPr>
                            </w:pPr>
                            <w:r>
                              <w:rPr>
                                <w:sz w:val="18"/>
                                <w:szCs w:val="18"/>
                              </w:rPr>
                              <w:t>10 % opatření M16, 84 % opatření M4 a části opatření M1 a M2 jsou využívány na obnovitelné zdroje energie a nakládání s odpady,</w:t>
                            </w:r>
                          </w:p>
                          <w:p w:rsidR="005716B0" w:rsidRPr="000E1D4B" w:rsidRDefault="005716B0" w:rsidP="008C0B17">
                            <w:pPr>
                              <w:pStyle w:val="HStandard"/>
                              <w:numPr>
                                <w:ilvl w:val="0"/>
                                <w:numId w:val="24"/>
                              </w:numPr>
                              <w:ind w:left="567" w:hanging="567"/>
                              <w:rPr>
                                <w:sz w:val="18"/>
                                <w:szCs w:val="18"/>
                              </w:rPr>
                            </w:pPr>
                            <w:r>
                              <w:rPr>
                                <w:sz w:val="18"/>
                                <w:szCs w:val="18"/>
                              </w:rPr>
                              <w:t>5,5 % opatření M16, 89 % opatření M4 a části opatření M1 a M2 jsou využívány na snižování emisí skleníkových plynů a amoniaku.</w:t>
                            </w:r>
                          </w:p>
                          <w:p w:rsidR="005716B0" w:rsidRPr="000E1D4B" w:rsidRDefault="005716B0" w:rsidP="00E05D08">
                            <w:pPr>
                              <w:pStyle w:val="HStandard"/>
                              <w:rPr>
                                <w:sz w:val="18"/>
                                <w:szCs w:val="18"/>
                              </w:rPr>
                            </w:pPr>
                            <w:r>
                              <w:rPr>
                                <w:sz w:val="18"/>
                                <w:szCs w:val="18"/>
                              </w:rPr>
                              <w:t>Podopatření v oblasti spolupráce (např. podpora pilotních projektů M16.2, podpora společných akcí ke zmírňování změny klimatu a přizpůsobení se jí a společných přístupů k projektům a postupům v oblasti ochrany životního prostředí M16.5) mají dopad především na prioritní oblasti 4A až 4C a prioritní oblasti 5A až 5E.</w:t>
                            </w:r>
                          </w:p>
                          <w:p w:rsidR="005716B0" w:rsidRPr="00AB16BB" w:rsidRDefault="005716B0" w:rsidP="00AB16BB">
                            <w:pPr>
                              <w:pStyle w:val="HSource"/>
                              <w:ind w:right="8"/>
                              <w:jc w:val="right"/>
                              <w:rPr>
                                <w:rFonts w:eastAsia="Calibri"/>
                                <w:sz w:val="14"/>
                                <w:szCs w:val="14"/>
                              </w:rPr>
                            </w:pPr>
                            <w:r>
                              <w:rPr>
                                <w:sz w:val="14"/>
                                <w:szCs w:val="14"/>
                              </w:rPr>
                              <w:t>Zdroj: Evropská síť pro rozvoj venkova (2016). Pracovní setkání k opatření M 16 „Spolupráce“</w:t>
                            </w:r>
                            <w:r>
                              <w:rPr>
                                <w:sz w:val="14"/>
                                <w:szCs w:val="14"/>
                                <w:vertAlign w:val="superscript"/>
                              </w:rPr>
                              <w:t>54</w:t>
                            </w:r>
                            <w:r>
                              <w:rPr>
                                <w:sz w:val="14"/>
                                <w:szCs w:val="14"/>
                              </w:rPr>
                              <w:t>.</w:t>
                            </w:r>
                          </w:p>
                          <w:p w:rsidR="005716B0" w:rsidRPr="007B4A6D" w:rsidRDefault="005716B0" w:rsidP="00235D46">
                            <w:pPr>
                              <w:pStyle w:val="HStandard"/>
                              <w:spacing w:after="0"/>
                              <w:ind w:left="567" w:hanging="567"/>
                              <w:rPr>
                                <w:b/>
                                <w:sz w:val="18"/>
                                <w:szCs w:val="18"/>
                              </w:rPr>
                            </w:pPr>
                            <w:r>
                              <w:rPr>
                                <w:b/>
                                <w:color w:val="F07E31"/>
                                <w:sz w:val="18"/>
                                <w:szCs w:val="18"/>
                              </w:rPr>
                              <w:t>Příklad:</w:t>
                            </w:r>
                            <w:r>
                              <w:rPr>
                                <w:color w:val="F07E31"/>
                                <w:sz w:val="18"/>
                                <w:szCs w:val="18"/>
                              </w:rPr>
                              <w:t xml:space="preserve"> </w:t>
                            </w:r>
                            <w:r>
                              <w:rPr>
                                <w:b/>
                                <w:color w:val="F07E31"/>
                                <w:sz w:val="18"/>
                                <w:szCs w:val="18"/>
                              </w:rPr>
                              <w:t>Propojení výzkumných pracovníků a zemědělců</w:t>
                            </w:r>
                            <w:r>
                              <w:rPr>
                                <w:color w:val="F07E31"/>
                                <w:sz w:val="18"/>
                                <w:szCs w:val="18"/>
                              </w:rPr>
                              <w:t xml:space="preserve"> </w:t>
                            </w:r>
                          </w:p>
                          <w:p w:rsidR="005716B0" w:rsidRPr="00D66182" w:rsidRDefault="005716B0" w:rsidP="00235D46">
                            <w:pPr>
                              <w:pStyle w:val="HStandard"/>
                              <w:rPr>
                                <w:sz w:val="18"/>
                                <w:szCs w:val="18"/>
                              </w:rPr>
                            </w:pPr>
                            <w:r>
                              <w:rPr>
                                <w:b/>
                                <w:sz w:val="18"/>
                                <w:szCs w:val="18"/>
                              </w:rPr>
                              <w:t>Belgie</w:t>
                            </w:r>
                            <w:r>
                              <w:rPr>
                                <w:sz w:val="18"/>
                                <w:szCs w:val="18"/>
                              </w:rPr>
                              <w:t xml:space="preserve"> – inovativní vepřín pomáhá snižovat emise amoniaku. Propojení výzkumných pracovníků se zemědělci prostřednictvím služeb na podporu inovací bylo klíčem k vývoji a testování těchto technik pro snížení množství amoniaku přidáním určitých bakterií do prasečí kejdy. To také přispívá k dosažení cílů PRV v oblasti životního prostředí. </w:t>
                            </w:r>
                          </w:p>
                          <w:p w:rsidR="005716B0" w:rsidRPr="00AB16BB" w:rsidRDefault="005716B0" w:rsidP="00AB16BB">
                            <w:pPr>
                              <w:pStyle w:val="HStandard"/>
                              <w:jc w:val="right"/>
                              <w:rPr>
                                <w:sz w:val="14"/>
                                <w:szCs w:val="14"/>
                                <w:vertAlign w:val="superscript"/>
                              </w:rPr>
                            </w:pPr>
                            <w:r>
                              <w:rPr>
                                <w:i/>
                                <w:sz w:val="14"/>
                                <w:szCs w:val="14"/>
                              </w:rPr>
                              <w:t>Zdroj: EIP – Středisko služeb.</w:t>
                            </w:r>
                            <w:r>
                              <w:rPr>
                                <w:i/>
                                <w:sz w:val="14"/>
                                <w:szCs w:val="14"/>
                                <w:vertAlign w:val="superscript"/>
                              </w:rPr>
                              <w:t>55</w:t>
                            </w:r>
                          </w:p>
                          <w:p w:rsidR="005716B0" w:rsidRPr="007B4A6D" w:rsidRDefault="005716B0" w:rsidP="00235D46">
                            <w:pPr>
                              <w:pStyle w:val="HStandard"/>
                              <w:rPr>
                                <w:b/>
                                <w:color w:val="F07E31"/>
                                <w:sz w:val="18"/>
                                <w:szCs w:val="18"/>
                              </w:rPr>
                            </w:pPr>
                            <w:r>
                              <w:rPr>
                                <w:b/>
                                <w:color w:val="F07E31"/>
                                <w:sz w:val="18"/>
                                <w:szCs w:val="18"/>
                              </w:rPr>
                              <w:t xml:space="preserve">Příklad: Služby na podporu inovací </w:t>
                            </w:r>
                          </w:p>
                          <w:p w:rsidR="005716B0" w:rsidRPr="007B4A6D" w:rsidRDefault="005716B0" w:rsidP="00235D46">
                            <w:pPr>
                              <w:pStyle w:val="HStandard"/>
                              <w:spacing w:after="0"/>
                              <w:rPr>
                                <w:b/>
                                <w:sz w:val="18"/>
                                <w:szCs w:val="18"/>
                              </w:rPr>
                            </w:pPr>
                            <w:r>
                              <w:rPr>
                                <w:b/>
                                <w:sz w:val="18"/>
                                <w:szCs w:val="18"/>
                              </w:rPr>
                              <w:t>Hesensko (DE)</w:t>
                            </w:r>
                            <w:r>
                              <w:rPr>
                                <w:sz w:val="18"/>
                                <w:szCs w:val="18"/>
                              </w:rPr>
                              <w:t xml:space="preserve"> – služby na podporu inovací pomohly budovat inovační kapacitu prostřednictvím:</w:t>
                            </w:r>
                          </w:p>
                          <w:p w:rsidR="005716B0" w:rsidRPr="00055039" w:rsidRDefault="005716B0" w:rsidP="00235D46">
                            <w:pPr>
                              <w:pStyle w:val="HStandard"/>
                              <w:numPr>
                                <w:ilvl w:val="0"/>
                                <w:numId w:val="24"/>
                              </w:numPr>
                              <w:ind w:left="567" w:hanging="567"/>
                              <w:rPr>
                                <w:sz w:val="18"/>
                                <w:szCs w:val="18"/>
                              </w:rPr>
                            </w:pPr>
                            <w:r>
                              <w:rPr>
                                <w:sz w:val="18"/>
                                <w:szCs w:val="18"/>
                              </w:rPr>
                              <w:t>podpory při provádění opatření M13,</w:t>
                            </w:r>
                          </w:p>
                          <w:p w:rsidR="005716B0" w:rsidRPr="00D66182" w:rsidRDefault="005716B0" w:rsidP="00235D46">
                            <w:pPr>
                              <w:pStyle w:val="HStandard"/>
                              <w:numPr>
                                <w:ilvl w:val="0"/>
                                <w:numId w:val="24"/>
                              </w:numPr>
                              <w:ind w:left="567" w:hanging="567"/>
                              <w:rPr>
                                <w:sz w:val="18"/>
                                <w:szCs w:val="18"/>
                              </w:rPr>
                            </w:pPr>
                            <w:r>
                              <w:rPr>
                                <w:sz w:val="18"/>
                                <w:szCs w:val="18"/>
                              </w:rPr>
                              <w:t>informování a propagace v regionu,</w:t>
                            </w:r>
                          </w:p>
                          <w:p w:rsidR="005716B0" w:rsidRPr="000E1D4B" w:rsidRDefault="005716B0" w:rsidP="00235D46">
                            <w:pPr>
                              <w:pStyle w:val="HStandard"/>
                              <w:numPr>
                                <w:ilvl w:val="0"/>
                                <w:numId w:val="24"/>
                              </w:numPr>
                              <w:ind w:left="567" w:hanging="567"/>
                              <w:rPr>
                                <w:sz w:val="18"/>
                                <w:szCs w:val="18"/>
                              </w:rPr>
                            </w:pPr>
                            <w:r>
                              <w:rPr>
                                <w:sz w:val="18"/>
                                <w:szCs w:val="18"/>
                              </w:rPr>
                              <w:t>vytváření sítí mezi činnostmi spolupráce v Hesensku v Německu,</w:t>
                            </w:r>
                          </w:p>
                          <w:p w:rsidR="005716B0" w:rsidRPr="000E1D4B" w:rsidRDefault="005716B0" w:rsidP="00235D46">
                            <w:pPr>
                              <w:pStyle w:val="HStandard"/>
                              <w:numPr>
                                <w:ilvl w:val="0"/>
                                <w:numId w:val="24"/>
                              </w:numPr>
                              <w:ind w:left="567" w:hanging="567"/>
                              <w:rPr>
                                <w:sz w:val="18"/>
                                <w:szCs w:val="18"/>
                              </w:rPr>
                            </w:pPr>
                            <w:r>
                              <w:rPr>
                                <w:sz w:val="18"/>
                                <w:szCs w:val="18"/>
                              </w:rPr>
                              <w:t>podpory činností spolupráce ve fázi přípravy a provádění.</w:t>
                            </w:r>
                          </w:p>
                          <w:p w:rsidR="005716B0" w:rsidRPr="00AB16BB" w:rsidRDefault="005716B0" w:rsidP="00AB16BB">
                            <w:pPr>
                              <w:pStyle w:val="HSource"/>
                              <w:spacing w:before="0" w:after="0"/>
                              <w:ind w:right="11"/>
                              <w:jc w:val="right"/>
                              <w:rPr>
                                <w:rFonts w:eastAsia="Calibri"/>
                                <w:sz w:val="14"/>
                                <w:szCs w:val="14"/>
                              </w:rPr>
                            </w:pPr>
                            <w:r>
                              <w:rPr>
                                <w:sz w:val="14"/>
                                <w:szCs w:val="14"/>
                              </w:rPr>
                              <w:t xml:space="preserve">Zdroj: Evropská síť pro rozvoj venkova (2016). </w:t>
                            </w:r>
                          </w:p>
                          <w:p w:rsidR="005716B0" w:rsidRPr="00AB16BB" w:rsidRDefault="005716B0" w:rsidP="00AB16BB">
                            <w:pPr>
                              <w:pStyle w:val="HSource"/>
                              <w:spacing w:before="0" w:after="0"/>
                              <w:ind w:right="11"/>
                              <w:jc w:val="right"/>
                              <w:rPr>
                                <w:sz w:val="14"/>
                                <w:szCs w:val="14"/>
                              </w:rPr>
                            </w:pPr>
                            <w:r>
                              <w:rPr>
                                <w:sz w:val="14"/>
                                <w:szCs w:val="14"/>
                              </w:rPr>
                              <w:t>Pracovní setkání k opatření M 16 „Spolupráce“</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7.45pt;margin-top:59.3pt;width:453.8pt;height:51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598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" adj="-11796480,,5400" path="m312484,l5763260,r,l5763260,6285801v,172580,-139904,312484,-312484,312484l,6598285r,l,312484c,139904,139904,,312484,xe" filled="f" strokecolor="#f07e31" strokeweight="2pt">
                <v:stroke joinstyle="miter"/>
                <v:formulas/>
                <v:path arrowok="t" o:connecttype="custom" o:connectlocs="312484,0;5763260,0;5763260,0;5763260,6285801;5450776,6598285;0,6598285;0,6598285;0,312484;312484,0" o:connectangles="0,0,0,0,0,0,0,0,0" textboxrect="0,0,5763260,6598285"/>
                <v:textbox>
                  <w:txbxContent>
                    <w:p w:rsidR="005716B0" w:rsidRPr="007B4A6D" w:rsidRDefault="005716B0"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 Opatření v oblasti spolupráce používaná za účelem zlepšeného řízení v oblasti životního prostředí</w:t>
                      </w:r>
                    </w:p>
                    <w:p w:rsidR="005716B0" w:rsidRPr="007B4A6D" w:rsidRDefault="005716B0" w:rsidP="00E05D08">
                      <w:pPr>
                        <w:pStyle w:val="HStandard"/>
                        <w:rPr>
                          <w:sz w:val="18"/>
                          <w:szCs w:val="18"/>
                        </w:rPr>
                      </w:pPr>
                      <w:r>
                        <w:rPr>
                          <w:b/>
                          <w:sz w:val="18"/>
                          <w:szCs w:val="18"/>
                        </w:rPr>
                        <w:t>Finsko</w:t>
                      </w:r>
                      <w:r>
                        <w:rPr>
                          <w:sz w:val="18"/>
                          <w:szCs w:val="18"/>
                        </w:rPr>
                        <w:t xml:space="preserve"> – opatření M16 doplňuje další opatření PRV na dosažení cílů priorit P4 a P5:</w:t>
                      </w:r>
                    </w:p>
                    <w:p w:rsidR="005716B0" w:rsidRPr="00055039" w:rsidRDefault="005716B0" w:rsidP="008C0B17">
                      <w:pPr>
                        <w:pStyle w:val="HStandard"/>
                        <w:numPr>
                          <w:ilvl w:val="0"/>
                          <w:numId w:val="24"/>
                        </w:numPr>
                        <w:ind w:left="567" w:hanging="567"/>
                        <w:rPr>
                          <w:sz w:val="18"/>
                          <w:szCs w:val="18"/>
                        </w:rPr>
                      </w:pPr>
                      <w:r>
                        <w:rPr>
                          <w:sz w:val="18"/>
                          <w:szCs w:val="18"/>
                        </w:rPr>
                        <w:t>58 % opatření M16 a části opatření M1 a M2 jsou využívány na podporu energetické účinnosti,</w:t>
                      </w:r>
                    </w:p>
                    <w:p w:rsidR="005716B0" w:rsidRPr="00D66182" w:rsidRDefault="005716B0" w:rsidP="008C0B17">
                      <w:pPr>
                        <w:pStyle w:val="HStandard"/>
                        <w:numPr>
                          <w:ilvl w:val="0"/>
                          <w:numId w:val="24"/>
                        </w:numPr>
                        <w:ind w:left="567" w:hanging="567"/>
                        <w:rPr>
                          <w:sz w:val="18"/>
                          <w:szCs w:val="18"/>
                        </w:rPr>
                      </w:pPr>
                      <w:r>
                        <w:rPr>
                          <w:sz w:val="18"/>
                          <w:szCs w:val="18"/>
                        </w:rPr>
                        <w:t>49 % opatření M16 a části opatření M1 a M2 jsou využívány na pohlcování a ukládání uhlíku,</w:t>
                      </w:r>
                    </w:p>
                    <w:p w:rsidR="005716B0" w:rsidRPr="000E1D4B" w:rsidRDefault="005716B0" w:rsidP="008C0B17">
                      <w:pPr>
                        <w:pStyle w:val="HStandard"/>
                        <w:numPr>
                          <w:ilvl w:val="0"/>
                          <w:numId w:val="24"/>
                        </w:numPr>
                        <w:ind w:left="567" w:hanging="567"/>
                        <w:rPr>
                          <w:sz w:val="18"/>
                          <w:szCs w:val="18"/>
                        </w:rPr>
                      </w:pPr>
                      <w:r>
                        <w:rPr>
                          <w:sz w:val="18"/>
                          <w:szCs w:val="18"/>
                        </w:rPr>
                        <w:t>10 % opatření M16, 84 % opatření M4 a části opatření M1 a M2 jsou využívány na obnovitelné zdroje energie a nakládání s odpady,</w:t>
                      </w:r>
                    </w:p>
                    <w:p w:rsidR="005716B0" w:rsidRPr="000E1D4B" w:rsidRDefault="005716B0" w:rsidP="008C0B17">
                      <w:pPr>
                        <w:pStyle w:val="HStandard"/>
                        <w:numPr>
                          <w:ilvl w:val="0"/>
                          <w:numId w:val="24"/>
                        </w:numPr>
                        <w:ind w:left="567" w:hanging="567"/>
                        <w:rPr>
                          <w:sz w:val="18"/>
                          <w:szCs w:val="18"/>
                        </w:rPr>
                      </w:pPr>
                      <w:r>
                        <w:rPr>
                          <w:sz w:val="18"/>
                          <w:szCs w:val="18"/>
                        </w:rPr>
                        <w:t>5,5 % opatření M16, 89 % opatření M4 a části opatření M1 a M2 jsou využívány na snižování emisí skleníkových plynů a amoniaku.</w:t>
                      </w:r>
                    </w:p>
                    <w:p w:rsidR="005716B0" w:rsidRPr="000E1D4B" w:rsidRDefault="005716B0" w:rsidP="00E05D08">
                      <w:pPr>
                        <w:pStyle w:val="HStandard"/>
                        <w:rPr>
                          <w:sz w:val="18"/>
                          <w:szCs w:val="18"/>
                        </w:rPr>
                      </w:pPr>
                      <w:r>
                        <w:rPr>
                          <w:sz w:val="18"/>
                          <w:szCs w:val="18"/>
                        </w:rPr>
                        <w:t>Podopatření v oblasti spolupráce (např. podpora pilotních projektů M16.2, podpora společných akcí ke zmírňování změny klimatu a přizpůsobení se jí a společných přístupů k projektům a postupům v oblasti ochrany životního prostředí M16.5) mají dopad především na prioritní oblasti 4A až 4C a prioritní oblasti 5A až 5E.</w:t>
                      </w:r>
                    </w:p>
                    <w:p w:rsidR="005716B0" w:rsidRPr="00AB16BB" w:rsidRDefault="005716B0" w:rsidP="00AB16BB">
                      <w:pPr>
                        <w:pStyle w:val="HSource"/>
                        <w:ind w:right="8"/>
                        <w:jc w:val="right"/>
                        <w:rPr>
                          <w:rFonts w:eastAsia="Calibri"/>
                          <w:sz w:val="14"/>
                          <w:szCs w:val="14"/>
                        </w:rPr>
                      </w:pPr>
                      <w:r>
                        <w:rPr>
                          <w:sz w:val="14"/>
                          <w:szCs w:val="14"/>
                        </w:rPr>
                        <w:t>Zdroj: Evropská síť pro rozvoj venkova (2016). Pracovní setkání k opatření M 16 „Spolupráce“</w:t>
                      </w:r>
                      <w:r>
                        <w:rPr>
                          <w:sz w:val="14"/>
                          <w:szCs w:val="14"/>
                          <w:vertAlign w:val="superscript"/>
                        </w:rPr>
                        <w:t>54</w:t>
                      </w:r>
                      <w:r>
                        <w:rPr>
                          <w:sz w:val="14"/>
                          <w:szCs w:val="14"/>
                        </w:rPr>
                        <w:t>.</w:t>
                      </w:r>
                    </w:p>
                    <w:p w:rsidR="005716B0" w:rsidRPr="007B4A6D" w:rsidRDefault="005716B0" w:rsidP="00235D46">
                      <w:pPr>
                        <w:pStyle w:val="HStandard"/>
                        <w:spacing w:after="0"/>
                        <w:ind w:left="567" w:hanging="567"/>
                        <w:rPr>
                          <w:b/>
                          <w:sz w:val="18"/>
                          <w:szCs w:val="18"/>
                        </w:rPr>
                      </w:pPr>
                      <w:r>
                        <w:rPr>
                          <w:b/>
                          <w:color w:val="F07E31"/>
                          <w:sz w:val="18"/>
                          <w:szCs w:val="18"/>
                        </w:rPr>
                        <w:t>Příklad:</w:t>
                      </w:r>
                      <w:r>
                        <w:rPr>
                          <w:color w:val="F07E31"/>
                          <w:sz w:val="18"/>
                          <w:szCs w:val="18"/>
                        </w:rPr>
                        <w:t xml:space="preserve"> </w:t>
                      </w:r>
                      <w:r>
                        <w:rPr>
                          <w:b/>
                          <w:color w:val="F07E31"/>
                          <w:sz w:val="18"/>
                          <w:szCs w:val="18"/>
                        </w:rPr>
                        <w:t>Propojení výzkumných pracovníků a zemědělců</w:t>
                      </w:r>
                      <w:r>
                        <w:rPr>
                          <w:color w:val="F07E31"/>
                          <w:sz w:val="18"/>
                          <w:szCs w:val="18"/>
                        </w:rPr>
                        <w:t xml:space="preserve"> </w:t>
                      </w:r>
                    </w:p>
                    <w:p w:rsidR="005716B0" w:rsidRPr="00D66182" w:rsidRDefault="005716B0" w:rsidP="00235D46">
                      <w:pPr>
                        <w:pStyle w:val="HStandard"/>
                        <w:rPr>
                          <w:sz w:val="18"/>
                          <w:szCs w:val="18"/>
                        </w:rPr>
                      </w:pPr>
                      <w:r>
                        <w:rPr>
                          <w:b/>
                          <w:sz w:val="18"/>
                          <w:szCs w:val="18"/>
                        </w:rPr>
                        <w:t>Belgie</w:t>
                      </w:r>
                      <w:r>
                        <w:rPr>
                          <w:sz w:val="18"/>
                          <w:szCs w:val="18"/>
                        </w:rPr>
                        <w:t xml:space="preserve"> – inovativní vepřín pomáhá snižovat emise amoniaku. Propojení výzkumných pracovníků se zemědělci prostřednictvím služeb na podporu inovací bylo klíčem k vývoji a testování těchto technik pro snížení množství amoniaku přidáním určitých bakterií do prasečí kejdy. To také přispívá k dosažení cílů PRV v oblasti životního prostředí. </w:t>
                      </w:r>
                    </w:p>
                    <w:p w:rsidR="005716B0" w:rsidRPr="00AB16BB" w:rsidRDefault="005716B0" w:rsidP="00AB16BB">
                      <w:pPr>
                        <w:pStyle w:val="HStandard"/>
                        <w:jc w:val="right"/>
                        <w:rPr>
                          <w:sz w:val="14"/>
                          <w:szCs w:val="14"/>
                          <w:vertAlign w:val="superscript"/>
                        </w:rPr>
                      </w:pPr>
                      <w:r>
                        <w:rPr>
                          <w:i/>
                          <w:sz w:val="14"/>
                          <w:szCs w:val="14"/>
                        </w:rPr>
                        <w:t>Zdroj: EIP – Středisko služeb.</w:t>
                      </w:r>
                      <w:r>
                        <w:rPr>
                          <w:i/>
                          <w:sz w:val="14"/>
                          <w:szCs w:val="14"/>
                          <w:vertAlign w:val="superscript"/>
                        </w:rPr>
                        <w:t>55</w:t>
                      </w:r>
                    </w:p>
                    <w:p w:rsidR="005716B0" w:rsidRPr="007B4A6D" w:rsidRDefault="005716B0" w:rsidP="00235D46">
                      <w:pPr>
                        <w:pStyle w:val="HStandard"/>
                        <w:rPr>
                          <w:b/>
                          <w:color w:val="F07E31"/>
                          <w:sz w:val="18"/>
                          <w:szCs w:val="18"/>
                        </w:rPr>
                      </w:pPr>
                      <w:r>
                        <w:rPr>
                          <w:b/>
                          <w:color w:val="F07E31"/>
                          <w:sz w:val="18"/>
                          <w:szCs w:val="18"/>
                        </w:rPr>
                        <w:t xml:space="preserve">Příklad: Služby na podporu inovací </w:t>
                      </w:r>
                    </w:p>
                    <w:p w:rsidR="005716B0" w:rsidRPr="007B4A6D" w:rsidRDefault="005716B0" w:rsidP="00235D46">
                      <w:pPr>
                        <w:pStyle w:val="HStandard"/>
                        <w:spacing w:after="0"/>
                        <w:rPr>
                          <w:b/>
                          <w:sz w:val="18"/>
                          <w:szCs w:val="18"/>
                        </w:rPr>
                      </w:pPr>
                      <w:r>
                        <w:rPr>
                          <w:b/>
                          <w:sz w:val="18"/>
                          <w:szCs w:val="18"/>
                        </w:rPr>
                        <w:t>Hesensko (DE)</w:t>
                      </w:r>
                      <w:r>
                        <w:rPr>
                          <w:sz w:val="18"/>
                          <w:szCs w:val="18"/>
                        </w:rPr>
                        <w:t xml:space="preserve"> – služby na podporu inovací pomohly budovat inovační kapacitu prostřednictvím:</w:t>
                      </w:r>
                    </w:p>
                    <w:p w:rsidR="005716B0" w:rsidRPr="00055039" w:rsidRDefault="005716B0" w:rsidP="00235D46">
                      <w:pPr>
                        <w:pStyle w:val="HStandard"/>
                        <w:numPr>
                          <w:ilvl w:val="0"/>
                          <w:numId w:val="24"/>
                        </w:numPr>
                        <w:ind w:left="567" w:hanging="567"/>
                        <w:rPr>
                          <w:sz w:val="18"/>
                          <w:szCs w:val="18"/>
                        </w:rPr>
                      </w:pPr>
                      <w:r>
                        <w:rPr>
                          <w:sz w:val="18"/>
                          <w:szCs w:val="18"/>
                        </w:rPr>
                        <w:t>podpory při provádění opatření M13,</w:t>
                      </w:r>
                    </w:p>
                    <w:p w:rsidR="005716B0" w:rsidRPr="00D66182" w:rsidRDefault="005716B0" w:rsidP="00235D46">
                      <w:pPr>
                        <w:pStyle w:val="HStandard"/>
                        <w:numPr>
                          <w:ilvl w:val="0"/>
                          <w:numId w:val="24"/>
                        </w:numPr>
                        <w:ind w:left="567" w:hanging="567"/>
                        <w:rPr>
                          <w:sz w:val="18"/>
                          <w:szCs w:val="18"/>
                        </w:rPr>
                      </w:pPr>
                      <w:r>
                        <w:rPr>
                          <w:sz w:val="18"/>
                          <w:szCs w:val="18"/>
                        </w:rPr>
                        <w:t>informování a propagace v regionu,</w:t>
                      </w:r>
                    </w:p>
                    <w:p w:rsidR="005716B0" w:rsidRPr="000E1D4B" w:rsidRDefault="005716B0" w:rsidP="00235D46">
                      <w:pPr>
                        <w:pStyle w:val="HStandard"/>
                        <w:numPr>
                          <w:ilvl w:val="0"/>
                          <w:numId w:val="24"/>
                        </w:numPr>
                        <w:ind w:left="567" w:hanging="567"/>
                        <w:rPr>
                          <w:sz w:val="18"/>
                          <w:szCs w:val="18"/>
                        </w:rPr>
                      </w:pPr>
                      <w:r>
                        <w:rPr>
                          <w:sz w:val="18"/>
                          <w:szCs w:val="18"/>
                        </w:rPr>
                        <w:t>vytváření sítí mezi činnostmi spolupráce v Hesensku v Německu,</w:t>
                      </w:r>
                    </w:p>
                    <w:p w:rsidR="005716B0" w:rsidRPr="000E1D4B" w:rsidRDefault="005716B0" w:rsidP="00235D46">
                      <w:pPr>
                        <w:pStyle w:val="HStandard"/>
                        <w:numPr>
                          <w:ilvl w:val="0"/>
                          <w:numId w:val="24"/>
                        </w:numPr>
                        <w:ind w:left="567" w:hanging="567"/>
                        <w:rPr>
                          <w:sz w:val="18"/>
                          <w:szCs w:val="18"/>
                        </w:rPr>
                      </w:pPr>
                      <w:r>
                        <w:rPr>
                          <w:sz w:val="18"/>
                          <w:szCs w:val="18"/>
                        </w:rPr>
                        <w:t>podpory činností spolupráce ve fázi přípravy a provádění.</w:t>
                      </w:r>
                    </w:p>
                    <w:p w:rsidR="005716B0" w:rsidRPr="00AB16BB" w:rsidRDefault="005716B0" w:rsidP="00AB16BB">
                      <w:pPr>
                        <w:pStyle w:val="HSource"/>
                        <w:spacing w:before="0" w:after="0"/>
                        <w:ind w:right="11"/>
                        <w:jc w:val="right"/>
                        <w:rPr>
                          <w:rFonts w:eastAsia="Calibri"/>
                          <w:sz w:val="14"/>
                          <w:szCs w:val="14"/>
                        </w:rPr>
                      </w:pPr>
                      <w:r>
                        <w:rPr>
                          <w:sz w:val="14"/>
                          <w:szCs w:val="14"/>
                        </w:rPr>
                        <w:t xml:space="preserve">Zdroj: Evropská síť pro rozvoj venkova (2016). </w:t>
                      </w:r>
                    </w:p>
                    <w:p w:rsidR="005716B0" w:rsidRPr="00AB16BB" w:rsidRDefault="005716B0" w:rsidP="00AB16BB">
                      <w:pPr>
                        <w:pStyle w:val="HSource"/>
                        <w:spacing w:before="0" w:after="0"/>
                        <w:ind w:right="11"/>
                        <w:jc w:val="right"/>
                        <w:rPr>
                          <w:sz w:val="14"/>
                          <w:szCs w:val="14"/>
                        </w:rPr>
                      </w:pPr>
                      <w:r>
                        <w:rPr>
                          <w:sz w:val="14"/>
                          <w:szCs w:val="14"/>
                        </w:rPr>
                        <w:t>Pracovní setkání k opatření M 16 „Spolupráce“</w:t>
                      </w:r>
                      <w:r>
                        <w:rPr>
                          <w:sz w:val="14"/>
                          <w:szCs w:val="14"/>
                          <w:vertAlign w:val="superscript"/>
                        </w:rPr>
                        <w:t>56</w:t>
                      </w:r>
                      <w:r>
                        <w:rPr>
                          <w:sz w:val="14"/>
                          <w:szCs w:val="14"/>
                        </w:rPr>
                        <w:t xml:space="preserve">. </w:t>
                      </w:r>
                    </w:p>
                  </w:txbxContent>
                </v:textbox>
                <w10:wrap type="square" anchory="page"/>
              </v:shape>
            </w:pict>
          </mc:Fallback>
        </mc:AlternateContent>
      </w:r>
      <w:r>
        <w:t>působnosti projektů založených na spolupráci zahrnuje ochranu a zlepšování zdrojů (vody, půdy, ovzduší), biologické rozmanitosti a přírodního prostředí a rovněž zmírňování změny klimatu a přizpůsobení se jí. Řízení v oblasti životního prostředí pro účely zmírňování změny klimatu může obsahovat akce týkající se vody, energetické účinnosti a úspory energie.</w:t>
      </w:r>
    </w:p>
    <w:p w:rsidR="00A45935" w:rsidRPr="00A66638" w:rsidRDefault="00A66638" w:rsidP="00EF1B0F">
      <w:pPr>
        <w:pStyle w:val="Hlistbullet"/>
        <w:numPr>
          <w:ilvl w:val="0"/>
          <w:numId w:val="0"/>
        </w:numPr>
        <w:rPr>
          <w:color w:val="FFFFFF" w:themeColor="background1"/>
        </w:rPr>
      </w:pP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Specifické výzvy </w:t>
      </w:r>
    </w:p>
    <w:p w:rsidR="00A45935" w:rsidRPr="00183E9B" w:rsidRDefault="00A45935" w:rsidP="00AB16BB">
      <w:pPr>
        <w:pStyle w:val="Hlistbullet"/>
      </w:pPr>
      <w:r>
        <w:rPr>
          <w:b/>
          <w:shd w:val="clear" w:color="auto" w:fill="FFFFFF"/>
        </w:rPr>
        <w:t>Vypracování dodatečných prvků hodnocení a prvků hodnocení týkajících se specifického programu</w:t>
      </w:r>
      <w:r>
        <w:rPr>
          <w:shd w:val="clear" w:color="auto" w:fill="FFFFFF"/>
        </w:rPr>
        <w:t xml:space="preserve">: </w:t>
      </w:r>
      <w:r>
        <w:rPr>
          <w:color w:val="545454"/>
          <w:shd w:val="clear" w:color="auto" w:fill="FFFFFF"/>
        </w:rPr>
        <w:t xml:space="preserve">Společná hodnotící otázka č. 2 je propojena pouze se společným ukazatelem cílů (T2: </w:t>
      </w:r>
      <w:r>
        <w:t xml:space="preserve">Celkový počet operací spolupráce podpořených v rámci opatření „spolupráce“), </w:t>
      </w:r>
      <w:r>
        <w:rPr>
          <w:color w:val="545454"/>
          <w:shd w:val="clear" w:color="auto" w:fill="FFFFFF"/>
        </w:rPr>
        <w:t>což nemusí na zodpovězení společné hodnotící otázky stačit.</w:t>
      </w:r>
    </w:p>
    <w:p w:rsidR="00A45935" w:rsidRPr="00183E9B" w:rsidRDefault="00A45935" w:rsidP="00AB16BB">
      <w:pPr>
        <w:pStyle w:val="Hlistbullet"/>
        <w:rPr>
          <w:rFonts w:eastAsia="Calibri"/>
          <w:shd w:val="clear" w:color="auto" w:fill="FFFFFF"/>
        </w:rPr>
      </w:pPr>
      <w:r>
        <w:rPr>
          <w:b/>
          <w:shd w:val="clear" w:color="auto" w:fill="FFFFFF"/>
        </w:rPr>
        <w:t xml:space="preserve">Přiřazení zjištěných změn </w:t>
      </w:r>
      <w:r>
        <w:rPr>
          <w:shd w:val="clear" w:color="auto" w:fill="FFFFFF"/>
        </w:rPr>
        <w:t>k vazbám mezi</w:t>
      </w:r>
      <w:r>
        <w:rPr>
          <w:b/>
          <w:shd w:val="clear" w:color="auto" w:fill="FFFFFF"/>
        </w:rPr>
        <w:t xml:space="preserve"> </w:t>
      </w:r>
      <w:r>
        <w:rPr>
          <w:shd w:val="clear" w:color="auto" w:fill="FFFFFF"/>
        </w:rPr>
        <w:t>zemědělstvím, lesnictvím a výzkumem a inovacemi. Tyto změny souvisejí s řízením v oblasti životního prostředí a environmentálního profilu</w:t>
      </w:r>
      <w:r>
        <w:rPr>
          <w:b/>
          <w:shd w:val="clear" w:color="auto" w:fill="FFFFFF"/>
        </w:rPr>
        <w:t xml:space="preserve">, </w:t>
      </w:r>
      <w:r>
        <w:rPr>
          <w:shd w:val="clear" w:color="auto" w:fill="FFFFFF"/>
        </w:rPr>
        <w:t xml:space="preserve">s opatřením spolupráce M16 a jeho přispěním k dosažení cílů PRV. </w:t>
      </w:r>
    </w:p>
    <w:p w:rsidR="00A45935" w:rsidRPr="00183E9B" w:rsidRDefault="00A45935" w:rsidP="00AB16BB">
      <w:pPr>
        <w:pStyle w:val="Hlistbullet"/>
        <w:rPr>
          <w:rFonts w:eastAsia="Calibri"/>
          <w:shd w:val="clear" w:color="auto" w:fill="FFFFFF"/>
        </w:rPr>
      </w:pPr>
      <w:r>
        <w:rPr>
          <w:b/>
          <w:shd w:val="clear" w:color="auto" w:fill="FFFFFF"/>
        </w:rPr>
        <w:t xml:space="preserve">Zachycení přispění opatření naprogramovaných v rámci jiných prioritních oblastí než 1B </w:t>
      </w:r>
      <w:r>
        <w:rPr>
          <w:shd w:val="clear" w:color="auto" w:fill="FFFFFF"/>
        </w:rPr>
        <w:t>(včetně podopatření opatření M16) navržených na posílení vazeb mezi</w:t>
      </w:r>
      <w:r>
        <w:rPr>
          <w:b/>
          <w:shd w:val="clear" w:color="auto" w:fill="FFFFFF"/>
        </w:rPr>
        <w:t xml:space="preserve"> </w:t>
      </w:r>
      <w:r>
        <w:rPr>
          <w:shd w:val="clear" w:color="auto" w:fill="FFFFFF"/>
        </w:rPr>
        <w:t xml:space="preserve">zemědělstvím, lesnictvím, výzkumem a inovacemi, a zejména těch, jež souvisejí s řízením v oblasti životního prostředí a environmentálního profilu.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Navrhovaný přístup k zodpovězení společné hodnotící otázky č.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Intervenční logika </w:t>
      </w:r>
    </w:p>
    <w:p w:rsidR="00A45935" w:rsidRPr="00E05D08" w:rsidRDefault="00A45935" w:rsidP="00E05D08">
      <w:pPr>
        <w:spacing w:after="120" w:line="280" w:lineRule="atLeast"/>
        <w:mirrorIndents/>
        <w:rPr>
          <w:rFonts w:eastAsia="Times New Roman" w:cs="Times New Roman"/>
          <w:szCs w:val="20"/>
        </w:rPr>
      </w:pPr>
      <w:r>
        <w:t xml:space="preserve">V níže uvedeném příkladu intervenční logika spojená se společnou hodnotící otázkou č. 2 sestává z podopatření opatření M16 naprogramovaných v rámci prioritní oblasti 1B nebo v rámci jiných prioritních oblastí přispívajících k cílům prioritní oblasti 1B. </w:t>
      </w:r>
    </w:p>
    <w:p w:rsidR="00A45935" w:rsidRPr="00E05D08" w:rsidRDefault="00A45935" w:rsidP="00E05D08">
      <w:pPr>
        <w:spacing w:after="120" w:line="280" w:lineRule="atLeast"/>
        <w:mirrorIndents/>
        <w:rPr>
          <w:rFonts w:eastAsia="Times New Roman" w:cs="Times New Roman"/>
          <w:szCs w:val="20"/>
        </w:rPr>
      </w:pPr>
      <w:r>
        <w:t xml:space="preserve">Možným výchozím bodem pro přezkum intervenční logiky je posouzení inovačního potenciálu podopatření opatření M16 na podporu inovací třemi scénáři. </w:t>
      </w:r>
    </w:p>
    <w:p w:rsidR="00A45935" w:rsidRPr="00BC5B1D" w:rsidRDefault="00BE1F31" w:rsidP="00547012">
      <w:pPr>
        <w:pStyle w:val="HHeadingfigures"/>
      </w:pPr>
      <w:bookmarkStart w:id="113" w:name="_Toc508703636"/>
      <w:r>
        <w:t>Příklad inovačního potenciálu každého podopatření opatření M16</w:t>
      </w:r>
      <w:bookmarkEnd w:id="113"/>
    </w:p>
    <w:p w:rsidR="00A45935" w:rsidRPr="00E05D08" w:rsidRDefault="002D5D91" w:rsidP="002C2C15">
      <w:pPr>
        <w:spacing w:after="120" w:line="280" w:lineRule="atLeast"/>
        <w:mirrorIndents/>
        <w:jc w:val="center"/>
        <w:rPr>
          <w:rFonts w:eastAsia="Times New Roman" w:cs="Times New Roman"/>
          <w:szCs w:val="20"/>
          <w:lang w:eastAsia="de-DE"/>
        </w:rPr>
      </w:pPr>
      <w:r w:rsidRPr="002D5D91">
        <w:rPr>
          <w:noProof/>
          <w:lang w:val="en-GB" w:eastAsia="en-GB"/>
        </w:rPr>
        <w:drawing>
          <wp:inline distT="0" distB="0" distL="0" distR="0" wp14:anchorId="4D0BB2C5" wp14:editId="54D60895">
            <wp:extent cx="5731510" cy="3255916"/>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255916"/>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Zdroj: evropská asistenční služba pro účely hodnocení politiky rozvoje venkova,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0187B8F4" wp14:editId="6D4D0473">
                <wp:simplePos x="0" y="0"/>
                <wp:positionH relativeFrom="column">
                  <wp:posOffset>-45085</wp:posOffset>
                </wp:positionH>
                <wp:positionV relativeFrom="paragraph">
                  <wp:posOffset>645160</wp:posOffset>
                </wp:positionV>
                <wp:extent cx="5733415" cy="1921510"/>
                <wp:effectExtent l="0" t="0" r="19685" b="2159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21510"/>
                        </a:xfrm>
                        <a:prstGeom prst="round2DiagRect">
                          <a:avLst>
                            <a:gd name="adj1" fmla="val 12724"/>
                            <a:gd name="adj2" fmla="val 0"/>
                          </a:avLst>
                        </a:prstGeom>
                        <a:noFill/>
                        <a:ln w="25400" cap="flat" cmpd="sng" algn="ctr">
                          <a:solidFill>
                            <a:srgbClr val="F07E31"/>
                          </a:solidFill>
                          <a:prstDash val="solid"/>
                        </a:ln>
                        <a:effectLst/>
                      </wps:spPr>
                      <wps:txbx>
                        <w:txbxContent>
                          <w:p w:rsidR="005716B0" w:rsidRPr="00A10ACC" w:rsidRDefault="005716B0"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Tento příklad </w:t>
                            </w:r>
                            <w:r>
                              <w:rPr>
                                <w:sz w:val="18"/>
                              </w:rPr>
                              <w:t>ukazuje inovační potenciál podopatření opatření M16 (jak by mohla být naprogramována v rámci kterékoli prioritní oblasti rozvoje venkova) přispívající k politickému cíli prioritní oblasti 1B. K posilování vazeb mezi zemědělstvím, produkcí potravin, lesnictvím, výzkumem a inovacemi přispívá všech deset podopatření opatření M16, ale pouze podopatření 5, 6, 8 a 9 vykazují potenciál přispět k posílení těchto vazeb za účelem řízení v oblasti životního prostředí a environmentálního profilu. Pokud jde o tři scénáře inovací, podopatření 1, 5, 6, 7 a 8 podporují rozvíjení inovativních nápadů (scénář 1). Podopatření 1 podporuje také budování kapacit a vytváření příznivého prostředí (scénář 2 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3.55pt;margin-top:50.8pt;width:451.45pt;height:15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" adj="-11796480,,5400" path="m244493,l5733415,r,l5733415,1677017v,135030,-109463,244493,-244493,244493l,1921510r,l,244493c,109463,109463,,244493,xe" filled="f" strokecolor="#f07e31" strokeweight="2pt">
                <v:stroke joinstyle="miter"/>
                <v:formulas/>
                <v:path arrowok="t" o:connecttype="custom" o:connectlocs="244493,0;5733415,0;5733415,0;5733415,1677017;5488922,1921510;0,1921510;0,1921510;0,244493;244493,0" o:connectangles="0,0,0,0,0,0,0,0,0" textboxrect="0,0,5733415,1921510"/>
                <v:textbox>
                  <w:txbxContent>
                    <w:p w:rsidR="005716B0" w:rsidRPr="00A10ACC" w:rsidRDefault="005716B0"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Tento příklad </w:t>
                      </w:r>
                      <w:r>
                        <w:rPr>
                          <w:sz w:val="18"/>
                        </w:rPr>
                        <w:t>ukazuje inovační potenciál podopatření opatření M16 (jak by mohla být naprogramována v rámci kterékoli prioritní oblasti rozvoje venkova) přispívající k politickému cíli prioritní oblasti 1B. K posilování vazeb mezi zemědělstvím, produkcí potravin, lesnictvím, výzkumem a inovacemi přispívá všech deset podopatření opatření M16, ale pouze podopatření 5, 6, 8 a 9 vykazují potenciál přispět k posílení těchto vazeb za účelem řízení v oblasti životního prostředí a environmentálního profilu. Pokud jde o tři scénáře inovací, podopatření 1, 5, 6, 7 a 8 podporují rozvíjení inovativních nápadů (scénář 1). Podopatření 1 podporuje také budování kapacit a vytváření příznivého prostředí (scénář 2 a 3).</w:t>
                      </w:r>
                    </w:p>
                  </w:txbxContent>
                </v:textbox>
                <w10:wrap type="square"/>
              </v:shape>
            </w:pict>
          </mc:Fallback>
        </mc:AlternateContent>
      </w:r>
      <w:r>
        <w:t>Všechna podopatření opatření M16 naprogramovaná v rámci jiných prioritních oblastí než 1B by dále měla zařazena do posouzení dosažených výsledků v aspektech společné hodnotící otázky č. 2 týkajících se inovací. Je-li například podopatření M16.1 naprogramováno v rámci prioritní oblasti 2A, je možné při posouzení společné hodnotící otázky č. 2 zvážit přispění k vazbám mezi zemědělci, výzkumnými pracovníky a inovačními poradci.</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Prvky hodnocení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Společná hodnotící kritéria a ukazatele pro společnou hodnotící otázku č. 2 zůstávají na úrovni výstupů operací prováděných v rámci opatření „spolupráce“. K posouzení výsledků těchto opatření bude možná nutné vypracovat dodatečná hodnotící kritéria a ukazatele. Níže uvedená tabulka obsahuje hodnotící kritéria, ukazatele a požadavky týkající se údajů pro zodpovězení společné hodnotící otázky č. 2.</w:t>
      </w:r>
    </w:p>
    <w:p w:rsidR="00A45935" w:rsidRPr="009A2DAD" w:rsidRDefault="00A45935" w:rsidP="009A2DAD">
      <w:pPr>
        <w:pStyle w:val="HHeadingtables"/>
        <w:rPr>
          <w:color w:val="6F6F6F"/>
          <w:sz w:val="18"/>
          <w:szCs w:val="18"/>
        </w:rPr>
      </w:pPr>
      <w:bookmarkStart w:id="114" w:name="_Toc508703604"/>
      <w:r>
        <w:rPr>
          <w:color w:val="6F6F6F"/>
          <w:sz w:val="18"/>
          <w:szCs w:val="18"/>
        </w:rPr>
        <w:lastRenderedPageBreak/>
        <w:t>Hodnotící kritéria, ukazatele, potřeby údajů a zdroje údajů</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Hodnotící kritéria</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Ukazatele</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Potřeby údajů</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Zdroje údajů</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Společné prvky hodnocení (společný systém monitorování a hodnocení a prvky navrhované v pracovním dokumentu „Společné hodnotící otázky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Byla navázána dlouhodobá spolupráce mezi subjekty v odvětví zemědělství, produkce potravin, lesnictví a institucemi pro výzkum a inovace.</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Celkový počet operací spolupráce podpořených v rámci opatření „spolupráce“ (článek 35 nařízení (EU) č. 1305/2013 (seskupení, sítě/klastry, pilotní projekty).</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Dodatečný ukazatel:</w:t>
            </w:r>
            <w:r>
              <w:rPr>
                <w:color w:val="57825E"/>
                <w:sz w:val="18"/>
                <w:szCs w:val="18"/>
              </w:rPr>
              <w:t xml:space="preserve"> Počet a kategorie partnerů zapojených do projektů založených na spolupráci včetně jejich úlohy a povinností.</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Počet operací v rámci EIP (datová položka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jiných operací spolupráce (seskupení, sítě/klastry, pilotní projekty), jež mají být podpořeny v rámci opatření M16 „Spolupráce“ (datová položka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Kategorie zapojených partnerů a jejich počet.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Systém monitorování PRV</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Žádosti příjemců o platbu (na konci projektu)</w:t>
            </w:r>
          </w:p>
        </w:tc>
      </w:tr>
      <w:tr w:rsidR="00A45935" w:rsidRPr="00E05D08" w:rsidTr="005520BA">
        <w:tc>
          <w:tcPr>
            <w:tcW w:w="3578" w:type="dxa"/>
            <w:tcBorders>
              <w:top w:val="nil"/>
              <w:bottom w:val="single" w:sz="4" w:space="0" w:color="808080"/>
            </w:tcBorders>
          </w:tcPr>
          <w:p w:rsidR="00A45935" w:rsidRPr="00024983"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Počet podpořených operací.</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Celkový počet podpořených operací.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podpořených operací spolupráce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Systém monitorování PRV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Žádosti příjemců o platbu (na konci projektu)</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Byly realizovány operace spolupráce mezi zemědělstvím, produkcí potravin, lesnictvím, výzkumem a inovacemi za účelem zlepšeného řízení v oblasti životního prostředí a environmentálního profilu.</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Celkový počet operací spolupráce podpořených v rámci opatření „spolupráce“ (článek 35 nařízení (EU) č. 1305/2013 (seskupení, sítě/klastry, pilotní projekty).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Dodatečný ukazatel:</w:t>
            </w:r>
            <w:r>
              <w:rPr>
                <w:color w:val="57825E"/>
                <w:sz w:val="18"/>
                <w:szCs w:val="18"/>
              </w:rPr>
              <w:t xml:space="preserve"> % operací spolupráce pokračujících po podpoře v rámci PRV mimo jiné za účelem zlepšeného řízení v oblasti životního prostředí a environmentálního profilu.</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lastRenderedPageBreak/>
              <w:t>Dodatečný ukazatel:</w:t>
            </w:r>
            <w:r>
              <w:rPr>
                <w:color w:val="57825E"/>
                <w:sz w:val="18"/>
                <w:szCs w:val="18"/>
              </w:rPr>
              <w:t xml:space="preserve"> Počet a kategorie partnerů zapojených do projektů založených na spolupráci včetně jejich úlohy a povinností.</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Počet operací EIP (datová položka O.16) zabývajících se zlepšením řízení v oblasti životního prostředí a environmentálního profilu.</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Počet jiných operací spolupráce (seskupení, sítě/klastry, pilotní projekty), jež mají být podpořeny v rámci opatření M16 „Spolupráce“ (datová položka O.17), zabývajících se zlepšením řízení v oblasti </w:t>
            </w:r>
            <w:r>
              <w:rPr>
                <w:sz w:val="18"/>
                <w:szCs w:val="18"/>
              </w:rPr>
              <w:lastRenderedPageBreak/>
              <w:t>životního prostředí a environmentálního profilu.</w:t>
            </w:r>
          </w:p>
          <w:p w:rsidR="00A45935" w:rsidRPr="00385368" w:rsidRDefault="00A45935" w:rsidP="007E63EF">
            <w:pPr>
              <w:spacing w:after="120" w:line="280" w:lineRule="atLeast"/>
              <w:ind w:left="11" w:right="12"/>
              <w:mirrorIndents/>
              <w:jc w:val="left"/>
              <w:rPr>
                <w:rFonts w:cs="Arial"/>
                <w:sz w:val="18"/>
                <w:szCs w:val="18"/>
              </w:rPr>
            </w:pPr>
            <w:r>
              <w:rPr>
                <w:sz w:val="18"/>
                <w:szCs w:val="18"/>
              </w:rPr>
              <w:t>Kategorie zapojených partnerů a jejich počet.</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Systém monitorování PRV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Žádosti příjemců o platbu (na konci projektu)</w:t>
            </w:r>
          </w:p>
        </w:tc>
      </w:tr>
      <w:tr w:rsidR="00A45935" w:rsidRPr="00E05D08" w:rsidTr="005520BA">
        <w:tc>
          <w:tcPr>
            <w:tcW w:w="3578" w:type="dxa"/>
            <w:tcBorders>
              <w:top w:val="single" w:sz="4" w:space="0" w:color="808080"/>
            </w:tcBorders>
          </w:tcPr>
          <w:p w:rsidR="00A45935" w:rsidRPr="00024983"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Počet podpořených operací</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Celkový počet podpořených operací.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podpořených operací spolupráce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Systém monitorování PRV</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Formuláře žádostí příjemců (na začátku projektu)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Žádosti příjemců o platbu (na konci projektu)</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Dodatečné prvky hodnocení (nepovinné)</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Projekty založené na spolupráci zlepšily inovační kapacitu, i pokud jde o zlepšené řízení v oblasti životního prostředí a environmentálního profilu.</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Počet a druh inovací zavedených v rámci projektů založených na spolupráci, z toho inovací zaměřených na řízení v oblasti životního prostředí a environmentálního profilu.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Počet vytvořených inovací.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inovací zaměřených na zlepšené řízení v oblasti životního prostředí a environmentálního profilu.</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Průzkumy.</w:t>
            </w:r>
          </w:p>
          <w:p w:rsidR="00A45935" w:rsidRPr="00385368" w:rsidRDefault="00A45935" w:rsidP="007E63EF">
            <w:pPr>
              <w:spacing w:after="120" w:line="280" w:lineRule="atLeast"/>
              <w:ind w:right="31"/>
              <w:mirrorIndents/>
              <w:jc w:val="left"/>
              <w:rPr>
                <w:rFonts w:cs="Arial"/>
                <w:sz w:val="18"/>
                <w:szCs w:val="18"/>
              </w:rPr>
            </w:pPr>
            <w:r>
              <w:rPr>
                <w:sz w:val="18"/>
                <w:szCs w:val="18"/>
              </w:rPr>
              <w:t>Rozhovory a tematicky zaměřené skupiny s účastníky projektů založených na spolupráci.</w:t>
            </w:r>
          </w:p>
          <w:p w:rsidR="00A45935" w:rsidRPr="00E05D08" w:rsidRDefault="00A45935" w:rsidP="007E63EF">
            <w:pPr>
              <w:spacing w:after="120" w:line="280" w:lineRule="atLeast"/>
              <w:ind w:right="31"/>
              <w:mirrorIndents/>
              <w:jc w:val="left"/>
              <w:rPr>
                <w:rFonts w:cs="Arial"/>
                <w:sz w:val="18"/>
                <w:szCs w:val="18"/>
              </w:rPr>
            </w:pPr>
            <w:r>
              <w:rPr>
                <w:sz w:val="18"/>
                <w:szCs w:val="18"/>
              </w:rPr>
              <w:t>Geografický informační systém.</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Navrhovaná metodika hodnocení </w:t>
      </w:r>
    </w:p>
    <w:p w:rsidR="00A45935" w:rsidRPr="00E05D08" w:rsidRDefault="00A45935" w:rsidP="00E05D08">
      <w:pPr>
        <w:spacing w:after="120" w:line="280" w:lineRule="atLeast"/>
        <w:mirrorIndents/>
        <w:rPr>
          <w:rFonts w:eastAsia="Times New Roman" w:cs="Times New Roman"/>
          <w:color w:val="F07E31"/>
          <w:szCs w:val="20"/>
          <w:u w:val="single"/>
        </w:rPr>
      </w:pPr>
      <w:r>
        <w:t>Výpočet společných ukazatelů souvisejících se společnou hodnotící otázkou č. 2 je popsán v příloze 11 pokynů „</w:t>
      </w:r>
      <w:hyperlink r:id="rId52" w:history="1">
        <w:r>
          <w:rPr>
            <w:color w:val="F07E31"/>
            <w:szCs w:val="20"/>
            <w:u w:val="single"/>
          </w:rPr>
          <w:t>Posuzování výsledků PRV:</w:t>
        </w:r>
      </w:hyperlink>
      <w:r w:rsidR="005D1942">
        <w:rPr>
          <w:color w:val="F07E31"/>
          <w:szCs w:val="20"/>
          <w:u w:val="single"/>
        </w:rPr>
        <w:t xml:space="preserve"> </w:t>
      </w:r>
      <w:hyperlink r:id="rId53" w:history="1">
        <w:r>
          <w:rPr>
            <w:color w:val="F07E31"/>
            <w:szCs w:val="20"/>
            <w:u w:val="single"/>
          </w:rPr>
          <w:t>jak se připravit na podávání zpráv o hodnocení v roce 2017</w:t>
        </w:r>
      </w:hyperlink>
      <w:r>
        <w:t>.</w:t>
      </w:r>
    </w:p>
    <w:p w:rsidR="00A45935" w:rsidRPr="00E05D08" w:rsidRDefault="00A45935" w:rsidP="00E05D08">
      <w:pPr>
        <w:spacing w:after="120" w:line="280" w:lineRule="atLeast"/>
        <w:mirrorIndents/>
        <w:rPr>
          <w:rFonts w:eastAsia="Times New Roman" w:cs="Times New Roman"/>
          <w:szCs w:val="20"/>
        </w:rPr>
      </w:pPr>
      <w:r>
        <w:t>Pro posouzení části společné hodnotící otázky č. 2 týkající se inovací se navrhuje tento postup:</w:t>
      </w:r>
    </w:p>
    <w:p w:rsidR="00A45935" w:rsidRPr="008F1F04" w:rsidRDefault="00A45935" w:rsidP="00547012">
      <w:pPr>
        <w:pStyle w:val="Hlistbullet"/>
      </w:pPr>
      <w:r>
        <w:rPr>
          <w:b/>
        </w:rPr>
        <w:t>KROK 1: Určit příjemce opatření M16</w:t>
      </w:r>
      <w:r>
        <w:t xml:space="preserve"> a jeho podopatření v souladu s výsledky určení jejich inovačního potenciálu (příjemci, kteří prováděli operace hodnocené jako inovativní). </w:t>
      </w:r>
    </w:p>
    <w:p w:rsidR="00A45935" w:rsidRPr="008F1F04" w:rsidRDefault="00A45935" w:rsidP="00547012">
      <w:pPr>
        <w:pStyle w:val="Hlistbullet"/>
      </w:pPr>
      <w:r>
        <w:rPr>
          <w:b/>
        </w:rPr>
        <w:t>KROK 2: Kvantifikovat ukazatele výstupů a cílů</w:t>
      </w:r>
      <w:r>
        <w:t xml:space="preserve"> s použitím monitorovacích údajů o operačních skupinách získaných z databáze operací PRV. Aby bylo možné databázi operací využít pro hodnocení operací, mohou řídící orgány přidat datové položky související s operačními skupinami a inovacemi a shromáždit příslušné údaje. </w:t>
      </w:r>
    </w:p>
    <w:p w:rsidR="00A45935" w:rsidRPr="008F1F04" w:rsidRDefault="00A45935" w:rsidP="00547012">
      <w:pPr>
        <w:pStyle w:val="Hlistbullet"/>
      </w:pPr>
      <w:r>
        <w:rPr>
          <w:b/>
        </w:rPr>
        <w:t>KROK 3: Shromáždit důkazy pro zodpovězení společné hodnotící otázky</w:t>
      </w:r>
      <w:r>
        <w:t xml:space="preserve"> pomocí stanovených metod. Navrhněte otevřené otázky pro použití metod uvedených v níže uvedené tabulce (průzkumy, tematicky zaměřené skupiny a metoda Delphi) při dodržení navrhovaných hodnotících kritérií a ukazatelů a výsledků určení inovačního potenciálu.</w:t>
      </w:r>
    </w:p>
    <w:p w:rsidR="00A45935" w:rsidRPr="008F1F04" w:rsidRDefault="00A45935" w:rsidP="00547012">
      <w:pPr>
        <w:pStyle w:val="Hlistbullet"/>
      </w:pPr>
      <w:r>
        <w:rPr>
          <w:b/>
        </w:rPr>
        <w:t>KROK 4: Zanalyzovat a interpretovat shromážděné důkazy</w:t>
      </w:r>
      <w:r>
        <w:t xml:space="preserve"> a použít je k zodpovězení společné hodnotící otázky č. 2, pokud jde o posílení vazeb v souvislosti s inovacemi.</w:t>
      </w:r>
    </w:p>
    <w:p w:rsidR="00A45935" w:rsidRPr="00897804" w:rsidRDefault="00A45935" w:rsidP="00897804">
      <w:pPr>
        <w:pStyle w:val="HHeadingtables"/>
        <w:rPr>
          <w:color w:val="6F6F6F"/>
          <w:sz w:val="18"/>
          <w:szCs w:val="18"/>
        </w:rPr>
      </w:pPr>
      <w:bookmarkStart w:id="115" w:name="_Toc508703605"/>
      <w:r>
        <w:rPr>
          <w:color w:val="6F6F6F"/>
          <w:sz w:val="18"/>
          <w:szCs w:val="18"/>
        </w:rPr>
        <w:t>Doporučené metody pro společnou hodnotící otázku č.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E05D08" w:rsidTr="00346923">
        <w:trPr>
          <w:tblHeader/>
        </w:trPr>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Metody</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Tipy, jak tyto metody používat</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Průzkum zaměřený na projekty založené na spolupráci a na konečné příjemce</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Vyberte vzorek projektů založených na spolupráci (např. podle odvětví, velikosti operační skupiny, zeměpisné polohy atd.) za účelem shromáždění údajů a informací pro stanovení ukazatelů prostřednictvím průzkumu mezi příjemci.</w:t>
            </w:r>
          </w:p>
          <w:p w:rsidR="00A45935" w:rsidRPr="00385368" w:rsidRDefault="00A45935" w:rsidP="008C0B17">
            <w:pPr>
              <w:numPr>
                <w:ilvl w:val="0"/>
                <w:numId w:val="21"/>
              </w:numPr>
              <w:spacing w:before="60" w:after="120" w:line="280" w:lineRule="atLeast"/>
              <w:ind w:left="459"/>
              <w:rPr>
                <w:sz w:val="18"/>
                <w:szCs w:val="18"/>
              </w:rPr>
            </w:pPr>
            <w:r>
              <w:rPr>
                <w:sz w:val="18"/>
                <w:szCs w:val="18"/>
              </w:rPr>
              <w:t>Do vzorku mimo jiné zařaďte projekty založené na spolupráci, které mohou mít dopad na řízení v oblasti životního prostředí a environmentálního profilu (např. podopatření 5, 6, 8 a 9 nebo operační skupiny v této oblasti – M16.1).</w:t>
            </w:r>
          </w:p>
          <w:p w:rsidR="00A45935" w:rsidRPr="00385368" w:rsidRDefault="00A45935" w:rsidP="008C0B17">
            <w:pPr>
              <w:numPr>
                <w:ilvl w:val="0"/>
                <w:numId w:val="21"/>
              </w:numPr>
              <w:spacing w:before="60" w:after="120" w:line="280" w:lineRule="atLeast"/>
              <w:ind w:left="459"/>
              <w:rPr>
                <w:sz w:val="18"/>
                <w:szCs w:val="18"/>
              </w:rPr>
            </w:pPr>
            <w:r>
              <w:rPr>
                <w:sz w:val="18"/>
                <w:szCs w:val="18"/>
              </w:rPr>
              <w:t>Sestavte průzkumy s použitím otevřených otázek týkajících se toho, jak projekty založené na spolupráci přispívají k těmto cílům: a) sdílení inovativních nápadů; b) budování inovační kapacity; c) vytváření příznivého prostředí pro inovace.</w:t>
            </w:r>
          </w:p>
          <w:p w:rsidR="00A45935" w:rsidRPr="00385368" w:rsidRDefault="00A45935" w:rsidP="008C0B17">
            <w:pPr>
              <w:numPr>
                <w:ilvl w:val="0"/>
                <w:numId w:val="21"/>
              </w:numPr>
              <w:spacing w:before="60" w:after="120" w:line="280" w:lineRule="atLeast"/>
              <w:ind w:left="459"/>
            </w:pPr>
            <w:r>
              <w:rPr>
                <w:sz w:val="18"/>
                <w:szCs w:val="18"/>
              </w:rPr>
              <w:t>Poznatky z průzkumů použijte na: posouzení toho, jak různé formy projektů založených na spolupráci (spolupráce mezi různými aktéry, klastry a sítěmi a operačními skupinami) přispívají k silnějším vazbám mezi výzkumem/inovacemi a praxí.</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Strukturované tematicky zaměřené skupiny</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Provádějte tematicky zaměřené skupiny s inovačními zúčastněnými stranami (např. služby na podporu inovací, poradci působící jako zprostředkovatelé inovací, střediska pro výzkum a inovace atd.).</w:t>
            </w:r>
          </w:p>
          <w:p w:rsidR="00A45935" w:rsidRPr="00385368" w:rsidRDefault="00A45935" w:rsidP="008C0B17">
            <w:pPr>
              <w:numPr>
                <w:ilvl w:val="0"/>
                <w:numId w:val="22"/>
              </w:numPr>
              <w:spacing w:before="60" w:after="120" w:line="280" w:lineRule="atLeast"/>
              <w:ind w:left="459"/>
              <w:rPr>
                <w:sz w:val="18"/>
                <w:szCs w:val="18"/>
              </w:rPr>
            </w:pPr>
            <w:r>
              <w:rPr>
                <w:sz w:val="18"/>
                <w:szCs w:val="18"/>
              </w:rPr>
              <w:t>Analyzujte, jak vazby mezi zúčastněnými stranami ovlivňují inovační kapacitu a vytváření příznivého prostředí pro inovace.</w:t>
            </w:r>
          </w:p>
          <w:p w:rsidR="00A45935" w:rsidRPr="00385368" w:rsidRDefault="00A45935" w:rsidP="008C0B17">
            <w:pPr>
              <w:numPr>
                <w:ilvl w:val="0"/>
                <w:numId w:val="22"/>
              </w:numPr>
              <w:spacing w:before="60" w:after="120" w:line="280" w:lineRule="atLeast"/>
              <w:ind w:left="459"/>
              <w:rPr>
                <w:sz w:val="18"/>
                <w:szCs w:val="18"/>
              </w:rPr>
            </w:pPr>
            <w:r>
              <w:rPr>
                <w:sz w:val="18"/>
                <w:szCs w:val="18"/>
              </w:rPr>
              <w:t>Zvažte možnost zapojení specializovaných tematicky zaměřených skupin (např. tematicky zaměřená skupina pro projekty založené na spolupráci, která se zabývá otázkami životního prostředí, jiná tematicky zaměřená skupina pro operační skupiny EIP atd.).</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Metoda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Zorganizujte proces Delphi s odborníky na inovace (např. již zapojenými do projektů, které jsou založeny na spolupráci, ale i z akademických kruhů) pro dosažení hodnocení podle příslušných kritérií.</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7C36E865" wp14:editId="23284F1A">
                <wp:extent cx="5707380" cy="4286707"/>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4286707"/>
                        </a:xfrm>
                        <a:prstGeom prst="round2DiagRect">
                          <a:avLst>
                            <a:gd name="adj1" fmla="val 7299"/>
                            <a:gd name="adj2" fmla="val 0"/>
                          </a:avLst>
                        </a:prstGeom>
                        <a:noFill/>
                        <a:ln w="25400" cap="flat" cmpd="sng" algn="ctr">
                          <a:solidFill>
                            <a:srgbClr val="F07E31"/>
                          </a:solidFill>
                          <a:prstDash val="solid"/>
                        </a:ln>
                        <a:effectLst/>
                      </wps:spPr>
                      <wps:txbx>
                        <w:txbxContent>
                          <w:p w:rsidR="005716B0" w:rsidRPr="001954EB" w:rsidRDefault="005716B0"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Příklady z výročních zpráv o provádění předložených v roce 2017</w:t>
                            </w:r>
                          </w:p>
                          <w:p w:rsidR="005716B0" w:rsidRPr="00547012" w:rsidRDefault="005716B0" w:rsidP="00E05D08">
                            <w:pPr>
                              <w:rPr>
                                <w:rFonts w:cs="Arial"/>
                                <w:sz w:val="18"/>
                                <w:szCs w:val="18"/>
                              </w:rPr>
                            </w:pPr>
                            <w:r>
                              <w:rPr>
                                <w:b/>
                                <w:sz w:val="18"/>
                                <w:szCs w:val="18"/>
                              </w:rPr>
                              <w:t xml:space="preserve">Meklenbursko-Přední Pomořansko (DE) </w:t>
                            </w:r>
                            <w:r>
                              <w:rPr>
                                <w:sz w:val="18"/>
                                <w:szCs w:val="18"/>
                              </w:rPr>
                              <w:t>– používá tři hodnotící kritéria vztahující se k inovacím:</w:t>
                            </w:r>
                          </w:p>
                          <w:p w:rsidR="005716B0" w:rsidRPr="001954EB" w:rsidRDefault="005716B0" w:rsidP="008C0B17">
                            <w:pPr>
                              <w:numPr>
                                <w:ilvl w:val="0"/>
                                <w:numId w:val="57"/>
                              </w:numPr>
                              <w:rPr>
                                <w:rFonts w:cs="Arial"/>
                                <w:sz w:val="18"/>
                                <w:szCs w:val="18"/>
                              </w:rPr>
                            </w:pPr>
                            <w:r>
                              <w:rPr>
                                <w:sz w:val="18"/>
                                <w:szCs w:val="18"/>
                              </w:rPr>
                              <w:t xml:space="preserve">procesy podporované v rámci PRV jsou inovativní a založené na získaných poznatcích, </w:t>
                            </w:r>
                          </w:p>
                          <w:p w:rsidR="005716B0" w:rsidRPr="001954EB" w:rsidRDefault="005716B0" w:rsidP="008C0B17">
                            <w:pPr>
                              <w:numPr>
                                <w:ilvl w:val="0"/>
                                <w:numId w:val="57"/>
                              </w:numPr>
                              <w:rPr>
                                <w:rFonts w:cs="Arial"/>
                                <w:sz w:val="18"/>
                                <w:szCs w:val="18"/>
                              </w:rPr>
                            </w:pPr>
                            <w:r>
                              <w:rPr>
                                <w:sz w:val="18"/>
                                <w:szCs w:val="18"/>
                              </w:rPr>
                              <w:t>inovativní akce jsou prováděny a šířeny prostřednictvím operačních skupin,</w:t>
                            </w:r>
                          </w:p>
                          <w:p w:rsidR="005716B0" w:rsidRPr="001954EB" w:rsidRDefault="005716B0" w:rsidP="008C0B17">
                            <w:pPr>
                              <w:numPr>
                                <w:ilvl w:val="0"/>
                                <w:numId w:val="57"/>
                              </w:numPr>
                              <w:rPr>
                                <w:rFonts w:cs="Arial"/>
                                <w:sz w:val="18"/>
                                <w:szCs w:val="18"/>
                              </w:rPr>
                            </w:pPr>
                            <w:r>
                              <w:rPr>
                                <w:sz w:val="18"/>
                                <w:szCs w:val="18"/>
                              </w:rPr>
                              <w:t>získané výsledky vedou ke zlepšení pozice zapojených partnerů na trhu díky inovacím.</w:t>
                            </w:r>
                          </w:p>
                          <w:p w:rsidR="005716B0" w:rsidRPr="00547012" w:rsidRDefault="005716B0" w:rsidP="00E05D08">
                            <w:pPr>
                              <w:rPr>
                                <w:rFonts w:cs="Arial"/>
                                <w:sz w:val="18"/>
                                <w:szCs w:val="18"/>
                              </w:rPr>
                            </w:pPr>
                            <w:r>
                              <w:rPr>
                                <w:sz w:val="18"/>
                                <w:szCs w:val="18"/>
                              </w:rPr>
                              <w:t>Ke shromažďování informací od operačních skupin EIP se používá několik metod. Tyto metody pokrývají různé dimenze inovací a jejich cílem je zhodnotit kvalitu a účinky operačních skupin:</w:t>
                            </w:r>
                          </w:p>
                          <w:p w:rsidR="005716B0" w:rsidRPr="001954EB" w:rsidRDefault="005716B0" w:rsidP="008C0B17">
                            <w:pPr>
                              <w:numPr>
                                <w:ilvl w:val="0"/>
                                <w:numId w:val="58"/>
                              </w:numPr>
                              <w:rPr>
                                <w:rFonts w:cs="Arial"/>
                                <w:sz w:val="18"/>
                                <w:szCs w:val="18"/>
                              </w:rPr>
                            </w:pPr>
                            <w:r>
                              <w:rPr>
                                <w:sz w:val="18"/>
                                <w:szCs w:val="18"/>
                              </w:rPr>
                              <w:t>základní analýza (posouzení rámcových podmínek, rozhovory s aktéry atd.),</w:t>
                            </w:r>
                          </w:p>
                          <w:p w:rsidR="005716B0" w:rsidRPr="001954EB" w:rsidRDefault="005716B0" w:rsidP="008C0B17">
                            <w:pPr>
                              <w:numPr>
                                <w:ilvl w:val="0"/>
                                <w:numId w:val="58"/>
                              </w:numPr>
                              <w:rPr>
                                <w:rFonts w:cs="Arial"/>
                                <w:sz w:val="18"/>
                                <w:szCs w:val="18"/>
                              </w:rPr>
                            </w:pPr>
                            <w:r>
                              <w:rPr>
                                <w:sz w:val="18"/>
                                <w:szCs w:val="18"/>
                              </w:rPr>
                              <w:t xml:space="preserve">posouzení inovačních charakteristik a druhů inovací prostřednictvím analýzy kritérií výběru a případových studií, </w:t>
                            </w:r>
                          </w:p>
                          <w:p w:rsidR="005716B0" w:rsidRPr="001954EB" w:rsidRDefault="005716B0" w:rsidP="008C0B17">
                            <w:pPr>
                              <w:numPr>
                                <w:ilvl w:val="0"/>
                                <w:numId w:val="58"/>
                              </w:numPr>
                              <w:rPr>
                                <w:rFonts w:cs="Arial"/>
                                <w:sz w:val="18"/>
                                <w:szCs w:val="18"/>
                              </w:rPr>
                            </w:pPr>
                            <w:r>
                              <w:rPr>
                                <w:sz w:val="18"/>
                                <w:szCs w:val="18"/>
                              </w:rPr>
                              <w:t>analýza získaných výsledků a jejich šíření (průzkum a sebehodnocení operačních skupin).</w:t>
                            </w:r>
                          </w:p>
                          <w:p w:rsidR="005716B0" w:rsidRPr="00547012" w:rsidRDefault="005716B0" w:rsidP="00E05D08">
                            <w:pPr>
                              <w:rPr>
                                <w:rFonts w:cs="Arial"/>
                                <w:sz w:val="18"/>
                                <w:szCs w:val="18"/>
                              </w:rPr>
                            </w:pPr>
                            <w:r>
                              <w:rPr>
                                <w:sz w:val="18"/>
                                <w:szCs w:val="18"/>
                              </w:rPr>
                              <w:t xml:space="preserve">Zdroje údajů a informací zahrnují mimo jiné údaje z monitorování, formuláře žádostí, projektovou dokumentaci, primární statistické údaje shromážděné prostřednictvím průzkumů a sekundární statistické údaje z různých zdrojů. </w:t>
                            </w:r>
                          </w:p>
                          <w:p w:rsidR="005716B0" w:rsidRPr="00547012" w:rsidRDefault="005716B0" w:rsidP="00E05D08">
                            <w:pPr>
                              <w:rPr>
                                <w:rFonts w:cs="Arial"/>
                                <w:sz w:val="18"/>
                                <w:szCs w:val="18"/>
                              </w:rPr>
                            </w:pPr>
                            <w:r>
                              <w:rPr>
                                <w:sz w:val="18"/>
                                <w:szCs w:val="18"/>
                              </w:rPr>
                              <w:t xml:space="preserve">Průzkum mezi příjemci (operační skupiny EIP) se provádí před intervencí a po ní. </w:t>
                            </w:r>
                          </w:p>
                          <w:p w:rsidR="005716B0" w:rsidRPr="001954EB" w:rsidRDefault="005716B0" w:rsidP="00E05D08">
                            <w:pPr>
                              <w:pStyle w:val="HStandard"/>
                              <w:rPr>
                                <w:sz w:val="18"/>
                                <w:szCs w:val="18"/>
                              </w:rPr>
                            </w:pPr>
                            <w:r>
                              <w:rPr>
                                <w:b/>
                                <w:sz w:val="18"/>
                                <w:szCs w:val="18"/>
                              </w:rPr>
                              <w:t xml:space="preserve">Česká republika </w:t>
                            </w:r>
                            <w:r>
                              <w:rPr>
                                <w:sz w:val="18"/>
                                <w:szCs w:val="18"/>
                              </w:rPr>
                              <w:t>– navrhuje použít přístup založený na případových studiích ke shromažďování informací od operačních skupin a z projektů založených na spolupráci týkajících se inovací.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37.55pt;visibility:visible;mso-wrap-style:square;mso-left-percent:-10001;mso-top-percent:-10001;mso-position-horizontal:absolute;mso-position-horizontal-relative:char;mso-position-vertical:absolute;mso-position-vertical-relative:line;mso-left-percent:-10001;mso-top-percent:-10001;v-text-anchor:middle" coordsize="5707380,4286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" adj="-11796480,,5400" path="m312887,l5707380,r,l5707380,3973820v,172803,-140084,312887,-312887,312887l,4286707r,l,312887c,140084,140084,,312887,xe" filled="f" strokecolor="#f07e31" strokeweight="2pt">
                <v:stroke joinstyle="miter"/>
                <v:formulas/>
                <v:path arrowok="t" o:connecttype="custom" o:connectlocs="312887,0;5707380,0;5707380,0;5707380,3973820;5394493,4286707;0,4286707;0,4286707;0,312887;312887,0" o:connectangles="0,0,0,0,0,0,0,0,0" textboxrect="0,0,5707380,4286707"/>
                <v:textbox>
                  <w:txbxContent>
                    <w:p w:rsidR="005716B0" w:rsidRPr="001954EB" w:rsidRDefault="005716B0"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Příklady z výročních zpráv o provádění předložených v roce 2017</w:t>
                      </w:r>
                    </w:p>
                    <w:p w:rsidR="005716B0" w:rsidRPr="00547012" w:rsidRDefault="005716B0" w:rsidP="00E05D08">
                      <w:pPr>
                        <w:rPr>
                          <w:rFonts w:cs="Arial"/>
                          <w:sz w:val="18"/>
                          <w:szCs w:val="18"/>
                        </w:rPr>
                      </w:pPr>
                      <w:r>
                        <w:rPr>
                          <w:b/>
                          <w:sz w:val="18"/>
                          <w:szCs w:val="18"/>
                        </w:rPr>
                        <w:t xml:space="preserve">Meklenbursko-Přední Pomořansko (DE) </w:t>
                      </w:r>
                      <w:r>
                        <w:rPr>
                          <w:sz w:val="18"/>
                          <w:szCs w:val="18"/>
                        </w:rPr>
                        <w:t>– používá tři hodnotící kritéria vztahující se k inovacím:</w:t>
                      </w:r>
                    </w:p>
                    <w:p w:rsidR="005716B0" w:rsidRPr="001954EB" w:rsidRDefault="005716B0" w:rsidP="008C0B17">
                      <w:pPr>
                        <w:numPr>
                          <w:ilvl w:val="0"/>
                          <w:numId w:val="57"/>
                        </w:numPr>
                        <w:rPr>
                          <w:rFonts w:cs="Arial"/>
                          <w:sz w:val="18"/>
                          <w:szCs w:val="18"/>
                        </w:rPr>
                      </w:pPr>
                      <w:r>
                        <w:rPr>
                          <w:sz w:val="18"/>
                          <w:szCs w:val="18"/>
                        </w:rPr>
                        <w:t xml:space="preserve">procesy podporované v rámci PRV jsou inovativní a založené na získaných poznatcích, </w:t>
                      </w:r>
                    </w:p>
                    <w:p w:rsidR="005716B0" w:rsidRPr="001954EB" w:rsidRDefault="005716B0" w:rsidP="008C0B17">
                      <w:pPr>
                        <w:numPr>
                          <w:ilvl w:val="0"/>
                          <w:numId w:val="57"/>
                        </w:numPr>
                        <w:rPr>
                          <w:rFonts w:cs="Arial"/>
                          <w:sz w:val="18"/>
                          <w:szCs w:val="18"/>
                        </w:rPr>
                      </w:pPr>
                      <w:r>
                        <w:rPr>
                          <w:sz w:val="18"/>
                          <w:szCs w:val="18"/>
                        </w:rPr>
                        <w:t>inovativní akce jsou prováděny a šířeny prostřednictvím operačních skupin,</w:t>
                      </w:r>
                    </w:p>
                    <w:p w:rsidR="005716B0" w:rsidRPr="001954EB" w:rsidRDefault="005716B0" w:rsidP="008C0B17">
                      <w:pPr>
                        <w:numPr>
                          <w:ilvl w:val="0"/>
                          <w:numId w:val="57"/>
                        </w:numPr>
                        <w:rPr>
                          <w:rFonts w:cs="Arial"/>
                          <w:sz w:val="18"/>
                          <w:szCs w:val="18"/>
                        </w:rPr>
                      </w:pPr>
                      <w:r>
                        <w:rPr>
                          <w:sz w:val="18"/>
                          <w:szCs w:val="18"/>
                        </w:rPr>
                        <w:t>získané výsledky vedou ke zlepšení pozice zapojených partnerů na trhu díky inovacím.</w:t>
                      </w:r>
                    </w:p>
                    <w:p w:rsidR="005716B0" w:rsidRPr="00547012" w:rsidRDefault="005716B0" w:rsidP="00E05D08">
                      <w:pPr>
                        <w:rPr>
                          <w:rFonts w:cs="Arial"/>
                          <w:sz w:val="18"/>
                          <w:szCs w:val="18"/>
                        </w:rPr>
                      </w:pPr>
                      <w:r>
                        <w:rPr>
                          <w:sz w:val="18"/>
                          <w:szCs w:val="18"/>
                        </w:rPr>
                        <w:t>Ke shromažďování informací od operačních skupin EIP se používá několik metod. Tyto metody pokrývají různé dimenze inovací a jejich cílem je zhodnotit kvalitu a účinky operačních skupin:</w:t>
                      </w:r>
                    </w:p>
                    <w:p w:rsidR="005716B0" w:rsidRPr="001954EB" w:rsidRDefault="005716B0" w:rsidP="008C0B17">
                      <w:pPr>
                        <w:numPr>
                          <w:ilvl w:val="0"/>
                          <w:numId w:val="58"/>
                        </w:numPr>
                        <w:rPr>
                          <w:rFonts w:cs="Arial"/>
                          <w:sz w:val="18"/>
                          <w:szCs w:val="18"/>
                        </w:rPr>
                      </w:pPr>
                      <w:r>
                        <w:rPr>
                          <w:sz w:val="18"/>
                          <w:szCs w:val="18"/>
                        </w:rPr>
                        <w:t>základní analýza (posouzení rámcových podmínek, rozhovory s aktéry atd.),</w:t>
                      </w:r>
                    </w:p>
                    <w:p w:rsidR="005716B0" w:rsidRPr="001954EB" w:rsidRDefault="005716B0" w:rsidP="008C0B17">
                      <w:pPr>
                        <w:numPr>
                          <w:ilvl w:val="0"/>
                          <w:numId w:val="58"/>
                        </w:numPr>
                        <w:rPr>
                          <w:rFonts w:cs="Arial"/>
                          <w:sz w:val="18"/>
                          <w:szCs w:val="18"/>
                        </w:rPr>
                      </w:pPr>
                      <w:r>
                        <w:rPr>
                          <w:sz w:val="18"/>
                          <w:szCs w:val="18"/>
                        </w:rPr>
                        <w:t xml:space="preserve">posouzení inovačních charakteristik a druhů inovací prostřednictvím analýzy kritérií výběru a případových studií, </w:t>
                      </w:r>
                    </w:p>
                    <w:p w:rsidR="005716B0" w:rsidRPr="001954EB" w:rsidRDefault="005716B0" w:rsidP="008C0B17">
                      <w:pPr>
                        <w:numPr>
                          <w:ilvl w:val="0"/>
                          <w:numId w:val="58"/>
                        </w:numPr>
                        <w:rPr>
                          <w:rFonts w:cs="Arial"/>
                          <w:sz w:val="18"/>
                          <w:szCs w:val="18"/>
                        </w:rPr>
                      </w:pPr>
                      <w:r>
                        <w:rPr>
                          <w:sz w:val="18"/>
                          <w:szCs w:val="18"/>
                        </w:rPr>
                        <w:t>analýza získaných výsledků a jejich šíření (průzkum a sebehodnocení operačních skupin).</w:t>
                      </w:r>
                    </w:p>
                    <w:p w:rsidR="005716B0" w:rsidRPr="00547012" w:rsidRDefault="005716B0" w:rsidP="00E05D08">
                      <w:pPr>
                        <w:rPr>
                          <w:rFonts w:cs="Arial"/>
                          <w:sz w:val="18"/>
                          <w:szCs w:val="18"/>
                        </w:rPr>
                      </w:pPr>
                      <w:r>
                        <w:rPr>
                          <w:sz w:val="18"/>
                          <w:szCs w:val="18"/>
                        </w:rPr>
                        <w:t xml:space="preserve">Zdroje údajů a informací zahrnují mimo jiné údaje z monitorování, formuláře žádostí, projektovou dokumentaci, primární statistické údaje shromážděné prostřednictvím průzkumů a sekundární statistické údaje z různých zdrojů. </w:t>
                      </w:r>
                    </w:p>
                    <w:p w:rsidR="005716B0" w:rsidRPr="00547012" w:rsidRDefault="005716B0" w:rsidP="00E05D08">
                      <w:pPr>
                        <w:rPr>
                          <w:rFonts w:cs="Arial"/>
                          <w:sz w:val="18"/>
                          <w:szCs w:val="18"/>
                        </w:rPr>
                      </w:pPr>
                      <w:r>
                        <w:rPr>
                          <w:sz w:val="18"/>
                          <w:szCs w:val="18"/>
                        </w:rPr>
                        <w:t xml:space="preserve">Průzkum mezi příjemci (operační skupiny EIP) se provádí před intervencí a po ní. </w:t>
                      </w:r>
                    </w:p>
                    <w:p w:rsidR="005716B0" w:rsidRPr="001954EB" w:rsidRDefault="005716B0" w:rsidP="00E05D08">
                      <w:pPr>
                        <w:pStyle w:val="HStandard"/>
                        <w:rPr>
                          <w:sz w:val="18"/>
                          <w:szCs w:val="18"/>
                        </w:rPr>
                      </w:pPr>
                      <w:r>
                        <w:rPr>
                          <w:b/>
                          <w:sz w:val="18"/>
                          <w:szCs w:val="18"/>
                        </w:rPr>
                        <w:t xml:space="preserve">Česká republika </w:t>
                      </w:r>
                      <w:r>
                        <w:rPr>
                          <w:sz w:val="18"/>
                          <w:szCs w:val="18"/>
                        </w:rPr>
                        <w:t>– navrhuje použít přístup založený na případových studiích ke shromažďování informací od operačních skupin a z projektů založených na spolupráci týkajících se inovací.</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Rizika a řešení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Rizika</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Řešení</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Pro některé ukazatele nemusí být údaje k dispozici dříve než po skončení programového období (např. počet operací spolupráce, jež pokračují po ukončení podpory z PRV).</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Druhy vytvořených kooperativních struktur (právní struktura, složení, prohlášení partnerů o závazcích atd.) lze analyzovat prostřednictvím kvalitativního posouzení (např. s využitím tematicky zaměřených skupin nebo rozhovorů s partnery operačních skupin).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Shromažďovat informace pro některé ukazatele, které by nemusely být zahrnuty do systému monitorování PRV (např. dodatečné ukazatele).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Shromažďování informací lze provádět prostřednictvím průzkumů a rozhovorů. </w:t>
            </w:r>
          </w:p>
          <w:p w:rsidR="00A45935" w:rsidRPr="00385368" w:rsidRDefault="00A45935" w:rsidP="00E05D08">
            <w:pPr>
              <w:spacing w:after="120" w:line="280" w:lineRule="atLeast"/>
              <w:ind w:left="27" w:right="47"/>
              <w:mirrorIndents/>
              <w:rPr>
                <w:sz w:val="18"/>
                <w:szCs w:val="18"/>
              </w:rPr>
            </w:pPr>
            <w:r>
              <w:rPr>
                <w:sz w:val="18"/>
                <w:szCs w:val="18"/>
              </w:rPr>
              <w:t xml:space="preserve">Alternativně mohou řídící orgány zvážit zahrnutí shromažďování údajů pro dodatečné ukazatele mezi údaje shromažďované prostřednictvím databáze operací.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Závěry a doporučení</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Hlavní závěry a doporučení by měly řešit alespoň tyto politické otázky:</w:t>
      </w:r>
    </w:p>
    <w:p w:rsidR="00A45935" w:rsidRPr="00E54929" w:rsidRDefault="00A45935" w:rsidP="00547012">
      <w:pPr>
        <w:pStyle w:val="Hlistbullet"/>
        <w:rPr>
          <w:rFonts w:eastAsia="Calibri"/>
          <w:shd w:val="clear" w:color="auto" w:fill="FFFFFF"/>
        </w:rPr>
      </w:pPr>
      <w:r>
        <w:rPr>
          <w:b/>
          <w:shd w:val="clear" w:color="auto" w:fill="FFFFFF"/>
        </w:rPr>
        <w:t>Tendence PRV používat opatření spolupráce k hledání inovací ve venkovských oblastech.</w:t>
      </w:r>
      <w:r>
        <w:rPr>
          <w:shd w:val="clear" w:color="auto" w:fill="FFFFFF"/>
        </w:rPr>
        <w:t xml:space="preserve"> Vytvoření operační skupiny například ukazuje na to, že inovativní nápad byl zaznamenán a lze ho realizovat propojením výzkumu s praxí. Rozsah, obsah a doba trvání projektu připraveného a prováděného operační skupinou poskytují užitečné informace, ze kterých lze v tomto ohledu vyvodit další závěry.</w:t>
      </w:r>
    </w:p>
    <w:p w:rsidR="00A45935" w:rsidRPr="00E54929" w:rsidRDefault="00A45935" w:rsidP="00547012">
      <w:pPr>
        <w:pStyle w:val="Hlistbullet"/>
        <w:rPr>
          <w:rFonts w:eastAsia="Calibri"/>
          <w:shd w:val="clear" w:color="auto" w:fill="FFFFFF"/>
        </w:rPr>
      </w:pPr>
      <w:r>
        <w:rPr>
          <w:b/>
          <w:shd w:val="clear" w:color="auto" w:fill="FFFFFF"/>
        </w:rPr>
        <w:t>Účinky projektů založených na spolupráci na inovační kapacitu</w:t>
      </w:r>
      <w:r w:rsidR="00FF5C86">
        <w:rPr>
          <w:b/>
          <w:shd w:val="clear" w:color="auto" w:fill="FFFFFF"/>
        </w:rPr>
        <w:t>.</w:t>
      </w:r>
      <w:r>
        <w:rPr>
          <w:shd w:val="clear" w:color="auto" w:fill="FFFFFF"/>
        </w:rPr>
        <w:t xml:space="preserve"> Analýza počtu a druhu projektů založených na spolupráci a zapojení inovačních zúčastněných stran může umožnit </w:t>
      </w:r>
      <w:r>
        <w:rPr>
          <w:shd w:val="clear" w:color="auto" w:fill="FFFFFF"/>
        </w:rPr>
        <w:lastRenderedPageBreak/>
        <w:t>závěry ohledně dosažených výsledků opatření spolupráce, pokud jde o inovační kapacity ve venkovských oblastech.</w:t>
      </w:r>
    </w:p>
    <w:p w:rsidR="00A45935" w:rsidRPr="00E54929" w:rsidRDefault="00A45935" w:rsidP="00547012">
      <w:pPr>
        <w:pStyle w:val="Hlistbullet"/>
        <w:rPr>
          <w:rFonts w:eastAsia="Calibri"/>
          <w:shd w:val="clear" w:color="auto" w:fill="FFFFFF"/>
        </w:rPr>
      </w:pPr>
      <w:r>
        <w:rPr>
          <w:b/>
          <w:shd w:val="clear" w:color="auto" w:fill="FFFFFF"/>
        </w:rPr>
        <w:t>Účinky projektů založených na spolupráci na vytváření příznivého prostředí pro inovace</w:t>
      </w:r>
      <w:r>
        <w:rPr>
          <w:shd w:val="clear" w:color="auto" w:fill="FFFFFF"/>
        </w:rPr>
        <w:t xml:space="preserve"> (tj. do jaké míry umožňují projekty založené na spolupráci vytvořit struktury a postupy, jež usnadňují vznik inovativních nápadů). To zahrnuje například struktury a metody zprostředkování inovací, navázání trvalých vazeb mezi malými a středními podniky, službami na podporu inovací a financujícími subjekty atd.).</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Další informace</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1828800"/>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1828800"/>
                        </a:xfrm>
                        <a:prstGeom prst="round2DiagRect">
                          <a:avLst>
                            <a:gd name="adj1" fmla="val 11556"/>
                            <a:gd name="adj2" fmla="val 0"/>
                          </a:avLst>
                        </a:prstGeom>
                        <a:noFill/>
                        <a:ln w="25400" cap="flat" cmpd="sng" algn="ctr">
                          <a:solidFill>
                            <a:srgbClr val="59638E"/>
                          </a:solidFill>
                          <a:prstDash val="solid"/>
                        </a:ln>
                        <a:effectLst/>
                      </wps:spPr>
                      <wps:txbx>
                        <w:txbxContent>
                          <w:p w:rsidR="005716B0" w:rsidRDefault="005716B0"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0041C9" w:rsidRDefault="005716B0" w:rsidP="00E05D08">
                            <w:pPr>
                              <w:pStyle w:val="HStandard"/>
                              <w:rPr>
                                <w:sz w:val="18"/>
                                <w:szCs w:val="18"/>
                              </w:rPr>
                            </w:pPr>
                            <w:r>
                              <w:t>Pokyny „</w:t>
                            </w:r>
                            <w:hyperlink r:id="rId54" w:history="1">
                              <w:r>
                                <w:rPr>
                                  <w:rStyle w:val="Hyperlink"/>
                                  <w:sz w:val="18"/>
                                  <w:szCs w:val="18"/>
                                </w:rPr>
                                <w:t>Posuzování výsledků PRV:</w:t>
                              </w:r>
                            </w:hyperlink>
                            <w:r>
                              <w:rPr>
                                <w:rStyle w:val="Hyperlink"/>
                                <w:sz w:val="18"/>
                                <w:szCs w:val="18"/>
                              </w:rPr>
                              <w:t xml:space="preserve"> </w:t>
                            </w:r>
                            <w:hyperlink r:id="rId55" w:history="1">
                              <w:r>
                                <w:rPr>
                                  <w:rStyle w:val="Hyperlink"/>
                                  <w:sz w:val="18"/>
                                  <w:szCs w:val="18"/>
                                </w:rPr>
                                <w:t>jak se připravit na podávání zpráv o hodnocení v roce 2017</w:t>
                              </w:r>
                            </w:hyperlink>
                            <w:r>
                              <w:rPr>
                                <w:sz w:val="18"/>
                                <w:szCs w:val="18"/>
                              </w:rPr>
                              <w:t xml:space="preserve">“, příloha 11 </w:t>
                            </w:r>
                          </w:p>
                          <w:p w:rsidR="005716B0" w:rsidRDefault="005716B0" w:rsidP="00E05D08">
                            <w:pPr>
                              <w:pStyle w:val="HStandard"/>
                              <w:rPr>
                                <w:sz w:val="18"/>
                                <w:szCs w:val="18"/>
                              </w:rPr>
                            </w:pPr>
                            <w:r>
                              <w:t>Pokyny „</w:t>
                            </w:r>
                            <w:hyperlink r:id="rId56" w:history="1">
                              <w:r>
                                <w:rPr>
                                  <w:rStyle w:val="Hyperlink"/>
                                  <w:sz w:val="18"/>
                                </w:rPr>
                                <w:t>Opatření spolupráce</w:t>
                              </w:r>
                            </w:hyperlink>
                            <w:r>
                              <w:rPr>
                                <w:sz w:val="18"/>
                                <w:szCs w:val="18"/>
                              </w:rPr>
                              <w:t>“, článek 35 nařízení (EU) č. 1305/2013, listopad 2014</w:t>
                            </w:r>
                          </w:p>
                          <w:p w:rsidR="005716B0" w:rsidRPr="000041C9" w:rsidRDefault="005716B0" w:rsidP="00E05D08">
                            <w:pPr>
                              <w:pStyle w:val="HStandard"/>
                              <w:rPr>
                                <w:sz w:val="18"/>
                                <w:szCs w:val="18"/>
                              </w:rPr>
                            </w:pPr>
                            <w:r>
                              <w:rPr>
                                <w:sz w:val="18"/>
                                <w:szCs w:val="18"/>
                              </w:rPr>
                              <w:t xml:space="preserve">Dokumenty z pracovního setkání Evropské sítě pro rozvoj venkova k opatření M16 „Spolupráce“, červen 2016, Brusel, </w:t>
                            </w:r>
                            <w:hyperlink r:id="rId57"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2in;visibility:visible;mso-wrap-style:square;mso-left-percent:-10001;mso-top-percent:-10001;mso-position-horizontal:absolute;mso-position-horizontal-relative:char;mso-position-vertical:absolute;mso-position-vertical-relative:line;mso-left-percent:-10001;mso-top-percent:-10001;v-text-anchor:middle" coordsize="5633451,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" adj="-11796480,,5400" path="m211336,l5633451,r,l5633451,1617464v,116718,-94618,211336,-211336,211336l,1828800r,l,211336c,94618,94618,,211336,xe" filled="f" strokecolor="#59638e" strokeweight="2pt">
                <v:stroke joinstyle="miter"/>
                <v:formulas/>
                <v:path arrowok="t" o:connecttype="custom" o:connectlocs="211336,0;5633451,0;5633451,0;5633451,1617464;5422115,1828800;0,1828800;0,1828800;0,211336;211336,0" o:connectangles="0,0,0,0,0,0,0,0,0" textboxrect="0,0,5633451,1828800"/>
                <v:textbox>
                  <w:txbxContent>
                    <w:p w:rsidR="005716B0" w:rsidRDefault="005716B0"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0041C9" w:rsidRDefault="005716B0" w:rsidP="00E05D08">
                      <w:pPr>
                        <w:pStyle w:val="HStandard"/>
                        <w:rPr>
                          <w:sz w:val="18"/>
                          <w:szCs w:val="18"/>
                        </w:rPr>
                      </w:pPr>
                      <w:r>
                        <w:t>Pokyny „</w:t>
                      </w:r>
                      <w:hyperlink r:id="rId58" w:history="1">
                        <w:r>
                          <w:rPr>
                            <w:rStyle w:val="Hyperlink"/>
                            <w:sz w:val="18"/>
                            <w:szCs w:val="18"/>
                          </w:rPr>
                          <w:t>Posuzování výsledků PRV:</w:t>
                        </w:r>
                      </w:hyperlink>
                      <w:r>
                        <w:rPr>
                          <w:rStyle w:val="Hyperlink"/>
                          <w:sz w:val="18"/>
                          <w:szCs w:val="18"/>
                        </w:rPr>
                        <w:t xml:space="preserve"> </w:t>
                      </w:r>
                      <w:hyperlink r:id="rId59" w:history="1">
                        <w:r>
                          <w:rPr>
                            <w:rStyle w:val="Hyperlink"/>
                            <w:sz w:val="18"/>
                            <w:szCs w:val="18"/>
                          </w:rPr>
                          <w:t>jak se připravit na podávání zpráv o hodnocení v roce 2017</w:t>
                        </w:r>
                      </w:hyperlink>
                      <w:r>
                        <w:rPr>
                          <w:sz w:val="18"/>
                          <w:szCs w:val="18"/>
                        </w:rPr>
                        <w:t xml:space="preserve">“, příloha 11 </w:t>
                      </w:r>
                    </w:p>
                    <w:p w:rsidR="005716B0" w:rsidRDefault="005716B0" w:rsidP="00E05D08">
                      <w:pPr>
                        <w:pStyle w:val="HStandard"/>
                        <w:rPr>
                          <w:sz w:val="18"/>
                          <w:szCs w:val="18"/>
                        </w:rPr>
                      </w:pPr>
                      <w:r>
                        <w:t>Pokyny „</w:t>
                      </w:r>
                      <w:hyperlink r:id="rId60" w:history="1">
                        <w:r>
                          <w:rPr>
                            <w:rStyle w:val="Hyperlink"/>
                            <w:sz w:val="18"/>
                          </w:rPr>
                          <w:t>Opatření spolupráce</w:t>
                        </w:r>
                      </w:hyperlink>
                      <w:r>
                        <w:rPr>
                          <w:sz w:val="18"/>
                          <w:szCs w:val="18"/>
                        </w:rPr>
                        <w:t>“, článek 35 nařízení (EU) č. 1305/2013, listopad 2014</w:t>
                      </w:r>
                    </w:p>
                    <w:p w:rsidR="005716B0" w:rsidRPr="000041C9" w:rsidRDefault="005716B0" w:rsidP="00E05D08">
                      <w:pPr>
                        <w:pStyle w:val="HStandard"/>
                        <w:rPr>
                          <w:sz w:val="18"/>
                          <w:szCs w:val="18"/>
                        </w:rPr>
                      </w:pPr>
                      <w:r>
                        <w:rPr>
                          <w:sz w:val="18"/>
                          <w:szCs w:val="18"/>
                        </w:rPr>
                        <w:t xml:space="preserve">Dokumenty z pracovního setkání Evropské sítě pro rozvoj venkova k opatření M16 „Spolupráce“, červen 2016, Brusel, </w:t>
                      </w:r>
                      <w:hyperlink r:id="rId61"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607838"/>
      <w:bookmarkEnd w:id="117"/>
      <w:r>
        <w:t>Společná hodnotící otázka č. 21: „Do jaké míry přispěla celostátní síť pro venkov k dosažení cílů stanovených v čl. 54 odst. 2 nařízení (EU) č. 1305/2013?“</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Pochopení společné hodnotící otázky</w:t>
      </w:r>
    </w:p>
    <w:p w:rsidR="00A45935" w:rsidRPr="00E05D08" w:rsidRDefault="00A45935" w:rsidP="00E05D08">
      <w:pPr>
        <w:spacing w:after="120" w:line="280" w:lineRule="atLeast"/>
        <w:mirrorIndents/>
        <w:rPr>
          <w:rFonts w:eastAsia="Calibri" w:cs="Times New Roman"/>
          <w:szCs w:val="20"/>
        </w:rPr>
      </w:pPr>
      <w:r>
        <w:t xml:space="preserve">Tato otázka se týká dosahování </w:t>
      </w:r>
      <w:r w:rsidR="009864B9">
        <w:t xml:space="preserve">čtyř </w:t>
      </w:r>
      <w:r>
        <w:t>cílů PRV v oblasti životního prostředí</w:t>
      </w:r>
      <w:r>
        <w:rPr>
          <w:rFonts w:eastAsia="Times New Roman" w:cs="Times New Roman"/>
          <w:szCs w:val="20"/>
          <w:vertAlign w:val="superscript"/>
          <w:lang w:eastAsia="de-DE"/>
        </w:rPr>
        <w:footnoteReference w:id="57"/>
      </w:r>
      <w:r>
        <w:t>. Tyto pokyny</w:t>
      </w:r>
      <w:r>
        <w:rPr>
          <w:rFonts w:eastAsia="Times New Roman" w:cs="Times New Roman"/>
          <w:szCs w:val="20"/>
          <w:vertAlign w:val="superscript"/>
          <w:lang w:eastAsia="de-DE"/>
        </w:rPr>
        <w:footnoteReference w:id="58"/>
      </w:r>
      <w:r>
        <w:t xml:space="preserve"> se zabývají SHO č. 21 v souvislosti s cílem CSV </w:t>
      </w:r>
      <w:r>
        <w:rPr>
          <w:szCs w:val="18"/>
          <w14:textFill>
            <w14:solidFill>
              <w14:srgbClr w14:val="373737">
                <w14:lumMod w14:val="75000"/>
              </w14:srgbClr>
            </w14:solidFill>
          </w14:textFill>
        </w:rPr>
        <w:t>„podpořit inovace v zemědělství, produkci potravin, lesnictví a venkovských oblastech“</w:t>
      </w:r>
      <w:r>
        <w:t xml:space="preserve"> pro účely hodnocení inovací podporovaných celostátními sítěmi pro venkov od roku 2019 a dále. </w:t>
      </w:r>
    </w:p>
    <w:p w:rsidR="00A45935" w:rsidRPr="00E05D08" w:rsidRDefault="00A45935" w:rsidP="00E05D08">
      <w:pPr>
        <w:spacing w:after="120" w:line="280" w:lineRule="atLeast"/>
        <w:mirrorIndents/>
        <w:rPr>
          <w:rFonts w:eastAsia="Calibri" w:cs="Times New Roman"/>
          <w:szCs w:val="20"/>
        </w:rPr>
      </w:pPr>
      <w:r>
        <w:t xml:space="preserve">Celostátní síť pro venkov funguje prostřednictvím různých </w:t>
      </w:r>
      <w:r w:rsidR="00714CF1">
        <w:t>skupin</w:t>
      </w:r>
      <w:r>
        <w:t xml:space="preserve"> akcí zakotvených v akčním plánu CSV a zahrnuje různé druhy zúčastněných stran, mimo jiné také účastníky inovačního procesu. Je proto důležité si uvědomit, které typy akcí</w:t>
      </w:r>
      <w:r>
        <w:rPr>
          <w:rFonts w:eastAsia="Calibri" w:cs="Times New Roman"/>
          <w:szCs w:val="20"/>
          <w:vertAlign w:val="superscript"/>
        </w:rPr>
        <w:footnoteReference w:id="59"/>
      </w:r>
      <w:r>
        <w:t xml:space="preserve"> mají potenciál na podporu inovací prostřednictvím tří scénářů (viz </w:t>
      </w:r>
      <w:hyperlink w:anchor="Innovation_RD" w:history="1">
        <w:r>
          <w:rPr>
            <w:rStyle w:val="Hyperlink"/>
            <w:sz w:val="20"/>
            <w:szCs w:val="20"/>
          </w:rPr>
          <w:t>oddíl 1.1</w:t>
        </w:r>
      </w:hyperlink>
      <w:r>
        <w:t xml:space="preserve">) a které druhy zúčastněných stran v inovačním systému jsou zapojeny a mohou být těmito akcemi ovlivněny z hlediska podpory inovací. </w:t>
      </w:r>
    </w:p>
    <w:p w:rsidR="001327F5" w:rsidRDefault="00A45935" w:rsidP="00E05D08">
      <w:pPr>
        <w:spacing w:after="120" w:line="280" w:lineRule="atLeast"/>
        <w:mirrorIndents/>
        <w:rPr>
          <w:rFonts w:eastAsia="Calibri" w:cs="Times New Roman"/>
          <w:szCs w:val="20"/>
        </w:rPr>
      </w:pPr>
      <w:r>
        <w:t>Akce zahrnuté do akčního plánu CSV by měly spadat do sedmi skupin činností, jež jsou stanoveny v nařízení</w:t>
      </w:r>
      <w:r>
        <w:rPr>
          <w:rFonts w:eastAsia="Calibri" w:cs="Times New Roman"/>
          <w:szCs w:val="20"/>
          <w:vertAlign w:val="superscript"/>
        </w:rPr>
        <w:footnoteReference w:id="60"/>
      </w:r>
      <w:r>
        <w:t>. Příklady toho, jak by tyto činnosti mohly souviset s podporu inovací, jsou uvedeny níže v rámečcích.</w:t>
      </w:r>
    </w:p>
    <w:p w:rsidR="001327F5" w:rsidRPr="00E05D08" w:rsidRDefault="001327F5" w:rsidP="001327F5">
      <w:pPr>
        <w:spacing w:after="120" w:line="280" w:lineRule="atLeast"/>
        <w:mirrorIndents/>
        <w:rPr>
          <w:rFonts w:eastAsia="Calibri" w:cs="Times New Roman"/>
          <w:szCs w:val="20"/>
        </w:rPr>
      </w:pPr>
      <w:r>
        <w:t>CSV jako součást technické pomoci jsou určeny k tomu, aby doprovázely a podporovaly provádění PRV, a tedy přímo přispívají k podpoře inovací jakožto průřezového cíle. CSV však mohou také působit v synergii s jinými účastníky inovačního procesu rozvoje venkova, jako jsou místní akční skupiny působící v rámci iniciativy LEADER nebo sítě EIP-AGRI (viz příklad v rámečku).</w:t>
      </w:r>
    </w:p>
    <w:p w:rsidR="00A45935" w:rsidRPr="00E05D08" w:rsidRDefault="00346923"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734016" behindDoc="1" locked="0" layoutInCell="1" allowOverlap="1" wp14:anchorId="301651F8" wp14:editId="635365EB">
                <wp:simplePos x="0" y="0"/>
                <wp:positionH relativeFrom="column">
                  <wp:posOffset>-175565</wp:posOffset>
                </wp:positionH>
                <wp:positionV relativeFrom="paragraph">
                  <wp:posOffset>280</wp:posOffset>
                </wp:positionV>
                <wp:extent cx="5925185" cy="6631940"/>
                <wp:effectExtent l="0" t="0" r="18415" b="16510"/>
                <wp:wrapTight wrapText="bothSides">
                  <wp:wrapPolygon edited="0">
                    <wp:start x="833" y="0"/>
                    <wp:lineTo x="0" y="372"/>
                    <wp:lineTo x="0" y="21592"/>
                    <wp:lineTo x="20834" y="21592"/>
                    <wp:lineTo x="21042" y="21592"/>
                    <wp:lineTo x="21598" y="21033"/>
                    <wp:lineTo x="21598" y="0"/>
                    <wp:lineTo x="833"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925185" cy="6631940"/>
                        </a:xfrm>
                        <a:prstGeom prst="round2DiagRect">
                          <a:avLst>
                            <a:gd name="adj1" fmla="val 6054"/>
                            <a:gd name="adj2" fmla="val 0"/>
                          </a:avLst>
                        </a:prstGeom>
                        <a:noFill/>
                        <a:ln w="25400" cap="flat" cmpd="sng" algn="ctr">
                          <a:solidFill>
                            <a:srgbClr val="F07E31"/>
                          </a:solidFill>
                          <a:prstDash val="solid"/>
                        </a:ln>
                        <a:effectLst/>
                      </wps:spPr>
                      <wps:txbx>
                        <w:txbxContent>
                          <w:p w:rsidR="005716B0" w:rsidRPr="0079762F" w:rsidRDefault="005716B0" w:rsidP="00E05D08">
                            <w:pPr>
                              <w:pStyle w:val="HStandard"/>
                              <w:ind w:left="567" w:hanging="567"/>
                              <w:rPr>
                                <w:i/>
                                <w:sz w:val="18"/>
                                <w:szCs w:val="18"/>
                              </w:rPr>
                            </w:pPr>
                            <w:r>
                              <w:rPr>
                                <w:noProof/>
                                <w:sz w:val="18"/>
                                <w:szCs w:val="18"/>
                                <w:lang w:val="en-GB" w:eastAsia="en-GB"/>
                              </w:rPr>
                              <w:drawing>
                                <wp:inline distT="0" distB="0" distL="0" distR="0" wp14:anchorId="15C82589" wp14:editId="3A54B40A">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Rozvíjení nových nápadů a sdílení inovací:</w:t>
                            </w:r>
                          </w:p>
                          <w:p w:rsidR="005716B0" w:rsidRPr="0079762F" w:rsidRDefault="005716B0" w:rsidP="008C0B17">
                            <w:pPr>
                              <w:pStyle w:val="HStandard"/>
                              <w:numPr>
                                <w:ilvl w:val="0"/>
                                <w:numId w:val="26"/>
                              </w:numPr>
                              <w:ind w:left="567" w:hanging="567"/>
                              <w:rPr>
                                <w:sz w:val="18"/>
                                <w:szCs w:val="18"/>
                              </w:rPr>
                            </w:pPr>
                            <w:r>
                              <w:rPr>
                                <w:sz w:val="18"/>
                                <w:szCs w:val="18"/>
                              </w:rPr>
                              <w:t>Shromažďování příkladů projektů pokrývajících všechny priority PRV: může se zaměřit například na inovativní projekty nebo vytváření databází inovativních projektů, a přispět tak k identifikaci a sdílení inovací.</w:t>
                            </w:r>
                          </w:p>
                          <w:p w:rsidR="005716B0" w:rsidRPr="0079762F" w:rsidRDefault="005716B0" w:rsidP="008C0B17">
                            <w:pPr>
                              <w:pStyle w:val="HStandard"/>
                              <w:numPr>
                                <w:ilvl w:val="0"/>
                                <w:numId w:val="26"/>
                              </w:numPr>
                              <w:ind w:left="567" w:hanging="567"/>
                              <w:rPr>
                                <w:sz w:val="18"/>
                                <w:szCs w:val="18"/>
                              </w:rPr>
                            </w:pPr>
                            <w:r>
                              <w:rPr>
                                <w:sz w:val="18"/>
                                <w:szCs w:val="18"/>
                              </w:rPr>
                              <w:t>Usnadnění tematických a analytických výměn mezi zúčastněnými stranami rozvoje venkova, sdílení a šíření poznatků. Takové výměny mohou podpořit inovace také rozvíjením a sdílením nových nápadů a vytvářením podmínek pro rozvoj nových znalostí.</w:t>
                            </w:r>
                          </w:p>
                          <w:p w:rsidR="005716B0" w:rsidRDefault="005716B0" w:rsidP="008C0B17">
                            <w:pPr>
                              <w:pStyle w:val="HStandard"/>
                              <w:numPr>
                                <w:ilvl w:val="0"/>
                                <w:numId w:val="26"/>
                              </w:numPr>
                              <w:ind w:left="567" w:hanging="567"/>
                              <w:rPr>
                                <w:sz w:val="18"/>
                                <w:szCs w:val="18"/>
                              </w:rPr>
                            </w:pPr>
                            <w:r>
                              <w:rPr>
                                <w:sz w:val="18"/>
                                <w:szCs w:val="18"/>
                              </w:rPr>
                              <w:t>Propagace a informování o PRV a informační a komunikační činnosti zaměřené na širší veřejnost. Tyto činnosti mohou zahrnovat mimo jiné informace o dosažených výsledcích PRV týkajících se inovací, výsledcích operačních skupin EIP, o tom, jak strategie a partnerství komunitně vedeného místního rozvoje podporují inovace, a příklady takových partnerství a inovativních projektů iniciativy LEADER / komunitně vedeného místního rozvoje atd.</w:t>
                            </w:r>
                          </w:p>
                          <w:p w:rsidR="005716B0" w:rsidRPr="00E05D08" w:rsidRDefault="005716B0" w:rsidP="008A0CFF">
                            <w:pPr>
                              <w:pStyle w:val="HStandard"/>
                              <w:rPr>
                                <w:b/>
                                <w:color w:val="F07E31"/>
                                <w:sz w:val="18"/>
                                <w:szCs w:val="18"/>
                              </w:rPr>
                            </w:pPr>
                            <w:r>
                              <w:rPr>
                                <w:b/>
                                <w:color w:val="F07E31"/>
                                <w:sz w:val="18"/>
                                <w:szCs w:val="18"/>
                              </w:rPr>
                              <w:t>Budování inovační kapacity:</w:t>
                            </w:r>
                          </w:p>
                          <w:p w:rsidR="005716B0" w:rsidRPr="0079762F" w:rsidRDefault="005716B0" w:rsidP="008A0CFF">
                            <w:pPr>
                              <w:pStyle w:val="HStandard"/>
                              <w:numPr>
                                <w:ilvl w:val="0"/>
                                <w:numId w:val="26"/>
                              </w:numPr>
                              <w:rPr>
                                <w:sz w:val="18"/>
                                <w:szCs w:val="18"/>
                              </w:rPr>
                            </w:pPr>
                            <w:r>
                              <w:rPr>
                                <w:sz w:val="18"/>
                                <w:szCs w:val="18"/>
                              </w:rPr>
                              <w:t>Poskytování odborné přípravy a činnosti při vytváření sítí pro poradce a služby na podporu inovací zaměřené na inovace v zemědělství, lesnictví a dalších odvětvích, jichž se PRV dotýká. Odborná příprava poradců a služeb na podporu inovací může například usnadnit vytváření operačních skupin EIP, a tedy přispívat k budování inovační kapacity ve venkovských oblastech, neboť se očekává, že tyto operační skupiny budou rozvíjet inovativní projekty.</w:t>
                            </w:r>
                          </w:p>
                          <w:p w:rsidR="005716B0" w:rsidRPr="00ED3BAD" w:rsidRDefault="005716B0" w:rsidP="008A0CFF">
                            <w:pPr>
                              <w:pStyle w:val="HStandard"/>
                              <w:numPr>
                                <w:ilvl w:val="0"/>
                                <w:numId w:val="26"/>
                              </w:numPr>
                              <w:rPr>
                                <w:sz w:val="18"/>
                                <w:szCs w:val="18"/>
                              </w:rPr>
                            </w:pPr>
                            <w:r>
                              <w:rPr>
                                <w:sz w:val="18"/>
                                <w:szCs w:val="18"/>
                              </w:rPr>
                              <w:t>Poskytování odborné přípravy a činnosti při vytváření sítí pro místní akční skupiny, a zejména technická pomoc pro meziregionální a nadnárodní spolupráci, usnadnění spolupráce mezi místními akčními skupinami a vyhledávání partnerů v rámci opatření M16 (spolupráce). CSV mohou například napomoci k zintenzivnění spolupráce, jež podporuje experimentování a inovace.</w:t>
                            </w:r>
                          </w:p>
                          <w:p w:rsidR="005716B0" w:rsidRPr="0079762F" w:rsidRDefault="005716B0" w:rsidP="008A0CFF">
                            <w:pPr>
                              <w:pStyle w:val="HStandard"/>
                              <w:ind w:left="567" w:hanging="567"/>
                              <w:rPr>
                                <w:i/>
                                <w:sz w:val="18"/>
                                <w:szCs w:val="18"/>
                              </w:rPr>
                            </w:pPr>
                            <w:r>
                              <w:rPr>
                                <w:b/>
                                <w:color w:val="F07E31"/>
                                <w:sz w:val="18"/>
                                <w:szCs w:val="18"/>
                              </w:rPr>
                              <w:t>Budování příznivého prostředí pro inovace:</w:t>
                            </w:r>
                          </w:p>
                          <w:p w:rsidR="005716B0" w:rsidRPr="00ED3BAD" w:rsidRDefault="005716B0" w:rsidP="008A0CFF">
                            <w:pPr>
                              <w:pStyle w:val="HStandard"/>
                              <w:numPr>
                                <w:ilvl w:val="0"/>
                                <w:numId w:val="29"/>
                              </w:numPr>
                              <w:ind w:left="567" w:hanging="567"/>
                              <w:rPr>
                                <w:sz w:val="18"/>
                                <w:szCs w:val="18"/>
                              </w:rPr>
                            </w:pPr>
                            <w:r>
                              <w:rPr>
                                <w:sz w:val="18"/>
                                <w:szCs w:val="18"/>
                              </w:rPr>
                              <w:t>Účast v evropských sítích, zejména v Evropské síti pro rozvoj venkova a EIP-AGRI, a přispívání k jejich činnostem nabízí možnost podpory příznivého ovzduší pro inovace prostřednictvím těchto sítí.</w:t>
                            </w:r>
                          </w:p>
                          <w:p w:rsidR="005716B0" w:rsidRPr="00547012" w:rsidRDefault="005716B0" w:rsidP="00547012">
                            <w:pPr>
                              <w:pStyle w:val="HStandard"/>
                              <w:numPr>
                                <w:ilvl w:val="0"/>
                                <w:numId w:val="29"/>
                              </w:numPr>
                              <w:ind w:left="567" w:hanging="567"/>
                              <w:rPr>
                                <w:sz w:val="18"/>
                                <w:szCs w:val="18"/>
                              </w:rPr>
                            </w:pPr>
                            <w:r>
                              <w:rPr>
                                <w:sz w:val="18"/>
                                <w:szCs w:val="18"/>
                              </w:rPr>
                              <w:t>CSV mohou podpořit inovace propojováním účastníků inovačních procesů (zemědělců, výzkumných pracovníků, nevládních organizací, místních akčních skupin atd.), shromažďováním informací, oživováním iniciativ přicházejících zdola, pomocí při vylepšování inovativních nápadů a poskytováním podpory při vyhledávání partnerů a zdrojů financování, a toto vše přispívá k příznivému prostředí pro inovace.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51F8" id="Rectangle: Diagonal Corners Rounded 28" o:spid="_x0000_s1050" style="position:absolute;left:0;text-align:left;margin-left:-13.8pt;margin-top:0;width:466.55pt;height:522.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5185,6631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" adj="-11796480,,5400" path="m358711,l5925185,r,l5925185,6273229v,198111,-160600,358711,-358711,358711l,6631940r,l,358711c,160600,160600,,358711,xe" filled="f" strokecolor="#f07e31" strokeweight="2pt">
                <v:stroke joinstyle="miter"/>
                <v:formulas/>
                <v:path arrowok="t" o:connecttype="custom" o:connectlocs="358711,0;5925185,0;5925185,0;5925185,6273229;5566474,6631940;0,6631940;0,6631940;0,358711;358711,0" o:connectangles="0,0,0,0,0,0,0,0,0" textboxrect="0,0,5925185,6631940"/>
                <v:textbox>
                  <w:txbxContent>
                    <w:p w:rsidR="005716B0" w:rsidRPr="0079762F" w:rsidRDefault="005716B0" w:rsidP="00E05D08">
                      <w:pPr>
                        <w:pStyle w:val="HStandard"/>
                        <w:ind w:left="567" w:hanging="567"/>
                        <w:rPr>
                          <w:i/>
                          <w:sz w:val="18"/>
                          <w:szCs w:val="18"/>
                        </w:rPr>
                      </w:pPr>
                      <w:r>
                        <w:rPr>
                          <w:noProof/>
                          <w:sz w:val="18"/>
                          <w:szCs w:val="18"/>
                          <w:lang w:val="en-GB" w:eastAsia="en-GB"/>
                        </w:rPr>
                        <w:drawing>
                          <wp:inline distT="0" distB="0" distL="0" distR="0" wp14:anchorId="15C82589" wp14:editId="3A54B40A">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Rozvíjení nových nápadů a sdílení inovací:</w:t>
                      </w:r>
                    </w:p>
                    <w:p w:rsidR="005716B0" w:rsidRPr="0079762F" w:rsidRDefault="005716B0" w:rsidP="008C0B17">
                      <w:pPr>
                        <w:pStyle w:val="HStandard"/>
                        <w:numPr>
                          <w:ilvl w:val="0"/>
                          <w:numId w:val="26"/>
                        </w:numPr>
                        <w:ind w:left="567" w:hanging="567"/>
                        <w:rPr>
                          <w:sz w:val="18"/>
                          <w:szCs w:val="18"/>
                        </w:rPr>
                      </w:pPr>
                      <w:r>
                        <w:rPr>
                          <w:sz w:val="18"/>
                          <w:szCs w:val="18"/>
                        </w:rPr>
                        <w:t>Shromažďování příkladů projektů pokrývajících všechny priority PRV: může se zaměřit například na inovativní projekty nebo vytváření databází inovativních projektů, a přispět tak k identifikaci a sdílení inovací.</w:t>
                      </w:r>
                    </w:p>
                    <w:p w:rsidR="005716B0" w:rsidRPr="0079762F" w:rsidRDefault="005716B0" w:rsidP="008C0B17">
                      <w:pPr>
                        <w:pStyle w:val="HStandard"/>
                        <w:numPr>
                          <w:ilvl w:val="0"/>
                          <w:numId w:val="26"/>
                        </w:numPr>
                        <w:ind w:left="567" w:hanging="567"/>
                        <w:rPr>
                          <w:sz w:val="18"/>
                          <w:szCs w:val="18"/>
                        </w:rPr>
                      </w:pPr>
                      <w:r>
                        <w:rPr>
                          <w:sz w:val="18"/>
                          <w:szCs w:val="18"/>
                        </w:rPr>
                        <w:t>Usnadnění tematických a analytických výměn mezi zúčastněnými stranami rozvoje venkova, sdílení a šíření poznatků. Takové výměny mohou podpořit inovace také rozvíjením a sdílením nových nápadů a vytvářením podmínek pro rozvoj nových znalostí.</w:t>
                      </w:r>
                    </w:p>
                    <w:p w:rsidR="005716B0" w:rsidRDefault="005716B0" w:rsidP="008C0B17">
                      <w:pPr>
                        <w:pStyle w:val="HStandard"/>
                        <w:numPr>
                          <w:ilvl w:val="0"/>
                          <w:numId w:val="26"/>
                        </w:numPr>
                        <w:ind w:left="567" w:hanging="567"/>
                        <w:rPr>
                          <w:sz w:val="18"/>
                          <w:szCs w:val="18"/>
                        </w:rPr>
                      </w:pPr>
                      <w:r>
                        <w:rPr>
                          <w:sz w:val="18"/>
                          <w:szCs w:val="18"/>
                        </w:rPr>
                        <w:t>Propagace a informování o PRV a informační a komunikační činnosti zaměřené na širší veřejnost. Tyto činnosti mohou zahrnovat mimo jiné informace o dosažených výsledcích PRV týkajících se inovací, výsledcích operačních skupin EIP, o tom, jak strategie a partnerství komunitně vedeného místního rozvoje podporují inovace, a příklady takových partnerství a inovativních projektů iniciativy LEADER / komunitně vedeného místního rozvoje atd.</w:t>
                      </w:r>
                    </w:p>
                    <w:p w:rsidR="005716B0" w:rsidRPr="00E05D08" w:rsidRDefault="005716B0" w:rsidP="008A0CFF">
                      <w:pPr>
                        <w:pStyle w:val="HStandard"/>
                        <w:rPr>
                          <w:b/>
                          <w:color w:val="F07E31"/>
                          <w:sz w:val="18"/>
                          <w:szCs w:val="18"/>
                        </w:rPr>
                      </w:pPr>
                      <w:r>
                        <w:rPr>
                          <w:b/>
                          <w:color w:val="F07E31"/>
                          <w:sz w:val="18"/>
                          <w:szCs w:val="18"/>
                        </w:rPr>
                        <w:t>Budování inovační kapacity:</w:t>
                      </w:r>
                    </w:p>
                    <w:p w:rsidR="005716B0" w:rsidRPr="0079762F" w:rsidRDefault="005716B0" w:rsidP="008A0CFF">
                      <w:pPr>
                        <w:pStyle w:val="HStandard"/>
                        <w:numPr>
                          <w:ilvl w:val="0"/>
                          <w:numId w:val="26"/>
                        </w:numPr>
                        <w:rPr>
                          <w:sz w:val="18"/>
                          <w:szCs w:val="18"/>
                        </w:rPr>
                      </w:pPr>
                      <w:r>
                        <w:rPr>
                          <w:sz w:val="18"/>
                          <w:szCs w:val="18"/>
                        </w:rPr>
                        <w:t>Poskytování odborné přípravy a činnosti při vytváření sítí pro poradce a služby na podporu inovací zaměřené na inovace v zemědělství, lesnictví a dalších odvětvích, jichž se PRV dotýká. Odborná příprava poradců a služeb na podporu inovací může například usnadnit vytváření operačních skupin EIP, a tedy přispívat k budování inovační kapacity ve venkovských oblastech, neboť se očekává, že tyto operační skupiny budou rozvíjet inovativní projekty.</w:t>
                      </w:r>
                    </w:p>
                    <w:p w:rsidR="005716B0" w:rsidRPr="00ED3BAD" w:rsidRDefault="005716B0" w:rsidP="008A0CFF">
                      <w:pPr>
                        <w:pStyle w:val="HStandard"/>
                        <w:numPr>
                          <w:ilvl w:val="0"/>
                          <w:numId w:val="26"/>
                        </w:numPr>
                        <w:rPr>
                          <w:sz w:val="18"/>
                          <w:szCs w:val="18"/>
                        </w:rPr>
                      </w:pPr>
                      <w:r>
                        <w:rPr>
                          <w:sz w:val="18"/>
                          <w:szCs w:val="18"/>
                        </w:rPr>
                        <w:t>Poskytování odborné přípravy a činnosti při vytváření sítí pro místní akční skupiny, a zejména technická pomoc pro meziregionální a nadnárodní spolupráci, usnadnění spolupráce mezi místními akčními skupinami a vyhledávání partnerů v rámci opatření M16 (spolupráce). CSV mohou například napomoci k zintenzivnění spolupráce, jež podporuje experimentování a inovace.</w:t>
                      </w:r>
                    </w:p>
                    <w:p w:rsidR="005716B0" w:rsidRPr="0079762F" w:rsidRDefault="005716B0" w:rsidP="008A0CFF">
                      <w:pPr>
                        <w:pStyle w:val="HStandard"/>
                        <w:ind w:left="567" w:hanging="567"/>
                        <w:rPr>
                          <w:i/>
                          <w:sz w:val="18"/>
                          <w:szCs w:val="18"/>
                        </w:rPr>
                      </w:pPr>
                      <w:r>
                        <w:rPr>
                          <w:b/>
                          <w:color w:val="F07E31"/>
                          <w:sz w:val="18"/>
                          <w:szCs w:val="18"/>
                        </w:rPr>
                        <w:t>Budování příznivého prostředí pro inovace:</w:t>
                      </w:r>
                    </w:p>
                    <w:p w:rsidR="005716B0" w:rsidRPr="00ED3BAD" w:rsidRDefault="005716B0" w:rsidP="008A0CFF">
                      <w:pPr>
                        <w:pStyle w:val="HStandard"/>
                        <w:numPr>
                          <w:ilvl w:val="0"/>
                          <w:numId w:val="29"/>
                        </w:numPr>
                        <w:ind w:left="567" w:hanging="567"/>
                        <w:rPr>
                          <w:sz w:val="18"/>
                          <w:szCs w:val="18"/>
                        </w:rPr>
                      </w:pPr>
                      <w:r>
                        <w:rPr>
                          <w:sz w:val="18"/>
                          <w:szCs w:val="18"/>
                        </w:rPr>
                        <w:t>Účast v evropských sítích, zejména v Evropské síti pro rozvoj venkova a EIP-AGRI, a přispívání k jejich činnostem nabízí možnost podpory příznivého ovzduší pro inovace prostřednictvím těchto sítí.</w:t>
                      </w:r>
                    </w:p>
                    <w:p w:rsidR="005716B0" w:rsidRPr="00547012" w:rsidRDefault="005716B0" w:rsidP="00547012">
                      <w:pPr>
                        <w:pStyle w:val="HStandard"/>
                        <w:numPr>
                          <w:ilvl w:val="0"/>
                          <w:numId w:val="29"/>
                        </w:numPr>
                        <w:ind w:left="567" w:hanging="567"/>
                        <w:rPr>
                          <w:sz w:val="18"/>
                          <w:szCs w:val="18"/>
                        </w:rPr>
                      </w:pPr>
                      <w:r>
                        <w:rPr>
                          <w:sz w:val="18"/>
                          <w:szCs w:val="18"/>
                        </w:rPr>
                        <w:t>CSV mohou podpořit inovace propojováním účastníků inovačních procesů (zemědělců, výzkumných pracovníků, nevládních organizací, místních akčních skupin atd.), shromažďováním informací, oživováním iniciativ přicházejících zdola, pomocí při vylepšování inovativních nápadů a poskytováním podpory při vyhledávání partnerů a zdrojů financování, a toto vše přispívá k příznivému prostředí pro inovace.</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Je třeba poznamenat, že tato hodnotící otázka se týká nejen toho, jak CSV podporují inovace v zemědělství, ale postihuje venkovské oblasti v celém jejich rozsahu. Aby CSV podpořily inovace a přinesly venkovským společenstvím „něco nového“, mohou vyvíjet činnost mnoha způsoby:</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pracovat s místními organizacemi a podniky s cílem podnítit nové nápady a přístupy k řešení společných potřeb;</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využívat osvědčené postupy propojování praktických specialistů v oblasti rozvoje venkova s příslušnými odborníky, akademickými kruhy a výzkumnými ústavy;</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poskytovat odbornou přípravu zaměřenou na konkrétní témata týkající se inovací;</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 xml:space="preserve">pomáhat místním akčním skupinám a zúčastněným stranám iniciativy LEADER v podpoře inovací jakožto klíčové zásady jejich místních rozvojových strategií a „pěstovat“ nové nápady a přístupy. </w:t>
      </w:r>
    </w:p>
    <w:p w:rsidR="00A45935" w:rsidRPr="00E05D08" w:rsidRDefault="00A45935" w:rsidP="00E05D08">
      <w:pPr>
        <w:spacing w:after="120" w:line="280" w:lineRule="atLeast"/>
        <w:mirrorIndents/>
        <w:rPr>
          <w:rFonts w:eastAsia="Times New Roman" w:cs="Times New Roman"/>
          <w:szCs w:val="20"/>
        </w:rPr>
      </w:pPr>
      <w:r>
        <w:t>Než přikročíte k zodpovězení společné hodnotící otázky č. 21, je proto důležité vyjasnit tyto aspekty a dosáhnout dobrého pochopení toho, jak může daná CSV prostřednictvím svých činností podpořit inovace.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Specifické výzvy </w:t>
      </w:r>
    </w:p>
    <w:p w:rsidR="00A45935" w:rsidRPr="00C9522B" w:rsidRDefault="00A45935" w:rsidP="00547012">
      <w:pPr>
        <w:pStyle w:val="Hlistbullet"/>
      </w:pPr>
      <w:r>
        <w:rPr>
          <w:b/>
          <w:shd w:val="clear" w:color="auto" w:fill="FFFFFF"/>
        </w:rPr>
        <w:t>Vypracování dodatečných prvků hodnocení a prvků hodnocení týkajících se specifického programu pro účely hodnocení inovací v souvislosti s CSV</w:t>
      </w:r>
      <w:r>
        <w:rPr>
          <w:shd w:val="clear" w:color="auto" w:fill="FFFFFF"/>
        </w:rPr>
        <w:t>. Jak navrhnout</w:t>
      </w:r>
      <w:r>
        <w:t xml:space="preserve"> a použít dodatečné ukazatele (výsledků a dopadů) kromě ukazatelů výstupů, jež poskytl již společný systém monitorování a hodnocení, </w:t>
      </w:r>
      <w:r>
        <w:rPr>
          <w:shd w:val="clear" w:color="auto" w:fill="FFFFFF"/>
        </w:rPr>
        <w:t>k</w:t>
      </w:r>
      <w:r>
        <w:t xml:space="preserve"> zodpovězení společné hodnotící otázky č. 21 z hlediska podpory inovací? </w:t>
      </w:r>
    </w:p>
    <w:p w:rsidR="00A45935" w:rsidRPr="00C9522B" w:rsidRDefault="00A45935" w:rsidP="00547012">
      <w:pPr>
        <w:pStyle w:val="Hlistbullet"/>
      </w:pPr>
      <w:r>
        <w:rPr>
          <w:b/>
          <w:shd w:val="clear" w:color="auto" w:fill="FFFFFF"/>
        </w:rPr>
        <w:t>Přiřazení inovačních procesů k </w:t>
      </w:r>
      <w:r w:rsidR="008C6769">
        <w:rPr>
          <w:b/>
          <w:shd w:val="clear" w:color="auto" w:fill="FFFFFF"/>
        </w:rPr>
        <w:t>intervencím</w:t>
      </w:r>
      <w:r>
        <w:rPr>
          <w:b/>
          <w:shd w:val="clear" w:color="auto" w:fill="FFFFFF"/>
        </w:rPr>
        <w:t xml:space="preserve"> CSV. </w:t>
      </w:r>
      <w:r>
        <w:rPr>
          <w:shd w:val="clear" w:color="auto" w:fill="FFFFFF"/>
        </w:rPr>
        <w:t>Jak měřit rozsah, v jakém lze inovační procesy vytvořené ve venkovských oblastech přímo či</w:t>
      </w:r>
      <w:r>
        <w:t xml:space="preserve"> nepřímo </w:t>
      </w:r>
      <w:r>
        <w:rPr>
          <w:shd w:val="clear" w:color="auto" w:fill="FFFFFF"/>
        </w:rPr>
        <w:t>přisoudit intervencím CSV?</w:t>
      </w:r>
    </w:p>
    <w:p w:rsidR="00A45935" w:rsidRPr="00C9522B" w:rsidRDefault="00A45935" w:rsidP="00547012">
      <w:pPr>
        <w:pStyle w:val="Hlistbullet"/>
      </w:pPr>
      <w:r>
        <w:rPr>
          <w:b/>
        </w:rPr>
        <w:t>Přiřazení inovací podpořených prostřednictvím PRV k CSV</w:t>
      </w:r>
      <w:r>
        <w:t>, zejména na základě posouzení toho, do jaké míry lze inovace podpořené prostřednictvím PRV spojit s činnostmi CSV. To znamená</w:t>
      </w:r>
      <w:r w:rsidR="00ED6DEF">
        <w:t>,</w:t>
      </w:r>
      <w:r>
        <w:t xml:space="preserve"> že účinky činností CSV na podporu inovací by měly být odděleny od účinků jiných zásahů v rámci PRV (jiná opatření atd.).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Navrhovaný přístup k zodpovězení společné hodnotící otázky č.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Intervenční logika </w:t>
      </w:r>
    </w:p>
    <w:p w:rsidR="00A45935" w:rsidRPr="00E05D08" w:rsidRDefault="00A45935" w:rsidP="00E05D08">
      <w:pPr>
        <w:spacing w:after="120" w:line="280" w:lineRule="atLeast"/>
        <w:mirrorIndents/>
        <w:rPr>
          <w:rFonts w:eastAsia="Times New Roman" w:cs="Times New Roman"/>
          <w:szCs w:val="20"/>
        </w:rPr>
      </w:pPr>
      <w:r>
        <w:t>Přístup PRV k inovacím stanovený při koncipování programu</w:t>
      </w:r>
      <w:r>
        <w:rPr>
          <w:rFonts w:eastAsia="Times New Roman" w:cs="Times New Roman"/>
          <w:szCs w:val="20"/>
          <w:vertAlign w:val="superscript"/>
          <w:lang w:eastAsia="de-DE"/>
        </w:rPr>
        <w:footnoteReference w:id="61"/>
      </w:r>
      <w:r>
        <w:t xml:space="preserve"> zahrnuje také CSV. Při přípravě hodnocení, které má být uvedeno ve výroční zprávě o provádění v roce 2019, se posoudí skupina akcí CSV zahrnutých do akčního plánu CSV z hlediska jejich potenciálu přispět k inovacím, a to stejným způsobem jako při posuzování opatření PRV. To se týká potenciálu CSV: a) identifikovat a sdílet nové nápady; b) budovat inovační kapacitu; c) vytvářet příznivé prostředí pro inovace. Následně se všechny činnosti provedené v rámci skupiny akcí CSV, jež vykázaly inovační potenciál, zahrnou do základní intervenční logiky CSV ve vztahu k inovacím.</w:t>
      </w:r>
    </w:p>
    <w:p w:rsidR="00A45935" w:rsidRPr="00E05D08" w:rsidRDefault="00A45935" w:rsidP="006E2A31">
      <w:pPr>
        <w:pStyle w:val="HStandard"/>
        <w:rPr>
          <w:b/>
          <w:sz w:val="16"/>
        </w:rPr>
      </w:pPr>
      <w:r>
        <w:t xml:space="preserve">Následující graf znázorňuje intervenční logiku CSV ve vztahu k inovacím, a jak ji lze rekonstruovat na základě stávající intervenční logiky CSV nebo akčního plánu CSV. </w:t>
      </w:r>
      <w:r>
        <w:br w:type="page"/>
      </w:r>
    </w:p>
    <w:p w:rsidR="00A45935" w:rsidRPr="00CB68D9" w:rsidRDefault="00A45935" w:rsidP="00676B41">
      <w:pPr>
        <w:pStyle w:val="HHeadingfigures"/>
      </w:pPr>
      <w:bookmarkStart w:id="119" w:name="_Toc508703637"/>
      <w:r>
        <w:lastRenderedPageBreak/>
        <w:t>Intervenční logika CSV ve vztahu k inovacím</w:t>
      </w:r>
      <w:bookmarkEnd w:id="119"/>
    </w:p>
    <w:p w:rsidR="00A45935" w:rsidRPr="00E05D08" w:rsidRDefault="002D5D91" w:rsidP="00E05D08">
      <w:pPr>
        <w:spacing w:before="240" w:after="120" w:line="280" w:lineRule="atLeast"/>
        <w:ind w:left="-142"/>
        <w:mirrorIndents/>
        <w:jc w:val="center"/>
        <w:rPr>
          <w:rFonts w:eastAsia="Times New Roman" w:cs="Times New Roman"/>
          <w:b/>
          <w:szCs w:val="20"/>
        </w:rPr>
      </w:pPr>
      <w:r w:rsidRPr="002D5D91">
        <w:rPr>
          <w:noProof/>
          <w:lang w:val="en-GB" w:eastAsia="en-GB"/>
        </w:rPr>
        <w:drawing>
          <wp:inline distT="0" distB="0" distL="0" distR="0" wp14:anchorId="521E7E0D" wp14:editId="76D68CB7">
            <wp:extent cx="5731510" cy="3661369"/>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661369"/>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Zdroj: evropská asistenční služba pro účely hodnocení politiky rozvoje venkova, 2017.</w:t>
      </w:r>
    </w:p>
    <w:p w:rsidR="00A45935" w:rsidRPr="00E05D08" w:rsidRDefault="00A45935" w:rsidP="00E05D08">
      <w:pPr>
        <w:spacing w:before="120" w:after="120" w:line="280" w:lineRule="atLeast"/>
        <w:mirrorIndents/>
        <w:rPr>
          <w:rFonts w:eastAsia="Times New Roman" w:cs="Times New Roman"/>
          <w:szCs w:val="20"/>
        </w:rPr>
      </w:pPr>
      <w:r>
        <w:t>Na základě grafu lze intervenční logiku CSV ve vztahu k inovacím rekonstruovat takto:</w:t>
      </w:r>
    </w:p>
    <w:p w:rsidR="00A45935" w:rsidRPr="00BC2432" w:rsidRDefault="00A45935" w:rsidP="00676B41">
      <w:pPr>
        <w:pStyle w:val="Hlistbullet"/>
      </w:pPr>
      <w:r>
        <w:rPr>
          <w:b/>
        </w:rPr>
        <w:t>KROK 1</w:t>
      </w:r>
      <w:r>
        <w:t xml:space="preserve">: Určit inovační potřeby území, na něž se PRV vztahuje, které lze řešit prostřednictvím sítí pro venkov. </w:t>
      </w:r>
    </w:p>
    <w:p w:rsidR="00A45935" w:rsidRPr="00BC2432" w:rsidRDefault="00A45935" w:rsidP="00676B41">
      <w:pPr>
        <w:pStyle w:val="Hlistbullet"/>
      </w:pPr>
      <w:r>
        <w:rPr>
          <w:b/>
        </w:rPr>
        <w:t>KROK 2:</w:t>
      </w:r>
      <w:r>
        <w:t xml:space="preserve"> Propojit činnosti uvedené v akčním plánu CSV (a předdefinované v regulačním rámci pro programové období 2014–2020</w:t>
      </w:r>
      <w:r>
        <w:rPr>
          <w:rFonts w:cs="Arial"/>
          <w:vertAlign w:val="superscript"/>
        </w:rPr>
        <w:footnoteReference w:id="62"/>
      </w:r>
      <w:r>
        <w:t xml:space="preserve">) se třemi scénáři a následně s celkovým cílem podpory inovací prostřednictvím CSV (stanoveným na základě analýzy inovačního potenciálu opatření – viz </w:t>
      </w:r>
      <w:hyperlink w:anchor="Screening_Potential" w:history="1">
        <w:r>
          <w:rPr>
            <w:rStyle w:val="Hyperlink"/>
            <w:sz w:val="20"/>
          </w:rPr>
          <w:t>oddíl 2.2</w:t>
        </w:r>
      </w:hyperlink>
      <w:r>
        <w:t>).</w:t>
      </w:r>
    </w:p>
    <w:p w:rsidR="00A45935" w:rsidRPr="00BC2432" w:rsidRDefault="00A45935" w:rsidP="00676B41">
      <w:pPr>
        <w:pStyle w:val="Hlistbullet"/>
      </w:pPr>
      <w:r>
        <w:rPr>
          <w:b/>
        </w:rPr>
        <w:t>KROK 3:</w:t>
      </w:r>
      <w:r>
        <w:t xml:space="preserve"> Použít teorii změny k vymezení očekávaných výstupů vytvořených prostřednictvím činností, jež vedou k očekávaným výsledkům souvisejícím se třemi scénáři. Dopady související se společnými cíli CSV a cíli PRV.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Prvky hodnocení </w:t>
      </w:r>
    </w:p>
    <w:p w:rsidR="00A45935" w:rsidRPr="00E05D08" w:rsidRDefault="00A45935" w:rsidP="00676B41">
      <w:pPr>
        <w:spacing w:after="120" w:line="280" w:lineRule="atLeast"/>
        <w:ind w:left="142"/>
        <w:mirrorIndents/>
        <w:rPr>
          <w:rFonts w:eastAsia="Times New Roman" w:cs="Times New Roman"/>
          <w:szCs w:val="20"/>
        </w:rPr>
      </w:pPr>
      <w:r>
        <w:t>Existuje jedno hodnotící kritérium pro zodpovězení společné hodnotící otázky č. 21, a sice „CSV podpořila inovace v zemědělství, produkci potravin, lesnictví a venkovských oblastech“</w:t>
      </w:r>
      <w:r>
        <w:rPr>
          <w:rFonts w:eastAsia="Times New Roman" w:cs="Times New Roman"/>
          <w:szCs w:val="20"/>
          <w:vertAlign w:val="superscript"/>
          <w:lang w:eastAsia="de-DE"/>
        </w:rPr>
        <w:footnoteReference w:id="63"/>
      </w:r>
      <w:r>
        <w:t>. Toto kritérium je podpořeno dvěma společnými ukazateli výstupů</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Počet tematických a analytických výměn s podporou CSV (O.24)</w:t>
      </w:r>
    </w:p>
    <w:p w:rsidR="00A45935" w:rsidRPr="005D0347" w:rsidRDefault="00A45935" w:rsidP="008C0B17">
      <w:pPr>
        <w:numPr>
          <w:ilvl w:val="0"/>
          <w:numId w:val="95"/>
        </w:numPr>
        <w:tabs>
          <w:tab w:val="left" w:pos="426"/>
        </w:tabs>
        <w:ind w:left="426" w:hanging="284"/>
        <w:mirrorIndents/>
        <w:rPr>
          <w:szCs w:val="20"/>
        </w:rPr>
      </w:pPr>
      <w:r>
        <w:t>Počet činností Evropské sítě pro rozvoj venkova, jichž se CSV zúčastnila (O.26)</w:t>
      </w:r>
    </w:p>
    <w:p w:rsidR="00A45935" w:rsidRPr="00E05D08" w:rsidRDefault="00A45935" w:rsidP="00E05D08">
      <w:pPr>
        <w:spacing w:after="120" w:line="280" w:lineRule="atLeast"/>
        <w:mirrorIndents/>
        <w:rPr>
          <w:rFonts w:eastAsia="Times New Roman" w:cs="Times New Roman"/>
          <w:szCs w:val="20"/>
        </w:rPr>
      </w:pPr>
      <w:r>
        <w:t>Dodatečná hodnotící kritéria a ukazatele jsou navrženy v tabulce 5. Za tímto účelem bylo stávající hodnotící kritérium rozděleno do několika kritérií podle tří scénářů inovací.</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703606"/>
      <w:r>
        <w:rPr>
          <w:color w:val="6F6F6F"/>
          <w:sz w:val="18"/>
          <w:szCs w:val="18"/>
        </w:rPr>
        <w:lastRenderedPageBreak/>
        <w:t>Navrhovaná dodatečná hodnotící kritéria, ukazatele a údaje pro zodpovězení společné hodnotící otázky č.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Hodnotící kritéria</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Ukazatele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Potřebné údaje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Zdroje údajů</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Společné prvky hodnocení (společný systém monitorování a hodnocení a prvky navržené v pracovním dokumentu „</w:t>
            </w:r>
            <w:r>
              <w:rPr>
                <w:b/>
                <w:i/>
                <w:color w:val="FFFFFF"/>
                <w:sz w:val="18"/>
                <w:szCs w:val="18"/>
              </w:rPr>
              <w:t>Společné hodnotící otázky pro programy rozvoje venkova 2014–2020</w:t>
            </w:r>
            <w:r>
              <w:rPr>
                <w:b/>
                <w:color w:val="FFFFFF"/>
                <w:sz w:val="18"/>
                <w:szCs w:val="18"/>
              </w:rPr>
              <w: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VCS podpořila inovace v zemědělství, produkci potravin, lesnictví a venkovských oblastech.</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Počet tematických a analytických výměn uskutečněných s podporou CSV (týkajících se inovací).</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Počet komunikačních nástrojů CSV (týkajících se inovací).</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Počet činností Evropské sítě pro rozvoj venkova, jichž se CSV zúčastnila (týkajících se inovací).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Dodatečný ukazatel:</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 inovativních projektů s podporou CSV z celkového počtu inovativních projektů podpořených z PRV.</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Údaje o inovativních tematických a analytických výměnách, jež zavedla CSV.</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Údaje o komunikačních nástrojích týkajících se inovací, jež zřídila CSV.</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Informace o činnostech Evropské sítě pro rozvoj venkova týkajících se inovací, jichž se CSV zúčastnila.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Údaje o inovativních projektech PRV, jež CSV iniciovala/podpořila.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Systém monitorování PRV.</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Monitorování a sebehodnocení CSV.</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Monitorování v rámci Evropské sítě pro rozvoj venkova (síťové statistiky).</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Dodatečné prvky hodnocení související s přispěním CSV k identifikaci a sdílení inovací (nepovinné)</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Propagační, informační a komunikační činnosti prováděné CSV a týkající se inovací v rámci PRV se zvýšily.</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propagačních, informačních a komunikačních činností týkajících se inovací a provedených CSV.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propagačních, informačních a komunikačních činností, podle témat.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Monitorování a sebehodnocení CSV.</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Rozhovory.</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Publikace CSV.</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Hodnotící kritéria</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Ukazatele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Potřebné údaje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Zdroje údajů</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Dodatečné prvky hodnocení související s přispěním CSV k inovační kapacitě (nepovinné)</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Činnosti CSV v oblasti odborné přípravy a vytváření sítí pro: a) poradce a služby na podporu inovací nebo b) místních akčních skupin.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činností CSV v oblasti odborné přípravy a vytváření sítí pro: a) poradce a služby na podporu inovací nebo b) místních akčních skupin.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činností v oblasti odborné přípravy a vytváření sítí, podle cílové skupiny.</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CSV (monitorování, sebehodnocení, rozhovory, publikace).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Místní akční skupiny (rozhovory, průzkumy, tematicky zaměřené skupiny).</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Schopnost poradců a služeb na podporu inovací usnadňovat zakládání operačních skupin se v důsledku činností CSV zlepšila.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operačních skupin, jež byly zřízeny s podporou poradců / služeb na podporu inovací, kterým CSV poskytla odbornou přípravu / činnosti při vytváření sítí.</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operačních skupin zřízených s podporou poradců / služeb na podporu inovací.</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operačních skupin zřízených s podporou poradců / skupin na podporu inovací, kterým CSV poskytla odbornou přípravu / činnosti při vytváření sítí.</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CSV (monitorování, sebehodnocení, rozhovory, publikace).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Průzkumy / tematicky zaměřené skupiny s operačními skupinami.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Průzkumy / tematicky zaměřené skupiny s poradci (službami na podporu inovací)..</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Dodatečné prvky hodnocení související s přispěním CSV k budování příznivého prostředí pro inovace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Účast CSV na činnostech Evropské sítě pro rozvoj venkova týkajících se inovací se zvýšila.</w:t>
            </w:r>
          </w:p>
        </w:tc>
        <w:tc>
          <w:tcPr>
            <w:tcW w:w="3508" w:type="dxa"/>
          </w:tcPr>
          <w:p w:rsidR="00A45935" w:rsidRPr="00385368" w:rsidRDefault="00A45935" w:rsidP="00F83504">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Počet činností Evropské sítě pro rozvoj venkova, jichž se CSV zúčastnila (O.26), z toho činností týkajících se inovačních témat. </w:t>
            </w:r>
          </w:p>
        </w:tc>
        <w:tc>
          <w:tcPr>
            <w:tcW w:w="3508" w:type="dxa"/>
          </w:tcPr>
          <w:p w:rsidR="00A45935" w:rsidRPr="00385368" w:rsidRDefault="00A45935" w:rsidP="00F83504">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činností Evropské sítě pro rozvoj venkova, jichž se CSV zúčastnila (datová položka O.26), podle témat:</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Tabulky vzniklé na základě monitorování.</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CSV (monitorování, sebehodnocení, rozhovory, publikace).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Účast CSV na činnostech EIP se zvýšila.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druh přispění CSV k EIP-AGRI, z toho:</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poskytování příkladů projektů / osvědčených postupů zaměřených na inovace;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organizace setkání týkajících se inovací;</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akce pro navazování kontaktů mezi inovačními zúčastněnými stranami, </w:t>
            </w:r>
            <w:r>
              <w:rPr>
                <w:sz w:val="18"/>
                <w:szCs w:val="18"/>
                <w14:textFill>
                  <w14:solidFill>
                    <w14:srgbClr w14:val="373737">
                      <w14:lumMod w14:val="75000"/>
                    </w14:srgbClr>
                  </w14:solidFill>
                </w14:textFill>
              </w:rPr>
              <w:lastRenderedPageBreak/>
              <w:t>konkrétně místními akčními skupinami a operačními skupinami;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přeshraniční výměny informací o projektech, iniciativy v oblasti výzkumu, tematické sítě a možnosti financování v rámci programu Horizont 2020;</w:t>
            </w:r>
          </w:p>
          <w:p w:rsidR="00A45935" w:rsidRPr="00385368" w:rsidRDefault="00F83504"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č</w:t>
            </w:r>
            <w:r w:rsidR="00A45935">
              <w:rPr>
                <w:sz w:val="18"/>
                <w:szCs w:val="18"/>
                <w14:textFill>
                  <w14:solidFill>
                    <w14:srgbClr w14:val="373737">
                      <w14:lumMod w14:val="75000"/>
                    </w14:srgbClr>
                  </w14:solidFill>
                </w14:textFill>
              </w:rPr>
              <w:t>innosti podpory pro služby na podporu inovací při oživování inovativních akcí a zakládání operačních skupin;</w:t>
            </w:r>
          </w:p>
          <w:p w:rsidR="00A45935" w:rsidRPr="00E05D08" w:rsidRDefault="00F83504"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w:t>
            </w:r>
            <w:r w:rsidR="00A45935">
              <w:rPr>
                <w:sz w:val="18"/>
                <w:szCs w:val="18"/>
                <w14:textFill>
                  <w14:solidFill>
                    <w14:srgbClr w14:val="373737">
                      <w14:lumMod w14:val="75000"/>
                    </w14:srgbClr>
                  </w14:solidFill>
                </w14:textFill>
              </w:rPr>
              <w:t>omoc při vyhledávání partnerů.</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Počet přispění CSV k EIP podle druhů, jak stanoví čl. 35 odst. 2 písm. a) až f) nařízení (EU) č.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CSV (monitorování, sebehodnocení, rozhovory, publikace).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Síťová struktura pro poskytování služeb na podporu inovací na úrovni členského státu (je-li oddělená od CSV).</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Středisko služeb EIP.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Průzkum / tematicky zaměřená skupina s projekty operačních skupin.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Zvýšená spolupráce, výměna a vytváření sítí mezi partnery inovačních projektů.</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Počet dalších sítí / partnerství / kooperativních uskupení partnerů inovačních projektů podpořených CSV.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sítí, partnerství nebo kooperativních uskupení partnerů inovačních projektů, které byly podpořeny CSV.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Databáze CSV.</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Průzkumy / tematicky zaměřené skupiny.</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Navrhovaná metodika hodnocení </w:t>
      </w:r>
    </w:p>
    <w:p w:rsidR="00A45935" w:rsidRPr="00E05D08" w:rsidRDefault="00A45935" w:rsidP="00E05D08">
      <w:pPr>
        <w:spacing w:after="120" w:line="280" w:lineRule="atLeast"/>
        <w:mirrorIndents/>
        <w:rPr>
          <w:rFonts w:eastAsia="Times New Roman" w:cs="Arial"/>
          <w:szCs w:val="20"/>
        </w:rPr>
      </w:pPr>
      <w:r>
        <w:t>K zodpovězení společné hodnotící otázky č. 21 doporučujeme tyto kroky:</w:t>
      </w:r>
    </w:p>
    <w:p w:rsidR="00A45935" w:rsidRPr="007707EC" w:rsidRDefault="00A45935" w:rsidP="00676B41">
      <w:pPr>
        <w:pStyle w:val="Hlistbullet"/>
      </w:pPr>
      <w:r>
        <w:rPr>
          <w:b/>
        </w:rPr>
        <w:t>KROK 1: Shromáždit informace pro určení přispění CSV k podpoře inovací</w:t>
      </w:r>
      <w:r>
        <w:t xml:space="preserve"> od zúčastněných stran zapojených do akcí CSV, jež mají inovační potenciál. To lze provést pomocí hodnotících kritérií a ukazatelů a použitím metod, jež jsou uvedeny níže v tabulce 6.</w:t>
      </w:r>
    </w:p>
    <w:p w:rsidR="00A45935" w:rsidRPr="007707EC" w:rsidRDefault="00A45935" w:rsidP="00676B41">
      <w:pPr>
        <w:pStyle w:val="Hlistbullet"/>
      </w:pPr>
      <w:r>
        <w:rPr>
          <w:b/>
        </w:rPr>
        <w:t>KROK 2: Kvantifikovat ukazatele výstupů a ukazatele specifické pro CSV týkající se inovací</w:t>
      </w:r>
      <w:r>
        <w:t xml:space="preserve"> s použitím údajů o monitorování činností CSV získaných z databáze operací PRV a z monitorovacího systému CSV. </w:t>
      </w:r>
    </w:p>
    <w:p w:rsidR="00A45935" w:rsidRPr="007707EC" w:rsidRDefault="00A45935" w:rsidP="00676B41">
      <w:pPr>
        <w:pStyle w:val="Hlistbullet"/>
      </w:pPr>
      <w:r>
        <w:rPr>
          <w:b/>
        </w:rPr>
        <w:t>KROK 3: Použít teorii změny pro porovnání inovačního potenciálu</w:t>
      </w:r>
      <w:r>
        <w:t xml:space="preserve"> činností CSV, který byl určen na začátku procesu hodnocení, se zjištěními o provedených činnostech CSV. To zahrnuje vypracování časové osy příčinných souvislostí a slovního popisu výsledků činností CSV v souvislosti se scénáři inovací, a jak se k nim dospělo (také s použitím informací z monitorovacího systému).</w:t>
      </w:r>
      <w:r>
        <w:rPr>
          <w:b/>
        </w:rPr>
        <w:t xml:space="preserve"> Ověřit</w:t>
      </w:r>
      <w:r>
        <w:t xml:space="preserve"> výše uvedené pomocí triangulačních technik.</w:t>
      </w:r>
    </w:p>
    <w:p w:rsidR="00A45935" w:rsidRPr="007707EC" w:rsidRDefault="00A45935" w:rsidP="00676B41">
      <w:pPr>
        <w:pStyle w:val="Hlistbullet"/>
      </w:pPr>
      <w:r>
        <w:rPr>
          <w:b/>
        </w:rPr>
        <w:t xml:space="preserve">KROK 4: </w:t>
      </w:r>
      <w:r>
        <w:t>Pomocí Likertovy škály</w:t>
      </w:r>
      <w:r>
        <w:rPr>
          <w:rFonts w:cs="Arial"/>
          <w:vertAlign w:val="superscript"/>
        </w:rPr>
        <w:footnoteReference w:id="65"/>
      </w:r>
      <w:r>
        <w:t xml:space="preserve"> </w:t>
      </w:r>
      <w:r>
        <w:rPr>
          <w:b/>
        </w:rPr>
        <w:t>zodpovědět společnou hodnotící otázku na základě hodnocení toho, do jaké míry přispěla CSV k podpoře inovací</w:t>
      </w:r>
      <w:r>
        <w:t xml:space="preserve"> prostřednictvím různých skupin činností. Hodnotitel by rovněž měl posoudit úroveň důvěry zúčastněných stran, s nimiž byl proveden průzkum/rozhovor k těmto zjištěním, a to na podobné pětibodové stupnici. Udělené ratingy se musí zdůvodnit.</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50ACAF5" wp14:editId="58084B3F">
                <wp:extent cx="5828030" cy="3045416"/>
                <wp:effectExtent l="0" t="0" r="20320" b="22225"/>
                <wp:docPr id="550" name="Rectangle: Diagonal Corners Rounded 550"/>
                <wp:cNvGraphicFramePr/>
                <a:graphic xmlns:a="http://schemas.openxmlformats.org/drawingml/2006/main">
                  <a:graphicData uri="http://schemas.microsoft.com/office/word/2010/wordprocessingShape">
                    <wps:wsp>
                      <wps:cNvSpPr/>
                      <wps:spPr>
                        <a:xfrm>
                          <a:off x="0" y="0"/>
                          <a:ext cx="5828030" cy="3045416"/>
                        </a:xfrm>
                        <a:prstGeom prst="round2DiagRect">
                          <a:avLst>
                            <a:gd name="adj1" fmla="val 6942"/>
                            <a:gd name="adj2" fmla="val 0"/>
                          </a:avLst>
                        </a:prstGeom>
                        <a:noFill/>
                        <a:ln w="25400" cap="flat" cmpd="sng" algn="ctr">
                          <a:solidFill>
                            <a:srgbClr val="F07E31"/>
                          </a:solidFill>
                          <a:prstDash val="solid"/>
                        </a:ln>
                        <a:effectLst/>
                      </wps:spPr>
                      <wps:txbx>
                        <w:txbxContent>
                          <w:p w:rsidR="005716B0" w:rsidRPr="00E05D08" w:rsidRDefault="005716B0"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Příklady z výročních zpráv o provádění předložených v roce 2017</w:t>
                            </w:r>
                          </w:p>
                          <w:p w:rsidR="005716B0" w:rsidRPr="00EF653F" w:rsidRDefault="005716B0" w:rsidP="00E05D08">
                            <w:pPr>
                              <w:pStyle w:val="HStandard"/>
                              <w:rPr>
                                <w:sz w:val="18"/>
                                <w:szCs w:val="18"/>
                              </w:rPr>
                            </w:pPr>
                            <w:r>
                              <w:rPr>
                                <w:b/>
                                <w:sz w:val="18"/>
                                <w:szCs w:val="18"/>
                              </w:rPr>
                              <w:t>Česká republika</w:t>
                            </w:r>
                            <w:r>
                              <w:rPr>
                                <w:sz w:val="18"/>
                                <w:szCs w:val="18"/>
                              </w:rPr>
                              <w:t xml:space="preserve"> – zmiňuje případové studie založené na informacích shromážděných od příjemců inovačních projektů. Navrhuje sledovat údaje o inovačních projektech pro ukazatele výstupu O.24 a O.25 prostřednictvím databáze operací a použít je při hodnocení v roce 2019:</w:t>
                            </w:r>
                          </w:p>
                          <w:p w:rsidR="005716B0" w:rsidRPr="00EF653F" w:rsidRDefault="005716B0" w:rsidP="008C0B17">
                            <w:pPr>
                              <w:pStyle w:val="HStandard"/>
                              <w:numPr>
                                <w:ilvl w:val="0"/>
                                <w:numId w:val="49"/>
                              </w:numPr>
                              <w:tabs>
                                <w:tab w:val="left" w:pos="5702"/>
                              </w:tabs>
                              <w:ind w:left="567" w:hanging="567"/>
                              <w:rPr>
                                <w:sz w:val="18"/>
                                <w:szCs w:val="18"/>
                              </w:rPr>
                            </w:pPr>
                            <w:r>
                              <w:rPr>
                                <w:sz w:val="18"/>
                                <w:szCs w:val="18"/>
                              </w:rPr>
                              <w:t xml:space="preserve">O.24 – Počet tematických a analytických výměn mezi zúčastněnými stranami zapojenými do rozvoje venkova zřízených s podporou CSV – výměny zaměřené na poradce a služby podporující inovace. </w:t>
                            </w:r>
                          </w:p>
                          <w:p w:rsidR="005716B0" w:rsidRPr="00EF653F" w:rsidRDefault="005716B0" w:rsidP="008C0B17">
                            <w:pPr>
                              <w:pStyle w:val="HStandard"/>
                              <w:numPr>
                                <w:ilvl w:val="0"/>
                                <w:numId w:val="49"/>
                              </w:numPr>
                              <w:tabs>
                                <w:tab w:val="left" w:pos="5702"/>
                              </w:tabs>
                              <w:ind w:left="567" w:hanging="567"/>
                              <w:rPr>
                                <w:sz w:val="18"/>
                                <w:szCs w:val="18"/>
                              </w:rPr>
                            </w:pPr>
                            <w:r>
                              <w:rPr>
                                <w:sz w:val="18"/>
                                <w:szCs w:val="18"/>
                              </w:rPr>
                              <w:t>O.25 – Počet komunikačních nástrojů CSV zaměřených na poradce a služby podporující inovace.</w:t>
                            </w:r>
                          </w:p>
                          <w:p w:rsidR="005716B0" w:rsidRDefault="005716B0" w:rsidP="00E05D08">
                            <w:pPr>
                              <w:pStyle w:val="HStandard"/>
                              <w:rPr>
                                <w:sz w:val="18"/>
                                <w:szCs w:val="18"/>
                              </w:rPr>
                            </w:pPr>
                            <w:r>
                              <w:rPr>
                                <w:b/>
                                <w:sz w:val="18"/>
                                <w:szCs w:val="18"/>
                              </w:rPr>
                              <w:t>Slovensko</w:t>
                            </w:r>
                            <w:r>
                              <w:rPr>
                                <w:sz w:val="18"/>
                                <w:szCs w:val="18"/>
                              </w:rPr>
                              <w:t xml:space="preserve"> – popisuje rozhovory se zapojenými aktéry (CSV a účastníci činností CSV) za účelem shromáždění údajů pro dodatečné ukazatele. Podíl (%) inovativních projektů podpořených CSV na celkovém počtu inovativních projektů podpořených z PRV. </w:t>
                            </w:r>
                          </w:p>
                          <w:p w:rsidR="005716B0" w:rsidRPr="00ED3BAD" w:rsidRDefault="005716B0" w:rsidP="00E05D08">
                            <w:pPr>
                              <w:pStyle w:val="HStandard"/>
                              <w:rPr>
                                <w:sz w:val="18"/>
                                <w:szCs w:val="18"/>
                              </w:rPr>
                            </w:pPr>
                            <w:r>
                              <w:rPr>
                                <w:b/>
                                <w:sz w:val="18"/>
                                <w:szCs w:val="18"/>
                              </w:rPr>
                              <w:t>Castilla y León</w:t>
                            </w:r>
                            <w:r>
                              <w:rPr>
                                <w:sz w:val="18"/>
                                <w:szCs w:val="18"/>
                              </w:rPr>
                              <w:t xml:space="preserve"> </w:t>
                            </w:r>
                            <w:r>
                              <w:rPr>
                                <w:b/>
                                <w:sz w:val="18"/>
                                <w:szCs w:val="18"/>
                              </w:rPr>
                              <w:t>(ES)</w:t>
                            </w:r>
                            <w:r>
                              <w:rPr>
                                <w:sz w:val="18"/>
                                <w:szCs w:val="18"/>
                              </w:rPr>
                              <w:t xml:space="preserve"> – doporučuje do systému monitorování zavést ukazatel, který měří počet účastníků v projektech provedených v rámci opatření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39.8pt;visibility:visible;mso-wrap-style:square;mso-left-percent:-10001;mso-top-percent:-10001;mso-position-horizontal:absolute;mso-position-horizontal-relative:char;mso-position-vertical:absolute;mso-position-vertical-relative:line;mso-left-percent:-10001;mso-top-percent:-10001;v-text-anchor:middle" coordsize="5828030,3045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" adj="-11796480,,5400" path="m211413,l5828030,r,l5828030,2834003v,116760,-94653,211413,-211413,211413l,3045416r,l,211413c,94653,94653,,211413,xe" filled="f" strokecolor="#f07e31" strokeweight="2pt">
                <v:stroke joinstyle="miter"/>
                <v:formulas/>
                <v:path arrowok="t" o:connecttype="custom" o:connectlocs="211413,0;5828030,0;5828030,0;5828030,2834003;5616617,3045416;0,3045416;0,3045416;0,211413;211413,0" o:connectangles="0,0,0,0,0,0,0,0,0" textboxrect="0,0,5828030,3045416"/>
                <v:textbox>
                  <w:txbxContent>
                    <w:p w:rsidR="005716B0" w:rsidRPr="00E05D08" w:rsidRDefault="005716B0"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Příklady z výročních zpráv o provádění předložených v roce 2017</w:t>
                      </w:r>
                    </w:p>
                    <w:p w:rsidR="005716B0" w:rsidRPr="00EF653F" w:rsidRDefault="005716B0" w:rsidP="00E05D08">
                      <w:pPr>
                        <w:pStyle w:val="HStandard"/>
                        <w:rPr>
                          <w:sz w:val="18"/>
                          <w:szCs w:val="18"/>
                        </w:rPr>
                      </w:pPr>
                      <w:r>
                        <w:rPr>
                          <w:b/>
                          <w:sz w:val="18"/>
                          <w:szCs w:val="18"/>
                        </w:rPr>
                        <w:t>Česká republika</w:t>
                      </w:r>
                      <w:r>
                        <w:rPr>
                          <w:sz w:val="18"/>
                          <w:szCs w:val="18"/>
                        </w:rPr>
                        <w:t xml:space="preserve"> – zmiňuje případové studie založené na informacích shromážděných od příjemců inovačních projektů. Navrhuje sledovat údaje o inovačních projektech pro ukazatele výstupu O.24 a O.25 prostřednictvím databáze operací a použít je při hodnocení v roce 2019:</w:t>
                      </w:r>
                    </w:p>
                    <w:p w:rsidR="005716B0" w:rsidRPr="00EF653F" w:rsidRDefault="005716B0" w:rsidP="008C0B17">
                      <w:pPr>
                        <w:pStyle w:val="HStandard"/>
                        <w:numPr>
                          <w:ilvl w:val="0"/>
                          <w:numId w:val="49"/>
                        </w:numPr>
                        <w:tabs>
                          <w:tab w:val="left" w:pos="5702"/>
                        </w:tabs>
                        <w:ind w:left="567" w:hanging="567"/>
                        <w:rPr>
                          <w:sz w:val="18"/>
                          <w:szCs w:val="18"/>
                        </w:rPr>
                      </w:pPr>
                      <w:r>
                        <w:rPr>
                          <w:sz w:val="18"/>
                          <w:szCs w:val="18"/>
                        </w:rPr>
                        <w:t xml:space="preserve">O.24 – Počet tematických a analytických výměn mezi zúčastněnými stranami zapojenými do rozvoje venkova zřízených s podporou CSV – výměny zaměřené na poradce a služby podporující inovace. </w:t>
                      </w:r>
                    </w:p>
                    <w:p w:rsidR="005716B0" w:rsidRPr="00EF653F" w:rsidRDefault="005716B0" w:rsidP="008C0B17">
                      <w:pPr>
                        <w:pStyle w:val="HStandard"/>
                        <w:numPr>
                          <w:ilvl w:val="0"/>
                          <w:numId w:val="49"/>
                        </w:numPr>
                        <w:tabs>
                          <w:tab w:val="left" w:pos="5702"/>
                        </w:tabs>
                        <w:ind w:left="567" w:hanging="567"/>
                        <w:rPr>
                          <w:sz w:val="18"/>
                          <w:szCs w:val="18"/>
                        </w:rPr>
                      </w:pPr>
                      <w:r>
                        <w:rPr>
                          <w:sz w:val="18"/>
                          <w:szCs w:val="18"/>
                        </w:rPr>
                        <w:t>O.25 – Počet komunikačních nástrojů CSV zaměřených na poradce a služby podporující inovace.</w:t>
                      </w:r>
                    </w:p>
                    <w:p w:rsidR="005716B0" w:rsidRDefault="005716B0" w:rsidP="00E05D08">
                      <w:pPr>
                        <w:pStyle w:val="HStandard"/>
                        <w:rPr>
                          <w:sz w:val="18"/>
                          <w:szCs w:val="18"/>
                        </w:rPr>
                      </w:pPr>
                      <w:r>
                        <w:rPr>
                          <w:b/>
                          <w:sz w:val="18"/>
                          <w:szCs w:val="18"/>
                        </w:rPr>
                        <w:t>Slovensko</w:t>
                      </w:r>
                      <w:r>
                        <w:rPr>
                          <w:sz w:val="18"/>
                          <w:szCs w:val="18"/>
                        </w:rPr>
                        <w:t xml:space="preserve"> – popisuje rozhovory se zapojenými aktéry (CSV a účastníci činností CSV) za účelem shromáždění údajů pro dodatečné ukazatele. Podíl (%) inovativních projektů podpořených CSV na celkovém počtu inovativních projektů podpořených z PRV. </w:t>
                      </w:r>
                    </w:p>
                    <w:p w:rsidR="005716B0" w:rsidRPr="00ED3BAD" w:rsidRDefault="005716B0" w:rsidP="00E05D08">
                      <w:pPr>
                        <w:pStyle w:val="HStandard"/>
                        <w:rPr>
                          <w:sz w:val="18"/>
                          <w:szCs w:val="18"/>
                        </w:rPr>
                      </w:pPr>
                      <w:r>
                        <w:rPr>
                          <w:b/>
                          <w:sz w:val="18"/>
                          <w:szCs w:val="18"/>
                        </w:rPr>
                        <w:t>Castilla y León</w:t>
                      </w:r>
                      <w:r>
                        <w:rPr>
                          <w:sz w:val="18"/>
                          <w:szCs w:val="18"/>
                        </w:rPr>
                        <w:t xml:space="preserve"> </w:t>
                      </w:r>
                      <w:r>
                        <w:rPr>
                          <w:b/>
                          <w:sz w:val="18"/>
                          <w:szCs w:val="18"/>
                        </w:rPr>
                        <w:t>(ES)</w:t>
                      </w:r>
                      <w:r>
                        <w:rPr>
                          <w:sz w:val="18"/>
                          <w:szCs w:val="18"/>
                        </w:rPr>
                        <w:t xml:space="preserve"> – doporučuje do systému monitorování zavést ukazatel, který měří počet účastníků v projektech provedených v rámci opatření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Podrobný popis metod a nástrojů pro hodnocení CSV poskytují pokyny</w:t>
      </w:r>
      <w:r>
        <w:rPr>
          <w:i/>
          <w:szCs w:val="20"/>
        </w:rPr>
        <w:t xml:space="preserve"> </w:t>
      </w:r>
      <w:hyperlink r:id="rId63" w:history="1">
        <w:r>
          <w:rPr>
            <w:rStyle w:val="Hyperlink"/>
            <w:sz w:val="20"/>
            <w:szCs w:val="20"/>
          </w:rPr>
          <w:t>Hodnocení CSV 2014–2020</w:t>
        </w:r>
      </w:hyperlink>
      <w:r>
        <w:rPr>
          <w:rFonts w:eastAsia="Times New Roman" w:cs="Times New Roman"/>
          <w:szCs w:val="20"/>
          <w:vertAlign w:val="superscript"/>
          <w:lang w:eastAsia="de-DE"/>
        </w:rPr>
        <w:footnoteReference w:id="66"/>
      </w:r>
      <w:r>
        <w:t xml:space="preserve">. Navrhují použít smíšený přístup kombinující kvalitativní a kvantitativní metody. Sem patří průzkumy, metody založené na dialogu, analytické metody a diagnostické metody. </w:t>
      </w:r>
    </w:p>
    <w:p w:rsidR="00A45935" w:rsidRPr="00E05D08" w:rsidRDefault="00A45935" w:rsidP="00E05D08">
      <w:pPr>
        <w:spacing w:after="120" w:line="280" w:lineRule="atLeast"/>
        <w:mirrorIndents/>
        <w:rPr>
          <w:rFonts w:eastAsia="Times New Roman" w:cs="Times New Roman"/>
          <w:szCs w:val="20"/>
        </w:rPr>
      </w:pPr>
      <w:r>
        <w:t>Následující tabulka poskytuje stručný přehled metod pro zodpovězení společné hodnotící otázky č. 21 v souvislosti s inovačním cílem CSV stanoveným pod písmenem d). Plný popis těchto metod lze nalézt v pokynech</w:t>
      </w:r>
      <w:r>
        <w:rPr>
          <w:i/>
          <w:szCs w:val="20"/>
        </w:rPr>
        <w:t xml:space="preserve"> </w:t>
      </w:r>
      <w:hyperlink r:id="rId64" w:history="1">
        <w:r>
          <w:rPr>
            <w:rStyle w:val="Hyperlink"/>
            <w:sz w:val="20"/>
            <w:szCs w:val="20"/>
          </w:rPr>
          <w:t>Hodnocení CSV 2014–2020</w:t>
        </w:r>
      </w:hyperlink>
      <w:r>
        <w:t>.</w:t>
      </w:r>
    </w:p>
    <w:p w:rsidR="00A45935" w:rsidRPr="00E05D08" w:rsidRDefault="00A45935" w:rsidP="00B421B9">
      <w:pPr>
        <w:pStyle w:val="HHeading1"/>
        <w:rPr>
          <w:b w:val="0"/>
          <w:color w:val="373737"/>
          <w:sz w:val="16"/>
        </w:rPr>
        <w:sectPr w:rsidR="00A45935" w:rsidRPr="00E05D08" w:rsidSect="001F6F07">
          <w:headerReference w:type="first" r:id="rId65"/>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br w:type="page"/>
      </w:r>
    </w:p>
    <w:p w:rsidR="00A45935" w:rsidRPr="00D57D0A" w:rsidRDefault="00A45935" w:rsidP="00D57D0A">
      <w:pPr>
        <w:pStyle w:val="HHeadingtables"/>
        <w:rPr>
          <w:color w:val="6F6F6F"/>
          <w:sz w:val="18"/>
          <w:szCs w:val="18"/>
        </w:rPr>
      </w:pPr>
      <w:bookmarkStart w:id="121" w:name="_Toc508703607"/>
      <w:r>
        <w:rPr>
          <w:color w:val="6F6F6F"/>
          <w:sz w:val="18"/>
          <w:szCs w:val="18"/>
        </w:rPr>
        <w:lastRenderedPageBreak/>
        <w:t>Doporučené metody pro společnou hodnotící otázku č.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Metoda</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Tipy pro použití každé z uvedených metod pro zodpovězení společné hodnotící otázky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Průzkumy</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Lze je použít k shromažďování údajů a informací o inovacích, které nejsou v databázích vzniklých při monitorování, zejména v souvislosti s dodatečnými ukazateli.</w:t>
            </w:r>
          </w:p>
          <w:p w:rsidR="00A45935" w:rsidRPr="00385368" w:rsidRDefault="00A45935" w:rsidP="00E05D08">
            <w:pPr>
              <w:spacing w:after="120" w:line="280" w:lineRule="atLeast"/>
              <w:rPr>
                <w:rFonts w:eastAsia="Calibri" w:cs="Arial"/>
                <w:sz w:val="18"/>
                <w:szCs w:val="18"/>
              </w:rPr>
            </w:pPr>
            <w:r>
              <w:rPr>
                <w:sz w:val="18"/>
                <w:szCs w:val="18"/>
              </w:rPr>
              <w:t>Průzkumy lze provádět u CSV, operačních skupin EIP, příjemců projektů a dalších zúčastněných stran zapojených do inovací.</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Tematicky zaměřené skupiny (metoda založená na dialogu)</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Používají se jako prostředek v rámci metod hodnocení založených na dialogu a pro účely společné hodnotící otázky č. 21 je lze uspořádat takto:</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Ve dvoustupňové architektuře vytvoření tematicky zaměřených skupin na různých úrovních (tj. poradci / služby na podporu inovací a místní akční skupiny). Na obou úrovních může CSV poskytovat odbornou přípravu a vyvíjet činnosti při vytváření sítí. </w:t>
            </w:r>
          </w:p>
          <w:p w:rsidR="00A45935" w:rsidRPr="00385368" w:rsidRDefault="00A45935" w:rsidP="008C0B17">
            <w:pPr>
              <w:numPr>
                <w:ilvl w:val="0"/>
                <w:numId w:val="40"/>
              </w:numPr>
              <w:spacing w:before="60" w:after="120" w:line="280" w:lineRule="atLeast"/>
              <w:ind w:left="317"/>
              <w:rPr>
                <w:rFonts w:cs="Arial"/>
                <w:sz w:val="18"/>
              </w:rPr>
            </w:pPr>
            <w:r>
              <w:rPr>
                <w:sz w:val="18"/>
              </w:rPr>
              <w:t>Zaměřené na určitou tematickou oblast inovací (např. vytvářet skupiny osob s různými úhly pohledu za účelem ověření činností CSV zaměřených na podporu inovací).</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Funkční analýza sítí (diagnostická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Kombinuje on-line průzkum u operačních skupin (přičemž se rozlišuje mezi těmi, které obdržely od CSV nějaký druh podpory – funkce zprostředkování, odborná příprava atd., a těmi, jež takovou podporu neobdržely) se sérií podrobných rozhovorů s vybranými operačními skupinami. Alternativně lze zorganizovat tematicky zaměřenou skupinu pro reflexi na předběžné výsledky on-line průzkumu.</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Analýza zúčastněných stran (diagnostická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Lze ji zaměřit na zúčastněné strany zapojené do inovací na různých úrovních: CSV nebo síťová struktura služeb na podporu inovací na úrovni členského státu (je-li oddělená od CSV); koordinátoři tematických sítí, koordinátorů operačních skupin, a dokonce středisko služeb EIP. </w:t>
            </w:r>
          </w:p>
          <w:p w:rsidR="00A45935" w:rsidRPr="00385368" w:rsidRDefault="00A45935" w:rsidP="00E05D08">
            <w:pPr>
              <w:spacing w:after="120" w:line="280" w:lineRule="atLeast"/>
              <w:rPr>
                <w:rFonts w:eastAsia="Calibri" w:cs="Arial"/>
                <w:sz w:val="18"/>
                <w:szCs w:val="18"/>
              </w:rPr>
            </w:pPr>
            <w:r>
              <w:rPr>
                <w:sz w:val="18"/>
                <w:szCs w:val="18"/>
              </w:rPr>
              <w:t>Analýza zúčastněných stran pomůže shromáždit informace o těch ukazatelích, jejichž údaje nejsou shromažďovány prostřednictvím databáze vzniklé při monitorování. V případě společné hodnotící otázky č. 21 lze s pomocí údajů z monitorování kvantifikovat pouze tři ukazatele výstupů, a dokonce i zde mohou být údaje příliš obecné a nemusí se týkat inovačních prvků. Například v databázi vzniklé při monitorování může být zaznamenán počet tematických a analytických výměn zřízených s podporou CSV (O.24), ale aniž by bylo uvedeno, které z těchto výměn byly zaměřeny na inovační témata.</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Analýza sociální sítě</w:t>
            </w:r>
            <w:r>
              <w:rPr>
                <w:sz w:val="18"/>
                <w:szCs w:val="18"/>
              </w:rPr>
              <w:t xml:space="preserve"> (diagnostická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Analýzu sociální sítě je možné provádět v souvislosti s tematickým aspektem, jako je podpora inovačních cílů CSV, pomocí rozboru grafů inovační sítě (např. určení hlavních inovačních aktérů v rámci sítě), posouzení jejich strukturálních charakteristik (např. centrálnost nebo okrajovost zúčastněných stran zapojených do inovací) a překrývání mezi nimi (např. pro účely zjištění klíčových vazeb) a projednání těchto aspektů v rámci tematicky zaměřené skupiny.</w:t>
            </w:r>
          </w:p>
          <w:p w:rsidR="00A45935" w:rsidRPr="00385368" w:rsidRDefault="00A45935" w:rsidP="00E05D08">
            <w:pPr>
              <w:spacing w:after="120" w:line="280" w:lineRule="atLeast"/>
              <w:rPr>
                <w:rFonts w:eastAsia="Calibri" w:cs="Arial"/>
                <w:sz w:val="18"/>
                <w:szCs w:val="18"/>
              </w:rPr>
            </w:pPr>
            <w:r>
              <w:rPr>
                <w:sz w:val="18"/>
                <w:szCs w:val="18"/>
              </w:rPr>
              <w:t xml:space="preserve">Analýza sociální sítě může pomoci změřit zapojení inovačních zúčastněných stran do CSV a posoudit efektivitu výstupů souvisejících s inovacemi </w:t>
            </w:r>
            <w:r>
              <w:rPr>
                <w:sz w:val="18"/>
                <w:szCs w:val="18"/>
              </w:rPr>
              <w:lastRenderedPageBreak/>
              <w:t>(např. tematických a analytických výměn týkajících se inovací, odborné přípravy a činností při vytváření sítí týkajících se inovací a shromažďování příkladů inovativních projektů).</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Případové studie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Případové studie lze přizpůsobit a použít při každém hodnocení. Umožňují kombinaci různých metod a velkou flexibilitu při jejich koncipování. V případě společné hodnotící otázky č. 21 se navrhuje vybudovat případové studie kolem těchto otázek/kritérií souvisejících s inovacemi:</w:t>
            </w:r>
          </w:p>
          <w:p w:rsidR="00A45935" w:rsidRPr="00385368" w:rsidRDefault="00A45935" w:rsidP="008C0B17">
            <w:pPr>
              <w:numPr>
                <w:ilvl w:val="0"/>
                <w:numId w:val="41"/>
              </w:numPr>
              <w:spacing w:before="60" w:after="120" w:line="280" w:lineRule="atLeast"/>
              <w:ind w:left="360"/>
              <w:rPr>
                <w:sz w:val="18"/>
              </w:rPr>
            </w:pPr>
            <w:r>
              <w:rPr>
                <w:sz w:val="18"/>
              </w:rPr>
              <w:t>Analyzovat úlohu CSV při zřizování operačních skupin, a tím při podpoře inovací v zemědělství, lesnictví a venkovských oblastech.</w:t>
            </w:r>
          </w:p>
          <w:p w:rsidR="00A45935" w:rsidRPr="00385368" w:rsidRDefault="00A45935" w:rsidP="008C0B17">
            <w:pPr>
              <w:numPr>
                <w:ilvl w:val="0"/>
                <w:numId w:val="41"/>
              </w:numPr>
              <w:spacing w:before="60" w:after="120" w:line="280" w:lineRule="atLeast"/>
              <w:ind w:left="360"/>
              <w:rPr>
                <w:sz w:val="18"/>
              </w:rPr>
            </w:pPr>
            <w:r>
              <w:rPr>
                <w:sz w:val="18"/>
              </w:rPr>
              <w:t>Analyzovat přispění CSV k podpoře poradců a služeb na podporu inovací jakožto koučů v interaktivních inovačních procesech (např. zachycování nápadů z praxe, zprostředkování, usnadňování a šíření nových poznatků).</w:t>
            </w:r>
          </w:p>
          <w:p w:rsidR="00A45935" w:rsidRPr="00385368" w:rsidRDefault="00A45935" w:rsidP="008C0B17">
            <w:pPr>
              <w:numPr>
                <w:ilvl w:val="0"/>
                <w:numId w:val="41"/>
              </w:numPr>
              <w:spacing w:before="60" w:after="120" w:line="280" w:lineRule="atLeast"/>
              <w:ind w:left="360"/>
              <w:rPr>
                <w:sz w:val="18"/>
              </w:rPr>
            </w:pPr>
            <w:r>
              <w:rPr>
                <w:sz w:val="18"/>
              </w:rPr>
              <w:t>Analyzovat úlohu CSV v rámci tematických sítí, jež propojují operační skupiny, a tedy posoudit vazby s programem Horizont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Rizika a řešení</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Rizika</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Řešení</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Údaje pro tři společné ukazatele výstupů by měly být k dispozici, ale je nanejvýš pravděpodobné, že nebudou zaměřeny na inovace. Například údaje o tematických a analytických výměnách nemusí být shromážděny podle témat, a konkrétněji na téma inovací. Podobně i údaje o komunikačních nástrojích nemusí být rozděleny podle předmětů (např. komunikace o výsledcích inovací).</w:t>
            </w:r>
          </w:p>
        </w:tc>
        <w:tc>
          <w:tcPr>
            <w:tcW w:w="4509" w:type="dxa"/>
          </w:tcPr>
          <w:p w:rsidR="00A45935" w:rsidRPr="00385368" w:rsidRDefault="00A45935" w:rsidP="007E63EF">
            <w:pPr>
              <w:spacing w:after="120" w:line="280" w:lineRule="atLeast"/>
              <w:rPr>
                <w:sz w:val="18"/>
                <w:szCs w:val="18"/>
              </w:rPr>
            </w:pPr>
            <w:r>
              <w:rPr>
                <w:sz w:val="18"/>
                <w:szCs w:val="18"/>
              </w:rPr>
              <w:t>Řídící orgány by mohly inovační složku pro tyto tři společné ukazatele výstupů zanést do databází vzniklých při monitorování</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Pro všechny ostatní navrhované ukazatele by údaje pro účely monitorování shromažďovány nebyly, pokud se řídící orgán / CSV nerozhodly tak učinit nad rámec společných datových položek.</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V rané fázi provádění by CSV měly označit své činnosti směrované na podporu inovací (např. odborná příprava inovačních zúčastněných stran, tematické výměny týkající se inovací, shromažďování osvědčených postupů týkajících se inovací, podpora zřizování operačních skupin atd.).</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Spoléhání se při analýze údajů pouze na jednu metodu (kvalitativní nebo kvantitativní) nemusí vést ke spolehlivým zjištěním.</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Použijte kombinaci metod hodnocení, jež shromažďují informace průběžně nebo </w:t>
            </w:r>
            <w:r>
              <w:rPr>
                <w:i/>
                <w:sz w:val="18"/>
                <w:szCs w:val="18"/>
              </w:rPr>
              <w:t>ex post</w:t>
            </w:r>
            <w:r>
              <w:rPr>
                <w:sz w:val="18"/>
                <w:szCs w:val="18"/>
              </w:rPr>
              <w:t>, např. metody uvedené výše (průzkumy, tematicky zaměřené skupiny, diagnostické metody, případové studie)</w:t>
            </w:r>
            <w:r w:rsidR="00003B35">
              <w:rPr>
                <w:sz w:val="18"/>
                <w:szCs w:val="18"/>
              </w:rPr>
              <w:t>,</w:t>
            </w:r>
            <w:r>
              <w:rPr>
                <w:sz w:val="18"/>
                <w:szCs w:val="18"/>
              </w:rPr>
              <w:t xml:space="preserve"> a umožněte někomu, aby provedl triangulaci a získal spolehlivější zjištění.</w:t>
            </w:r>
          </w:p>
        </w:tc>
      </w:tr>
    </w:tbl>
    <w:p w:rsidR="00346923" w:rsidRDefault="00346923" w:rsidP="00346923">
      <w:pPr>
        <w:spacing w:before="120" w:after="120" w:line="280" w:lineRule="atLeast"/>
        <w:mirrorIndents/>
        <w:rPr>
          <w:b/>
          <w:szCs w:val="20"/>
        </w:rPr>
      </w:pPr>
    </w:p>
    <w:p w:rsidR="00346923" w:rsidRDefault="00346923">
      <w:pPr>
        <w:jc w:val="left"/>
        <w:rPr>
          <w:b/>
          <w:szCs w:val="20"/>
        </w:rPr>
      </w:pPr>
      <w:r>
        <w:rPr>
          <w:b/>
          <w:szCs w:val="20"/>
        </w:rPr>
        <w:br w:type="page"/>
      </w:r>
    </w:p>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Závěry a doporučení</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Závěry a doporučení by se měly týkat:</w:t>
      </w:r>
    </w:p>
    <w:p w:rsidR="00A45935" w:rsidRPr="00E72529" w:rsidRDefault="00A45935" w:rsidP="00676B41">
      <w:pPr>
        <w:pStyle w:val="Hlistbullet"/>
        <w:rPr>
          <w:rFonts w:eastAsia="Calibri"/>
          <w:shd w:val="clear" w:color="auto" w:fill="FFFFFF"/>
        </w:rPr>
      </w:pPr>
      <w:r>
        <w:rPr>
          <w:b/>
          <w:shd w:val="clear" w:color="auto" w:fill="FFFFFF"/>
        </w:rPr>
        <w:t>přispění CSV k podpoře inovací</w:t>
      </w:r>
      <w:r>
        <w:rPr>
          <w:shd w:val="clear" w:color="auto" w:fill="FFFFFF"/>
        </w:rPr>
        <w:t xml:space="preserve"> v zemědělství, produkci potravin, lesnictví a venkovských oblastech;</w:t>
      </w:r>
    </w:p>
    <w:p w:rsidR="00A45935" w:rsidRPr="00E72529" w:rsidRDefault="00A45935" w:rsidP="00676B41">
      <w:pPr>
        <w:pStyle w:val="Hlistbullet"/>
        <w:rPr>
          <w:rFonts w:eastAsia="Calibri"/>
          <w:shd w:val="clear" w:color="auto" w:fill="FFFFFF"/>
        </w:rPr>
      </w:pPr>
      <w:r>
        <w:rPr>
          <w:b/>
          <w:shd w:val="clear" w:color="auto" w:fill="FFFFFF"/>
        </w:rPr>
        <w:t>hlavních faktorů a podmínek</w:t>
      </w:r>
      <w:r>
        <w:rPr>
          <w:shd w:val="clear" w:color="auto" w:fill="FFFFFF"/>
        </w:rPr>
        <w:t>, jež učinily z CSV klíčové aktéry interaktivních inovačních procesů;</w:t>
      </w:r>
    </w:p>
    <w:p w:rsidR="00A45935" w:rsidRPr="00E72529" w:rsidRDefault="00A45935" w:rsidP="00676B41">
      <w:pPr>
        <w:pStyle w:val="Hlistbullet"/>
        <w:rPr>
          <w:rFonts w:eastAsia="Calibri"/>
          <w:shd w:val="clear" w:color="auto" w:fill="FFFFFF"/>
        </w:rPr>
      </w:pPr>
      <w:r>
        <w:rPr>
          <w:b/>
          <w:shd w:val="clear" w:color="auto" w:fill="FFFFFF"/>
        </w:rPr>
        <w:t>úloh</w:t>
      </w:r>
      <w:r w:rsidR="00EC079D">
        <w:rPr>
          <w:b/>
          <w:shd w:val="clear" w:color="auto" w:fill="FFFFFF"/>
        </w:rPr>
        <w:t>y</w:t>
      </w:r>
      <w:r>
        <w:rPr>
          <w:b/>
          <w:shd w:val="clear" w:color="auto" w:fill="FFFFFF"/>
        </w:rPr>
        <w:t xml:space="preserve"> CSV v inovačním systému</w:t>
      </w:r>
      <w:r>
        <w:rPr>
          <w:shd w:val="clear" w:color="auto" w:fill="FFFFFF"/>
        </w:rPr>
        <w:t>: 1) odhalování inovací prostřednictvím shromažďování a šíření osvědčených postupů; 2) budování inovační kapacity prostřednictvím odborné přípravy, vytváření sítí, tematických a analytických výměn; 3) budování příznivého prostřední pro inovace prostřednictvím podpory a oživování operačních skupin EIP.</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Další informace</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65914" cy="3315402"/>
                <wp:effectExtent l="0" t="0" r="11430" b="18415"/>
                <wp:docPr id="552" name="Rectangle: Diagonal Corners Rounded 552"/>
                <wp:cNvGraphicFramePr/>
                <a:graphic xmlns:a="http://schemas.openxmlformats.org/drawingml/2006/main">
                  <a:graphicData uri="http://schemas.microsoft.com/office/word/2010/wordprocessingShape">
                    <wps:wsp>
                      <wps:cNvSpPr/>
                      <wps:spPr>
                        <a:xfrm>
                          <a:off x="0" y="0"/>
                          <a:ext cx="5665914" cy="3315402"/>
                        </a:xfrm>
                        <a:prstGeom prst="round2DiagRect">
                          <a:avLst>
                            <a:gd name="adj1" fmla="val 9900"/>
                            <a:gd name="adj2" fmla="val 0"/>
                          </a:avLst>
                        </a:prstGeom>
                        <a:noFill/>
                        <a:ln w="25400" cap="flat" cmpd="sng" algn="ctr">
                          <a:solidFill>
                            <a:srgbClr val="59638E"/>
                          </a:solidFill>
                          <a:prstDash val="solid"/>
                        </a:ln>
                        <a:effectLst/>
                      </wps:spPr>
                      <wps:txbx>
                        <w:txbxContent>
                          <w:p w:rsidR="005716B0" w:rsidRDefault="005716B0"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6F1763" w:rsidRDefault="005716B0" w:rsidP="00E05D08">
                            <w:pPr>
                              <w:pStyle w:val="HStandard"/>
                              <w:rPr>
                                <w:sz w:val="18"/>
                                <w:szCs w:val="18"/>
                              </w:rPr>
                            </w:pPr>
                            <w:r>
                              <w:rPr>
                                <w:sz w:val="18"/>
                                <w:szCs w:val="18"/>
                              </w:rPr>
                              <w:t xml:space="preserve">Evropská asistenční služba pro účely hodnocení (2016). </w:t>
                            </w:r>
                            <w:r>
                              <w:t>Pokyny „</w:t>
                            </w:r>
                            <w:hyperlink r:id="rId66" w:history="1">
                              <w:r>
                                <w:rPr>
                                  <w:color w:val="F07E31"/>
                                  <w:sz w:val="18"/>
                                  <w:szCs w:val="18"/>
                                  <w:u w:val="single"/>
                                </w:rPr>
                                <w:t>Posuzování výsledků PRV:</w:t>
                              </w:r>
                            </w:hyperlink>
                            <w:r>
                              <w:rPr>
                                <w:color w:val="F07E31"/>
                                <w:sz w:val="18"/>
                                <w:szCs w:val="18"/>
                                <w:u w:val="single"/>
                              </w:rPr>
                              <w:t xml:space="preserve"> </w:t>
                            </w:r>
                            <w:hyperlink r:id="rId67" w:history="1">
                              <w:r>
                                <w:rPr>
                                  <w:color w:val="F07E31"/>
                                  <w:sz w:val="18"/>
                                  <w:szCs w:val="18"/>
                                  <w:u w:val="single"/>
                                </w:rPr>
                                <w:t>jak se připravit na podávání zpráv o hodnocení v roce 2017</w:t>
                              </w:r>
                            </w:hyperlink>
                            <w:r>
                              <w:rPr>
                                <w:sz w:val="18"/>
                                <w:szCs w:val="18"/>
                              </w:rPr>
                              <w:t xml:space="preserve">“, příloha 11 </w:t>
                            </w:r>
                          </w:p>
                          <w:p w:rsidR="005716B0" w:rsidRPr="006F1763" w:rsidRDefault="005716B0" w:rsidP="00E05D08">
                            <w:pPr>
                              <w:pStyle w:val="HStandard"/>
                              <w:rPr>
                                <w:sz w:val="18"/>
                                <w:szCs w:val="18"/>
                              </w:rPr>
                            </w:pPr>
                            <w:r>
                              <w:rPr>
                                <w:sz w:val="18"/>
                                <w:szCs w:val="18"/>
                              </w:rPr>
                              <w:t xml:space="preserve">Evropská síť pro rozvoj venkova (2014). </w:t>
                            </w:r>
                            <w:hyperlink r:id="rId68" w:history="1">
                              <w:r>
                                <w:rPr>
                                  <w:rStyle w:val="Hyperlink"/>
                                  <w:sz w:val="18"/>
                                  <w:szCs w:val="18"/>
                                </w:rPr>
                                <w:t>Pokyny pro celostátní sítě pro venkov</w:t>
                              </w:r>
                            </w:hyperlink>
                            <w:r>
                              <w:rPr>
                                <w:sz w:val="18"/>
                                <w:szCs w:val="18"/>
                              </w:rPr>
                              <w:t>. Lucemburk, Úřad pro publikace</w:t>
                            </w:r>
                          </w:p>
                          <w:p w:rsidR="005716B0" w:rsidRPr="006F1763" w:rsidRDefault="005716B0" w:rsidP="00E05D08">
                            <w:pPr>
                              <w:pStyle w:val="HStandard"/>
                              <w:rPr>
                                <w:sz w:val="18"/>
                                <w:szCs w:val="18"/>
                              </w:rPr>
                            </w:pPr>
                            <w:r>
                              <w:t>Evropská asistenční služba pro účely hodnocení (2016).</w:t>
                            </w:r>
                            <w:r>
                              <w:rPr>
                                <w:sz w:val="18"/>
                                <w:szCs w:val="18"/>
                              </w:rPr>
                              <w:t xml:space="preserve"> Pokyny </w:t>
                            </w:r>
                            <w:hyperlink r:id="rId69" w:history="1">
                              <w:r>
                                <w:rPr>
                                  <w:rStyle w:val="Hyperlink"/>
                                  <w:sz w:val="18"/>
                                  <w:szCs w:val="18"/>
                                </w:rPr>
                                <w:t>Hodnocení celostátních sítí pro venkov 2014–2020</w:t>
                              </w:r>
                            </w:hyperlink>
                          </w:p>
                          <w:p w:rsidR="005716B0" w:rsidRPr="006F1763" w:rsidRDefault="005716B0" w:rsidP="00E05D08">
                            <w:pPr>
                              <w:pStyle w:val="HStandard"/>
                              <w:rPr>
                                <w:sz w:val="18"/>
                                <w:szCs w:val="18"/>
                              </w:rPr>
                            </w:pPr>
                            <w:r>
                              <w:rPr>
                                <w:sz w:val="18"/>
                                <w:szCs w:val="18"/>
                              </w:rPr>
                              <w:t xml:space="preserve">Evropská komise, GŘ pro zemědělství a rozvoj venkova (2014). </w:t>
                            </w:r>
                            <w:hyperlink r:id="rId70" w:history="1">
                              <w:r>
                                <w:rPr>
                                  <w:rStyle w:val="Hyperlink"/>
                                  <w:sz w:val="18"/>
                                  <w:szCs w:val="18"/>
                                </w:rPr>
                                <w:t>Pokyny pro programování inovací a provádění evropského inovačního programu v oblasti zemědělské produktivity a udržitelnosti</w:t>
                              </w:r>
                            </w:hyperlink>
                          </w:p>
                          <w:p w:rsidR="005716B0" w:rsidRPr="006F1763" w:rsidRDefault="005716B0" w:rsidP="00E05D08">
                            <w:pPr>
                              <w:pStyle w:val="HStandard"/>
                              <w:rPr>
                                <w:sz w:val="18"/>
                                <w:szCs w:val="18"/>
                              </w:rPr>
                            </w:pPr>
                            <w:r>
                              <w:rPr>
                                <w:sz w:val="18"/>
                                <w:szCs w:val="18"/>
                              </w:rPr>
                              <w:t xml:space="preserve">Evropská asistenční služba pro účely hodnocení (2014). Intervenční logika a rámec pro hodnocení celostátních sítí pro venkov 2014–2020. </w:t>
                            </w:r>
                            <w:r w:rsidRPr="0075069D">
                              <w:rPr>
                                <w:sz w:val="18"/>
                                <w:szCs w:val="18"/>
                              </w:rPr>
                              <w:t>Podkladový dokument</w:t>
                            </w:r>
                            <w:r>
                              <w:rPr>
                                <w:sz w:val="18"/>
                                <w:szCs w:val="18"/>
                              </w:rPr>
                              <w:t xml:space="preserve"> předložený na </w:t>
                            </w:r>
                            <w:hyperlink r:id="rId71" w:history="1">
                              <w:r>
                                <w:rPr>
                                  <w:rStyle w:val="Hyperlink"/>
                                  <w:sz w:val="18"/>
                                  <w:szCs w:val="18"/>
                                </w:rPr>
                                <w:t>Pracovním setkání o osvědčených postupech „Celostátní sítě pro venkov:</w:t>
                              </w:r>
                            </w:hyperlink>
                            <w:r>
                              <w:rPr>
                                <w:rStyle w:val="Hyperlink"/>
                                <w:sz w:val="18"/>
                                <w:szCs w:val="18"/>
                              </w:rPr>
                              <w:t xml:space="preserve"> </w:t>
                            </w:r>
                            <w:hyperlink r:id="rId72" w:history="1">
                              <w:r>
                                <w:rPr>
                                  <w:rStyle w:val="Hyperlink"/>
                                  <w:sz w:val="18"/>
                                  <w:szCs w:val="18"/>
                                </w:rPr>
                                <w:t>jak prokázat jejich výhody</w:t>
                              </w:r>
                            </w:hyperlink>
                            <w:r>
                              <w:rPr>
                                <w:color w:val="F07E31"/>
                                <w:sz w:val="18"/>
                                <w:szCs w:val="18"/>
                              </w:rPr>
                              <w:t>“</w:t>
                            </w:r>
                            <w:r>
                              <w:rPr>
                                <w:sz w:val="18"/>
                                <w:szCs w:val="18"/>
                              </w:rPr>
                              <w:t>, Řím (Itálie), 10. a 11. dubna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6.15pt;height:261.05pt;visibility:visible;mso-wrap-style:square;mso-left-percent:-10001;mso-top-percent:-10001;mso-position-horizontal:absolute;mso-position-horizontal-relative:char;mso-position-vertical:absolute;mso-position-vertical-relative:line;mso-left-percent:-10001;mso-top-percent:-10001;v-text-anchor:middle" coordsize="5665914,3315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" adj="-11796480,,5400" path="m328225,l5665914,r,l5665914,2987177v,181274,-146951,328225,-328225,328225l,3315402r,l,328225c,146951,146951,,328225,xe" filled="f" strokecolor="#59638e" strokeweight="2pt">
                <v:stroke joinstyle="miter"/>
                <v:formulas/>
                <v:path arrowok="t" o:connecttype="custom" o:connectlocs="328225,0;5665914,0;5665914,0;5665914,2987177;5337689,3315402;0,3315402;0,3315402;0,328225;328225,0" o:connectangles="0,0,0,0,0,0,0,0,0" textboxrect="0,0,5665914,3315402"/>
                <v:textbox>
                  <w:txbxContent>
                    <w:p w:rsidR="005716B0" w:rsidRDefault="005716B0"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6F1763" w:rsidRDefault="005716B0" w:rsidP="00E05D08">
                      <w:pPr>
                        <w:pStyle w:val="HStandard"/>
                        <w:rPr>
                          <w:sz w:val="18"/>
                          <w:szCs w:val="18"/>
                        </w:rPr>
                      </w:pPr>
                      <w:r>
                        <w:rPr>
                          <w:sz w:val="18"/>
                          <w:szCs w:val="18"/>
                        </w:rPr>
                        <w:t xml:space="preserve">Evropská asistenční služba pro účely hodnocení (2016). </w:t>
                      </w:r>
                      <w:r>
                        <w:t>Pokyny „</w:t>
                      </w:r>
                      <w:hyperlink r:id="rId73" w:history="1">
                        <w:r>
                          <w:rPr>
                            <w:color w:val="F07E31"/>
                            <w:sz w:val="18"/>
                            <w:szCs w:val="18"/>
                            <w:u w:val="single"/>
                          </w:rPr>
                          <w:t>Posuzování výsledků PRV:</w:t>
                        </w:r>
                      </w:hyperlink>
                      <w:r>
                        <w:rPr>
                          <w:color w:val="F07E31"/>
                          <w:sz w:val="18"/>
                          <w:szCs w:val="18"/>
                          <w:u w:val="single"/>
                        </w:rPr>
                        <w:t xml:space="preserve"> </w:t>
                      </w:r>
                      <w:hyperlink r:id="rId74" w:history="1">
                        <w:r>
                          <w:rPr>
                            <w:color w:val="F07E31"/>
                            <w:sz w:val="18"/>
                            <w:szCs w:val="18"/>
                            <w:u w:val="single"/>
                          </w:rPr>
                          <w:t>jak se připravit na podávání zpráv o hodnocení v roce 2017</w:t>
                        </w:r>
                      </w:hyperlink>
                      <w:r>
                        <w:rPr>
                          <w:sz w:val="18"/>
                          <w:szCs w:val="18"/>
                        </w:rPr>
                        <w:t xml:space="preserve">“, příloha 11 </w:t>
                      </w:r>
                    </w:p>
                    <w:p w:rsidR="005716B0" w:rsidRPr="006F1763" w:rsidRDefault="005716B0" w:rsidP="00E05D08">
                      <w:pPr>
                        <w:pStyle w:val="HStandard"/>
                        <w:rPr>
                          <w:sz w:val="18"/>
                          <w:szCs w:val="18"/>
                        </w:rPr>
                      </w:pPr>
                      <w:r>
                        <w:rPr>
                          <w:sz w:val="18"/>
                          <w:szCs w:val="18"/>
                        </w:rPr>
                        <w:t xml:space="preserve">Evropská síť pro rozvoj venkova (2014). </w:t>
                      </w:r>
                      <w:hyperlink r:id="rId75" w:history="1">
                        <w:r>
                          <w:rPr>
                            <w:rStyle w:val="Hyperlink"/>
                            <w:sz w:val="18"/>
                            <w:szCs w:val="18"/>
                          </w:rPr>
                          <w:t>Pokyny pro celostátní sítě pro venkov</w:t>
                        </w:r>
                      </w:hyperlink>
                      <w:r>
                        <w:rPr>
                          <w:sz w:val="18"/>
                          <w:szCs w:val="18"/>
                        </w:rPr>
                        <w:t>. Lucemburk, Úřad pro publikace</w:t>
                      </w:r>
                    </w:p>
                    <w:p w:rsidR="005716B0" w:rsidRPr="006F1763" w:rsidRDefault="005716B0" w:rsidP="00E05D08">
                      <w:pPr>
                        <w:pStyle w:val="HStandard"/>
                        <w:rPr>
                          <w:sz w:val="18"/>
                          <w:szCs w:val="18"/>
                        </w:rPr>
                      </w:pPr>
                      <w:r>
                        <w:t>Evropská asistenční služba pro účely hodnocení (2016).</w:t>
                      </w:r>
                      <w:r>
                        <w:rPr>
                          <w:sz w:val="18"/>
                          <w:szCs w:val="18"/>
                        </w:rPr>
                        <w:t xml:space="preserve"> Pokyny </w:t>
                      </w:r>
                      <w:hyperlink r:id="rId76" w:history="1">
                        <w:r>
                          <w:rPr>
                            <w:rStyle w:val="Hyperlink"/>
                            <w:sz w:val="18"/>
                            <w:szCs w:val="18"/>
                          </w:rPr>
                          <w:t>Hodnocení celostátních sítí pro venkov 2014–2020</w:t>
                        </w:r>
                      </w:hyperlink>
                    </w:p>
                    <w:p w:rsidR="005716B0" w:rsidRPr="006F1763" w:rsidRDefault="005716B0" w:rsidP="00E05D08">
                      <w:pPr>
                        <w:pStyle w:val="HStandard"/>
                        <w:rPr>
                          <w:sz w:val="18"/>
                          <w:szCs w:val="18"/>
                        </w:rPr>
                      </w:pPr>
                      <w:r>
                        <w:rPr>
                          <w:sz w:val="18"/>
                          <w:szCs w:val="18"/>
                        </w:rPr>
                        <w:t xml:space="preserve">Evropská komise, GŘ pro zemědělství a rozvoj venkova (2014). </w:t>
                      </w:r>
                      <w:hyperlink r:id="rId77" w:history="1">
                        <w:r>
                          <w:rPr>
                            <w:rStyle w:val="Hyperlink"/>
                            <w:sz w:val="18"/>
                            <w:szCs w:val="18"/>
                          </w:rPr>
                          <w:t>Pokyny pro programování inovací a provádění evropského inovačního programu v oblasti zemědělské produktivity a udržitelnosti</w:t>
                        </w:r>
                      </w:hyperlink>
                    </w:p>
                    <w:p w:rsidR="005716B0" w:rsidRPr="006F1763" w:rsidRDefault="005716B0" w:rsidP="00E05D08">
                      <w:pPr>
                        <w:pStyle w:val="HStandard"/>
                        <w:rPr>
                          <w:sz w:val="18"/>
                          <w:szCs w:val="18"/>
                        </w:rPr>
                      </w:pPr>
                      <w:r>
                        <w:rPr>
                          <w:sz w:val="18"/>
                          <w:szCs w:val="18"/>
                        </w:rPr>
                        <w:t xml:space="preserve">Evropská asistenční služba pro účely hodnocení (2014). Intervenční logika a rámec pro hodnocení celostátních sítí pro venkov 2014–2020. </w:t>
                      </w:r>
                      <w:r w:rsidRPr="0075069D">
                        <w:rPr>
                          <w:sz w:val="18"/>
                          <w:szCs w:val="18"/>
                        </w:rPr>
                        <w:t>Podkladový dokument</w:t>
                      </w:r>
                      <w:r>
                        <w:rPr>
                          <w:sz w:val="18"/>
                          <w:szCs w:val="18"/>
                        </w:rPr>
                        <w:t xml:space="preserve"> předložený na </w:t>
                      </w:r>
                      <w:hyperlink r:id="rId78" w:history="1">
                        <w:r>
                          <w:rPr>
                            <w:rStyle w:val="Hyperlink"/>
                            <w:sz w:val="18"/>
                            <w:szCs w:val="18"/>
                          </w:rPr>
                          <w:t>Pracovním setkání o osvědčených postupech „Celostátní sítě pro venkov:</w:t>
                        </w:r>
                      </w:hyperlink>
                      <w:r>
                        <w:rPr>
                          <w:rStyle w:val="Hyperlink"/>
                          <w:sz w:val="18"/>
                          <w:szCs w:val="18"/>
                        </w:rPr>
                        <w:t xml:space="preserve"> </w:t>
                      </w:r>
                      <w:hyperlink r:id="rId79" w:history="1">
                        <w:r>
                          <w:rPr>
                            <w:rStyle w:val="Hyperlink"/>
                            <w:sz w:val="18"/>
                            <w:szCs w:val="18"/>
                          </w:rPr>
                          <w:t>jak prokázat jejich výhody</w:t>
                        </w:r>
                      </w:hyperlink>
                      <w:r>
                        <w:rPr>
                          <w:color w:val="F07E31"/>
                          <w:sz w:val="18"/>
                          <w:szCs w:val="18"/>
                        </w:rPr>
                        <w:t>“</w:t>
                      </w:r>
                      <w:r>
                        <w:rPr>
                          <w:sz w:val="18"/>
                          <w:szCs w:val="18"/>
                        </w:rPr>
                        <w:t>, Řím (Itálie), 10. a 11. dubna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607839"/>
      <w:r>
        <w:t>Společná hodnotící otázka č. 23: „Do jaké míry přispěl program rozvoje venkova k plnění hlavního cíle strategie Evropa 2020 týkajícího se investic do výzkumu, vývoje a inovací ve výši 3 % HDP EU?“</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Pochopení společné hodnotící otázky</w:t>
      </w:r>
    </w:p>
    <w:p w:rsidR="00A45935" w:rsidRPr="00E05D08" w:rsidRDefault="00A45935" w:rsidP="00E05D08">
      <w:pPr>
        <w:spacing w:after="120" w:line="280" w:lineRule="atLeast"/>
        <w:mirrorIndents/>
        <w:rPr>
          <w:rFonts w:eastAsia="Times New Roman" w:cs="Times New Roman"/>
          <w:szCs w:val="20"/>
        </w:rPr>
      </w:pPr>
      <w:r>
        <w:t xml:space="preserve">Tato společná hodnotící otázka se týká jednoho z pěti hlavních cílů strategie Evropa 2020: „investovat do výzkumu, vývoje a inovací 3 % HDP EU“. Pro pochopení této otázky je třeba vzít na vědomí souvislosti a měření uvedeného hlavního cíle, a což je nejdůležitější, jeho cíl zlepšit podmínky pro inovace, výzkum a vývoj s použitím kombinace veřejných a soukromých finančních prostředků. </w:t>
      </w:r>
    </w:p>
    <w:p w:rsidR="00A45935" w:rsidRPr="00E05D08" w:rsidRDefault="00A45935" w:rsidP="00E05D08">
      <w:pPr>
        <w:spacing w:after="120" w:line="280" w:lineRule="atLeast"/>
        <w:mirrorIndents/>
        <w:rPr>
          <w:rFonts w:eastAsia="Times New Roman" w:cs="Times New Roman"/>
          <w:szCs w:val="20"/>
        </w:rPr>
      </w:pPr>
      <w:r>
        <w:t xml:space="preserve">Tento hlavní cíl souvisí s prioritami strategie Evropa 2020 pro inteligentní a udržitelný růst podporující začlenění, který je založen na znalostech a inovacích. Pozornost je zaměřena na potřebu, aby do výzkumu a vývoje investoval jak veřejný, tak soukromý sektor, ale zaměřuje se </w:t>
      </w:r>
      <w:r>
        <w:rPr>
          <w:b/>
          <w:szCs w:val="20"/>
        </w:rPr>
        <w:t xml:space="preserve">na vstupy, a nikoli na </w:t>
      </w:r>
      <w:r>
        <w:rPr>
          <w:b/>
          <w:szCs w:val="20"/>
        </w:rPr>
        <w:lastRenderedPageBreak/>
        <w:t>dopad</w:t>
      </w:r>
      <w:r>
        <w:rPr>
          <w:rFonts w:eastAsia="Times New Roman" w:cs="Times New Roman"/>
          <w:szCs w:val="20"/>
          <w:vertAlign w:val="superscript"/>
          <w:lang w:eastAsia="de-DE"/>
        </w:rPr>
        <w:footnoteReference w:id="68"/>
      </w:r>
      <w:r>
        <w:t xml:space="preserve">. Existuje jasná potřeba zlepšení podmínek pro soukromý výzkum a vývoj v EU a mnohá z opatření navrhovaných v této strategii se ubírají tímto směrem. Je rovněž jasné, že společný pohled na výzkum, vývoj a inovace by znamenal širší spektrum výdajů, jež by bylo relevantnější pro obchodní operace a pro hybné síly produktivity. Komise navrhuje 3% cíl zachovat a současně vytvořit ukazatel, který by odrážel intenzitu výzkumu, vývoje a inovací. </w:t>
      </w:r>
    </w:p>
    <w:p w:rsidR="00A45935" w:rsidRPr="00E05D08" w:rsidRDefault="00A45935" w:rsidP="00E05D08">
      <w:pPr>
        <w:spacing w:after="120" w:line="280" w:lineRule="atLeast"/>
        <w:mirrorIndents/>
        <w:rPr>
          <w:rFonts w:eastAsia="Times New Roman" w:cs="Times New Roman"/>
          <w:szCs w:val="20"/>
        </w:rPr>
      </w:pPr>
      <w:r>
        <w:t>Tento hlavní cíl byl v členských státech EU převeden do vnitrostátních cílů, jež odrážejí odlišnou situaci a různé okolnosti, takže každý členský stát může zkontrolovat svůj vlastní pokrok na cestě ke splnění cílů strategie Evropa 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Specifické výzvy </w:t>
      </w:r>
    </w:p>
    <w:p w:rsidR="00A45935" w:rsidRPr="006C63CD" w:rsidRDefault="00A45935" w:rsidP="00676B41">
      <w:pPr>
        <w:pStyle w:val="Hlistbullet"/>
      </w:pPr>
      <w:r>
        <w:rPr>
          <w:b/>
        </w:rPr>
        <w:t xml:space="preserve">Správa údajů k zajištění vysoké kvality údajů o výzkumu, vývoji a inovacích: </w:t>
      </w:r>
      <w:r>
        <w:t>Eurostat pravidelně zveřejňuje komplexní zprávu o pokroku dosaženém při plnění tohoto ukazatele hlavního cíle</w:t>
      </w:r>
      <w:r>
        <w:rPr>
          <w:vertAlign w:val="superscript"/>
        </w:rPr>
        <w:footnoteReference w:id="70"/>
      </w:r>
      <w:r>
        <w:t>. Shromažďování údajů se řídí manuálem Frascati (OECD)</w:t>
      </w:r>
      <w:r>
        <w:rPr>
          <w:vertAlign w:val="superscript"/>
        </w:rPr>
        <w:footnoteReference w:id="71"/>
      </w:r>
      <w:r>
        <w:t xml:space="preserve"> a konkrétními nařízeními EU</w:t>
      </w:r>
      <w:r>
        <w:rPr>
          <w:vertAlign w:val="superscript"/>
        </w:rPr>
        <w:footnoteReference w:id="72"/>
      </w:r>
      <w:r>
        <w:t xml:space="preserve">. Manuál Frascati rovněž slouží jako základ pro shromažďování údajů pro ukazatel „hrubé domácí výdaje na výzkum a vývoj“ (zástupný ukazatel k uvedenému ukazateli </w:t>
      </w:r>
      <w:r>
        <w:rPr>
          <w:shd w:val="clear" w:color="auto" w:fill="FFFFFF"/>
        </w:rPr>
        <w:t>hlavního</w:t>
      </w:r>
      <w:r>
        <w:t xml:space="preserve"> cíle), které shromažďuje Eurostat</w:t>
      </w:r>
      <w:r>
        <w:rPr>
          <w:vertAlign w:val="superscript"/>
        </w:rPr>
        <w:footnoteReference w:id="73"/>
      </w:r>
      <w:r>
        <w:t xml:space="preserve">. Zahrnuje výdaje </w:t>
      </w:r>
      <w:r>
        <w:rPr>
          <w:color w:val="333333"/>
          <w:shd w:val="clear" w:color="auto" w:fill="FFFFFF"/>
        </w:rPr>
        <w:t>na výzkum a vývoj vynakládané podnikatelským sektorem, vysokoškolskými institucemi a rovněž vládními a soukromými neziskovými organizacemi.</w:t>
      </w:r>
      <w:r>
        <w:t xml:space="preserve"> Údaje o hrubých domácích výdajů na výzkum a vývoj poskytuje Eurostat na úrovních NUTS 1 a NUTS 2. Ukazatel „% celkových hrubých domácích výdajů na výzkum a vývoj“ vyjadřuje </w:t>
      </w:r>
      <w:r>
        <w:rPr>
          <w:color w:val="333333"/>
          <w:shd w:val="clear" w:color="auto" w:fill="FFFFFF"/>
        </w:rPr>
        <w:t>podíl různých zdrojů finančních prostředků vložených do výzkumu a vývoje od: odvětví, vlády, vysokých škol a soukromého neziskového sektoru. Pátým zdrojem finančních prostředků, který se uvádí, jsou hrubé domácí výdaje na výzkum a vývoj financované ze zahraničí. Ukazatel „</w:t>
      </w:r>
      <w:r>
        <w:t>% celkových hrubých domácích výdajů na výzkum a vývoj</w:t>
      </w:r>
      <w:r w:rsidR="003478C4">
        <w:t>“</w:t>
      </w:r>
      <w:r>
        <w:rPr>
          <w:color w:val="333333"/>
          <w:shd w:val="clear" w:color="auto" w:fill="FFFFFF"/>
        </w:rPr>
        <w:t xml:space="preserve"> se poskytuje na úrovni NUTS 1 level. Ačkoli Eurostat zveřejňuje nejnovější údaje, časová prodleva činí 2 až 3 roky. </w:t>
      </w:r>
      <w:r>
        <w:t>Eurostat neposkytuje údaje o hrubých domácích výdajích na výzkum a vývoj a o % celkových hrubých domácích výdajů na výzkum a vývoj podle hospodářských odvětví (např. potravinářský průmysl, zemědělství). Přestože statistiky výslovně odkazují na výdaje na výzkum a vývoj, ve skutečnosti zahrnují do určité míry i</w:t>
      </w:r>
      <w:r>
        <w:rPr>
          <w:b/>
        </w:rPr>
        <w:t xml:space="preserve"> výdaje na inovace</w:t>
      </w:r>
      <w:r>
        <w:t xml:space="preserve">, jak je stanoví strategie Evropa 2020. U programů financování, </w:t>
      </w:r>
      <w:r>
        <w:rPr>
          <w:color w:val="333333"/>
          <w:shd w:val="clear" w:color="auto" w:fill="FFFFFF"/>
        </w:rPr>
        <w:t>jež</w:t>
      </w:r>
      <w:r>
        <w:t xml:space="preserve"> podporují inovace, je referenčním bodem manuál Frascati. Měří činnosti v oblasti vědy, technologie a inovací, avšak dělicí čára mezi činnostmi v oblasti výzkumu a vývoje na jedn</w:t>
      </w:r>
      <w:r w:rsidR="003478C4">
        <w:t>é</w:t>
      </w:r>
      <w:r>
        <w:t xml:space="preserve"> straně a v oblasti inovací na straně druhé není vždy zcela jasná. </w:t>
      </w:r>
    </w:p>
    <w:p w:rsidR="00A45935" w:rsidRPr="006C63CD" w:rsidRDefault="00A45935" w:rsidP="00676B41">
      <w:pPr>
        <w:pStyle w:val="Hlistbullet"/>
      </w:pPr>
      <w:r>
        <w:rPr>
          <w:b/>
        </w:rPr>
        <w:t xml:space="preserve">Posoudit přispění PRV k hlavnímu cíli: </w:t>
      </w:r>
      <w:r>
        <w:t>Výzva spočívá v tom, adekvátně a realisticky vyjádřit přispění PRV k hlavnímu cíli s ohledem na zaměření programů na strategii Evropa 2020. Při tomto úkolu v rámci hodnocení je také nezbytné posoudit charakteristiky intervenc</w:t>
      </w:r>
      <w:r w:rsidR="00E56789">
        <w:t>í</w:t>
      </w:r>
      <w:r>
        <w:t xml:space="preserve"> z E</w:t>
      </w:r>
      <w:r w:rsidR="0033023F">
        <w:t>Z</w:t>
      </w:r>
      <w:r>
        <w:t>FRV a specifika venkovských oblastí a odvětví, v nichž působí. Vzhledem k tomu, že venkovské oblasti jsou obvykle strukturálně slabší než městské oblasti a že strategie Evropa 2020 je založena na investicích do růstových oblastí a odvětví, lze očekávat relativně nižší přispění PRV v porovnání s jinými operačními programy</w:t>
      </w:r>
      <w:r>
        <w:rPr>
          <w:vertAlign w:val="superscript"/>
        </w:rPr>
        <w:footnoteReference w:id="74"/>
      </w:r>
      <w:r>
        <w:t xml:space="preserve">. To, co může vypadat jako méně důležité z hlediska národního hospodářství, však může mít vysokou hodnotu, pokud jde o HDP ve venkovských oblastech a </w:t>
      </w:r>
      <w:r>
        <w:lastRenderedPageBreak/>
        <w:t xml:space="preserve">jejich budoucí rozvoj. Proto je třeba vypočítat hlavní cíl pro přispění PRV a zodpovědět společnou hodnotící otázku.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Navrhovaný přístup k zodpovězení společné hodnotící otázky č.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Intervenční logika </w:t>
      </w:r>
    </w:p>
    <w:p w:rsidR="00697455" w:rsidRDefault="00A45935" w:rsidP="00E05D08">
      <w:pPr>
        <w:spacing w:after="120" w:line="280" w:lineRule="atLeast"/>
        <w:mirrorIndents/>
        <w:rPr>
          <w:rFonts w:eastAsia="Times New Roman" w:cs="Times New Roman"/>
          <w:szCs w:val="20"/>
        </w:rPr>
      </w:pPr>
      <w:r>
        <w:t xml:space="preserve">Jako součást intervenční logiky v souvislosti se společnou hodnotící otázkou č. 23 by měla být vzata v úvahu veškerá opatření/podopatření PRV, jež prostřednictvím tří scénářů přispívají k podpoře inovací ve venkovských oblastech, jak bylo zjištěno při posouzení jejich inovačního potenciálu (viz </w:t>
      </w:r>
      <w:hyperlink w:anchor="Screening_Potential" w:history="1">
        <w:r>
          <w:rPr>
            <w:rStyle w:val="Hyperlink"/>
            <w:sz w:val="20"/>
            <w:szCs w:val="20"/>
          </w:rPr>
          <w:t>oddíl 2.2</w:t>
        </w:r>
      </w:hyperlink>
      <w:r>
        <w:t xml:space="preserve">). To přesahuje rámec opatření, která jsou především považována za opatření podporující inovace – M1, M2 a M16 – a mohlo by zahrnovat i další investiční a marketingová opatření a opatření zaměřená na danou oblast, jejichž provádění by mohlo podpořit inovace (např. prostřednictvím použití kritérií výběru projektů týkajících se inovací). Operace prováděné v rámci těchto opatření a podopatření se zohlední při výpočtu výdajů na výzkum, vývoj a inovace a při posouzení plnění hlavního cíle nebo jeho zástupného ukazatele (hrubých domácích výdajů na výzkum a vývoj) a pro zodpovězení společné hodnotící otázky č. 23 se použijí dodatečné ukazatele (určené při posouzení inovačního potenciálu – viz </w:t>
      </w:r>
      <w:hyperlink w:anchor="Screening_Potential" w:history="1">
        <w:r>
          <w:rPr>
            <w:rStyle w:val="Hyperlink"/>
            <w:sz w:val="20"/>
            <w:szCs w:val="20"/>
          </w:rPr>
          <w:t>oddíl 2.2</w:t>
        </w:r>
      </w:hyperlink>
      <w:r>
        <w:t xml:space="preserve">). </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Prvky hodnocení související se společnou hodnotící otázkou č. 23</w:t>
      </w:r>
    </w:p>
    <w:p w:rsidR="00A45935" w:rsidRPr="00E05D08" w:rsidRDefault="00A45935" w:rsidP="00E05D08">
      <w:pPr>
        <w:spacing w:after="120" w:line="280" w:lineRule="atLeast"/>
        <w:mirrorIndents/>
        <w:rPr>
          <w:rFonts w:eastAsia="Times New Roman" w:cs="Times New Roman"/>
          <w:szCs w:val="20"/>
        </w:rPr>
      </w:pPr>
      <w:r>
        <w:t xml:space="preserve">Pracovní dokument </w:t>
      </w:r>
      <w:hyperlink r:id="rId80" w:history="1">
        <w:r>
          <w:rPr>
            <w:rStyle w:val="Hyperlink"/>
            <w:sz w:val="20"/>
            <w:szCs w:val="20"/>
          </w:rPr>
          <w:t>Společné hodnotící otázky pro programy rozvoje venkova 2014–2020</w:t>
        </w:r>
      </w:hyperlink>
      <w:r>
        <w:t xml:space="preserve"> navrhuje k zodpovězení SHP č. 23 použít dvě hodnotící kritéria (investice do výzkumu a vývoje se zvýšily a inovace byly podporovány), dva společné ukazatele společného systému monitorování a hodnocení (T1 – výdaje podle článků 14 a 35 a T2 – celkový počet operací spolupráce podpořených v rámci opatření „spolupráce“) a jeden dodatečný ukazatel (výdaje PRV na výzkum a vývoj jako % HDP). Tyto prvky však nemohou v plném rozsahu vystihnout přispění PRV k plnění hlavního cíle. </w:t>
      </w:r>
    </w:p>
    <w:p w:rsidR="00A45935" w:rsidRPr="00E05D08" w:rsidRDefault="00A45935" w:rsidP="00E05D08">
      <w:pPr>
        <w:spacing w:after="120" w:line="280" w:lineRule="atLeast"/>
        <w:mirrorIndents/>
        <w:rPr>
          <w:rFonts w:eastAsia="Times New Roman" w:cs="Times New Roman"/>
          <w:szCs w:val="20"/>
        </w:rPr>
      </w:pPr>
      <w:r>
        <w:t xml:space="preserve">Tyto pokyny proto navrhují zavést dodatečné prvky hodnocení pro zodpovězení SHP č. 23 (viz </w:t>
      </w:r>
      <w:hyperlink w:anchor="JC_Indic_data" w:history="1">
        <w:r>
          <w:rPr>
            <w:rStyle w:val="Hyperlink"/>
            <w:sz w:val="20"/>
            <w:szCs w:val="20"/>
          </w:rPr>
          <w:t>tabulka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703608"/>
      <w:bookmarkEnd w:id="125"/>
      <w:r>
        <w:rPr>
          <w:color w:val="6F6F6F"/>
          <w:sz w:val="18"/>
          <w:szCs w:val="18"/>
        </w:rPr>
        <w:lastRenderedPageBreak/>
        <w:t>Hodnotící kritéria, ukazatele a údaje požadované pro zodpovězení společné hodnotící otázky č.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346923">
        <w:trPr>
          <w:trHeight w:val="294"/>
          <w:tblHeader/>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Hodnotící kritéria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Ukazatele</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Potřeby údajů</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Zdroje údajů</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Společné prvky hodnocení (společný systém monitorování a hodnocení a prvky navrhované v pracovním dokumentu „Společné hodnotící otázky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Investice do výzkumu, vývoje a inovací se zvýšily</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Inovace byly podporovány.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 výdajů podle článků 14, 15 a 35 nařízení (EU) č. 1305/2013 v poměru k celkovým výdajům na program rozvoje venkova.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Celkový počet operací projektů spolupráce podpořených v rámci opatření „spolupráce“ (článek 35 nařízení (EU) č. 1305/2013 (seskupení, sítě/klastry, pilotní projekty).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Dodatečný ukazatel:</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Výdaje PRV na výzkum a vývoj jako % HDP (hrubé domácí výdaje na výzkum a vývoj „rozvoj venkova</w:t>
            </w:r>
            <w:r w:rsidR="00FF6BF2" w:rsidRPr="00FF6BF2">
              <w:rPr>
                <w:color w:val="57825E"/>
                <w:sz w:val="18"/>
                <w:szCs w:val="18"/>
              </w:rPr>
              <w:t>“</w:t>
            </w:r>
            <w:r>
              <w:rPr>
                <w:color w:val="57825E"/>
                <w:sz w:val="18"/>
                <w:szCs w:val="18"/>
              </w:rPr>
              <w:t>).</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Údaje o výdajích PRV na výzkum, vývoj a inovace.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Údaje o celkových výdajích PRV. </w:t>
            </w:r>
          </w:p>
          <w:p w:rsidR="00A45935" w:rsidRPr="00E05D08" w:rsidRDefault="00A45935" w:rsidP="00BA4FCD">
            <w:pPr>
              <w:spacing w:after="120" w:line="280" w:lineRule="atLeast"/>
              <w:jc w:val="left"/>
              <w:rPr>
                <w:rFonts w:eastAsia="Times New Roman" w:cs="Arial"/>
                <w:sz w:val="18"/>
                <w:szCs w:val="18"/>
              </w:rPr>
            </w:pPr>
            <w:r>
              <w:rPr>
                <w:sz w:val="18"/>
                <w:szCs w:val="18"/>
              </w:rPr>
              <w:t>Údaje o výdajích na výzkum, vývoj a inovace za členský stát / region.</w:t>
            </w:r>
          </w:p>
          <w:p w:rsidR="00A45935" w:rsidRPr="00E05D08" w:rsidRDefault="00A45935" w:rsidP="00BA4FCD">
            <w:pPr>
              <w:spacing w:after="120" w:line="280" w:lineRule="atLeast"/>
              <w:jc w:val="left"/>
              <w:rPr>
                <w:rFonts w:eastAsia="Times New Roman" w:cs="Arial"/>
                <w:sz w:val="18"/>
                <w:szCs w:val="18"/>
              </w:rPr>
            </w:pPr>
            <w:r>
              <w:rPr>
                <w:sz w:val="18"/>
                <w:szCs w:val="18"/>
              </w:rPr>
              <w:t>Údaje o HDP za členský stát / region.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Systém monitorování PRV.</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Celostátní/regionální statistiky.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Dodatečné prvky hodnocení (nepovinné)</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Investice do výzkumu, vývoje a inovací se zvýšily.</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Dodatečné ukazatele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Hrubé domácí výdaje na výzkum a vývoj hrubých domácích výdajů na výzkum a vývoj v poměru k hrubému domácímu produktu (HDP).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Výdaje PRV na výzkum, vývoj a inovace jako % celkových výdajů PRV.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lastRenderedPageBreak/>
              <w:t>Výdaje PRV na výzkum, vývoj a inovace jako % hrubých domácích výdajů na výzkum, vývoj a inovace</w:t>
            </w:r>
            <w:r w:rsidR="00FF6BF2">
              <w:rPr>
                <w:color w:val="57825E"/>
                <w:sz w:val="18"/>
                <w:szCs w:val="18"/>
              </w:rPr>
              <w:t>.</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Údaje o výzkumu, vývoji a inovacích v souladu s manuálem Frascati.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Údaje o výdajích PRV na výzkum, vývoj a inovace, v členění podle druhů příjemců.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Údaje o celkových výdajích PRV. </w:t>
            </w:r>
          </w:p>
          <w:p w:rsidR="00A45935" w:rsidRPr="00E05D08" w:rsidRDefault="00A45935" w:rsidP="00BA4FCD">
            <w:pPr>
              <w:spacing w:after="120" w:line="280" w:lineRule="atLeast"/>
              <w:jc w:val="left"/>
              <w:rPr>
                <w:rFonts w:eastAsia="Times New Roman" w:cs="Arial"/>
                <w:sz w:val="18"/>
                <w:szCs w:val="18"/>
              </w:rPr>
            </w:pPr>
            <w:r>
              <w:rPr>
                <w:sz w:val="18"/>
                <w:szCs w:val="18"/>
              </w:rPr>
              <w:t>Údaje o výdajích na výzkum, vývoj a inovace za členský stát / region.</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Údaje o HDP za členský stát / region.</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Systém monitorování PRV.</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Celostátní/regionální statistiky.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Navrhovaná metodika hodnocení</w:t>
      </w:r>
    </w:p>
    <w:p w:rsidR="00A45935" w:rsidRPr="00E05D08" w:rsidRDefault="00A45935" w:rsidP="00E05D08">
      <w:pPr>
        <w:spacing w:after="120" w:line="280" w:lineRule="atLeast"/>
        <w:mirrorIndents/>
        <w:rPr>
          <w:rFonts w:eastAsia="Times New Roman" w:cs="Times New Roman"/>
          <w:szCs w:val="20"/>
        </w:rPr>
      </w:pPr>
      <w:r>
        <w:t>Údaje pro ukazatel hlavního cíle shromažďuje Eurostat a národní statistika a odkazují na hrubé domácí výdaje na výzkum a vývoj jako zástupný ukazatel za HDP, známý jako intenzita výzkumu a vývoje. Statistika sestavuje výdaje na výzkum a vývoj vynakládané ve čtyřech sektorech: 1) podnikatelský sektor, 2) vládní sektor, 3) sektor vysokých škol a 4) soukromý neziskový sektor. Podrobnější informace o výpočtu každého z ukazatelů jsou uvedeny v tabulce 8.</w:t>
      </w:r>
    </w:p>
    <w:p w:rsidR="00F73706" w:rsidRPr="0059311F" w:rsidRDefault="00F73706" w:rsidP="00F73706">
      <w:pPr>
        <w:pStyle w:val="Hlistbullet"/>
      </w:pPr>
      <w:r>
        <w:t xml:space="preserve">Údaje pro společné ukazatele T1 a T2 se shromažďují přímo ze systému monitorování PRV (databáze operací). </w:t>
      </w:r>
    </w:p>
    <w:p w:rsidR="00F73706" w:rsidRPr="00F73706" w:rsidRDefault="00F73706" w:rsidP="00F73706">
      <w:pPr>
        <w:pStyle w:val="Hlistbullet"/>
      </w:pPr>
      <w:r>
        <w:t>Údaje pro hlavní cíl „</w:t>
      </w:r>
      <w:r>
        <w:rPr>
          <w:i/>
        </w:rPr>
        <w:t>Hrubé domácí výdaje na výzkum a vývoj v poměru k hrubému domácímu produktu (HDP)“</w:t>
      </w:r>
      <w:r>
        <w:t xml:space="preserve"> lze shromáždit na úrovni NUTS 1 a NUTS 2 od Eurostatu.</w:t>
      </w:r>
    </w:p>
    <w:p w:rsidR="00F73706" w:rsidRPr="00F73706" w:rsidRDefault="00F73706" w:rsidP="00F73706">
      <w:pPr>
        <w:pStyle w:val="Hlistbullet"/>
      </w:pPr>
      <w:r>
        <w:t>Dodatečný ukazatel „</w:t>
      </w:r>
      <w:r>
        <w:rPr>
          <w:i/>
        </w:rPr>
        <w:t>Výdaje PRV na výzkum a vývoj jako % HDP“</w:t>
      </w:r>
      <w:r>
        <w:t xml:space="preserve"> (dále označováno jako hrubé domácí výdaje na výzkum a vývoj „rozvoj venkova“ </w:t>
      </w:r>
      <w:r>
        <w:rPr>
          <w:vertAlign w:val="superscript"/>
        </w:rPr>
        <w:t>RV</w:t>
      </w:r>
      <w:r>
        <w:t>) vyjadřuje výdaje PRV na výzkum a vývoj prostřednictvím příslušných opatření/podopatření v poměru k HDP.</w:t>
      </w:r>
    </w:p>
    <w:p w:rsidR="00F73706" w:rsidRPr="00F73706" w:rsidRDefault="00F73706" w:rsidP="00F73706">
      <w:pPr>
        <w:pStyle w:val="Hlistbullet2"/>
      </w:pPr>
      <w:r>
        <w:t xml:space="preserve">Údaje o HDP se shromažďují prostřednictvím národní statistiky a jsou rovněž k dispozici ze zdrojů EU (Eurostat). </w:t>
      </w:r>
    </w:p>
    <w:p w:rsidR="00F73706" w:rsidRPr="00F73706" w:rsidRDefault="00F73706" w:rsidP="00F73706">
      <w:pPr>
        <w:pStyle w:val="Hlistbullet2"/>
      </w:pPr>
      <w:r>
        <w:t xml:space="preserve">Údaje o výdajích PRV na výzkum, vývoj a inovace lze získat ze systému monitorování PRV vypočítáním výdajů souvisejících s operacemi s inovačním potenciálem (zjištěnými při posouzení inovačního potenciálu – viz </w:t>
      </w:r>
      <w:hyperlink w:anchor="Screening_Potential" w:history="1">
        <w:r>
          <w:rPr>
            <w:rStyle w:val="Hyperlink"/>
            <w:sz w:val="20"/>
          </w:rPr>
          <w:t>oddíl 2.2</w:t>
        </w:r>
      </w:hyperlink>
      <w:r>
        <w:t xml:space="preserve">), které se rozčlení podle příjemců přiřazených k sektorům podle manuálu Frascati. </w:t>
      </w:r>
    </w:p>
    <w:p w:rsidR="00F73706" w:rsidRPr="00F73706" w:rsidRDefault="00F73706" w:rsidP="00F73706">
      <w:pPr>
        <w:pStyle w:val="Hlistbullet"/>
      </w:pPr>
      <w:r>
        <w:t>Dodatečný ukazatel „</w:t>
      </w:r>
      <w:r>
        <w:rPr>
          <w:i/>
        </w:rPr>
        <w:t>výdaje PRV na výzkum, vývoj a inovace jako % celkových výdajů PRV“</w:t>
      </w:r>
      <w:r>
        <w:t xml:space="preserve"> ukazuje velikost rozpočtu PRV věnovaného na podporu výzkumu, vývoje a inovací. Údaje pro tento ukazatel lze také získat ze systému monitorování PRV, pokud je databáze operací přizpůsobena tak, aby bylo možné sledovat rovněž informace o projektech s vysokým inovačním potenciálem, jak byly určeny při posouzení před hodnocením.</w:t>
      </w:r>
    </w:p>
    <w:p w:rsidR="00A45935" w:rsidRPr="00E05D08" w:rsidRDefault="00F73706" w:rsidP="00F73706">
      <w:pPr>
        <w:pStyle w:val="Hlistbullet"/>
      </w:pPr>
      <w:r>
        <w:t>Dodatečný ukazatel</w:t>
      </w:r>
      <w:r>
        <w:rPr>
          <w:i/>
        </w:rPr>
        <w:t xml:space="preserve"> „výdaje PRV na výzkum, vývoj a inovace jako % hrubých domácích výdajů na výzkum, vývoj a inovace“ </w:t>
      </w:r>
      <w:r>
        <w:t>ukazuje poměr mezi investicemi PRV do výzkumu, vývoje a inovací a hrubými domácí</w:t>
      </w:r>
      <w:r w:rsidR="00B71961">
        <w:t>mi</w:t>
      </w:r>
      <w:r>
        <w:t xml:space="preserve"> výdaji na výzkum a vývoj. Údaje lze získat ze systému monitorování PRV, z národní a regionální statistiky a od Eurostatu.</w:t>
      </w:r>
    </w:p>
    <w:p w:rsidR="00A45935" w:rsidRPr="00E05D08" w:rsidRDefault="00A45935" w:rsidP="00E05D08">
      <w:pPr>
        <w:spacing w:after="120" w:line="280" w:lineRule="atLeast"/>
        <w:mirrorIndents/>
        <w:rPr>
          <w:rFonts w:eastAsia="Times New Roman" w:cs="Times New Roman"/>
          <w:szCs w:val="20"/>
        </w:rPr>
      </w:pPr>
      <w:r>
        <w:t xml:space="preserve">Číselné údaje pro ukazatele lze vypočítat </w:t>
      </w:r>
      <w:r>
        <w:rPr>
          <w:i/>
          <w:szCs w:val="20"/>
        </w:rPr>
        <w:t>ex ante</w:t>
      </w:r>
      <w:r>
        <w:t xml:space="preserve"> (plánované přispění), v době hodnocení výroční zprávy o provádění, která bude předložen</w:t>
      </w:r>
      <w:r w:rsidR="00B71961">
        <w:t>a</w:t>
      </w:r>
      <w:r>
        <w:t xml:space="preserve"> v roce 2019, a při hodnocení </w:t>
      </w:r>
      <w:r>
        <w:rPr>
          <w:i/>
          <w:szCs w:val="20"/>
        </w:rPr>
        <w:t>ex post</w:t>
      </w:r>
      <w:r>
        <w:t xml:space="preserve"> (skutečné přispění v době hodnocení), což poté umožní porovnat plánované přispění se skutečným přispěním. Příklad uvedený v tabulce 8 ukazuje naplánované a skutečné hodnoty společných a dodatečných ukazatelů:</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8703609"/>
      <w:r>
        <w:rPr>
          <w:color w:val="6F6F6F"/>
          <w:sz w:val="18"/>
          <w:szCs w:val="18"/>
        </w:rPr>
        <w:lastRenderedPageBreak/>
        <w:t>Příklad plánovaných a skutečných hodnot společných a dodatečných ukazatelů</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21"/>
        <w:gridCol w:w="4077"/>
        <w:gridCol w:w="1495"/>
        <w:gridCol w:w="1494"/>
        <w:gridCol w:w="84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Ukazatele</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Plánováno</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Skutečné</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Výpočet</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Vstupní údaje o PRV (z databáze operací)</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Celkové výdaje PRV (agregované).</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Výdaje PRV podle článků 14,15 a 35 nařízení (EU) č. 1305/2013 (agregované).</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Výdaje PRV na všechna opatření/podopatření PRV investující do výzkumu a vývoje a se schopností podpořit inovace (agregované).</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Údaje o souvislostech</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Celostátní/regionální HDP (podle všech sektorů) (ročně).</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Hrubé domácí výdaje na výzkum a vývoj podle všech sektorů (ročně).</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Hodnoty společných ukazatelů cíle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 výdajů podle článků 14, 15 a 35 nařízení (EU) č. 1305/2013 v poměru k celkovým výdajům na program rozvoje venkova.</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Celkový počet operací projektů spolupráce podpořených v rámci opatření „spolupráce“ (článek 35 nařízení (EU) č. 1305/2013 (seskupení, sítě/klastry, pilotní projekty).</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Hodnoty dodatečných ukazatelů výsledků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Hrubé domácí výdaje na výzkum a vývoj hrubých domácích výdajů na výzkum a vývoj v poměru k hrubému domácímu produktu (HDP).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Výdaje PRV na výzkum a vývoj jako % HDP (hrubé domácí výdaje na výzkum a vývoj „rozvoj venkova</w:t>
            </w:r>
            <w:r w:rsidR="002F0F03" w:rsidRPr="002F0F03">
              <w:rPr>
                <w:color w:val="57825E"/>
                <w:sz w:val="18"/>
                <w:szCs w:val="18"/>
              </w:rPr>
              <w:t>“</w:t>
            </w:r>
            <w:r>
              <w:rPr>
                <w:color w:val="57825E"/>
                <w:sz w:val="18"/>
                <w:szCs w:val="18"/>
              </w:rPr>
              <w:t xml:space="preserv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Výdaje PRV na výzkum, vývoj a inovace jako % celkových výdajů PRV.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Výdaje PRV na výzkum, vývoj a inovace jako % hrubých domácích výdajů na výzkum, vývoj a inovace.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Rizika a řešení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Riziko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Řešení</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Špatný odhad potenciálu různých opatření PRV podpořit inovace ve venkovských oblastech, zejména těch opatření, kter</w:t>
            </w:r>
            <w:r w:rsidR="00C95C77">
              <w:rPr>
                <w:sz w:val="18"/>
                <w:szCs w:val="18"/>
              </w:rPr>
              <w:t>á</w:t>
            </w:r>
            <w:r>
              <w:rPr>
                <w:sz w:val="18"/>
                <w:szCs w:val="18"/>
              </w:rPr>
              <w:t xml:space="preserve"> nepředstavují typická „inovační opatření“ jako M1, M2, M16, M19 nebo M20, což by mohlo způsobit chyby ve výpočtu výdajů PRV souvisejících s výzkumem, vývojem a inovacemi.</w:t>
            </w:r>
          </w:p>
          <w:p w:rsidR="00A45935" w:rsidRPr="00D5760C"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A34CEB">
            <w:pPr>
              <w:spacing w:after="120" w:line="280" w:lineRule="atLeast"/>
              <w:jc w:val="left"/>
              <w:rPr>
                <w:rFonts w:eastAsia="Calibri" w:cs="Arial"/>
                <w:sz w:val="18"/>
                <w:szCs w:val="18"/>
              </w:rPr>
            </w:pPr>
            <w:r>
              <w:rPr>
                <w:sz w:val="18"/>
                <w:szCs w:val="18"/>
              </w:rPr>
              <w:t xml:space="preserve">Toto riziko lze zčásti eliminovat, pokud existuje důkladné posouzení inovačního potenciálu PRV provedené před zahájením hodnocení. Označení opatření PRV, jež by mohla vykázat vysoký inovační potenciál, usnadní posouzení jejich skutečné schopnosti toho dosáhnout. Pokud například hodnotitelé vědí, která opatření mohou mít silný účinek na vznik nových nápadů, zkontrolují v době hodnocení „inovační výkonnost“ těchto opatření a výdaje na tato opatření zohlední při výpočtu příslušných ukazatelů.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 xml:space="preserve">Nedostatečná dostupnost a kvalita údajů (v požadovaném formátu) o výzkumu, vývoji a inovacích, které lze získat z národní a regionální statistiky. V případě, že není dostatek kvalitních </w:t>
            </w:r>
            <w:r>
              <w:rPr>
                <w:sz w:val="18"/>
                <w:szCs w:val="18"/>
              </w:rPr>
              <w:lastRenderedPageBreak/>
              <w:t>údajů, existuje riziko, že hodnotitelé by nemohli použít vhodné techniky pro odhad výdajů investovaných do výzkumu, vývoje a inovací. To může ohrozit získání realistických hodnot navržených dodatečných ukazatelů.</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Aby se tomuto riziku předešlo, je důležité</w:t>
            </w:r>
            <w:r w:rsidR="00842EBB">
              <w:rPr>
                <w:sz w:val="18"/>
                <w:szCs w:val="18"/>
              </w:rPr>
              <w:t>,</w:t>
            </w:r>
            <w:r>
              <w:rPr>
                <w:sz w:val="18"/>
                <w:szCs w:val="18"/>
              </w:rPr>
              <w:t xml:space="preserve"> aby hodnotitelé měli nezbytnou kapacitu a nástroje </w:t>
            </w:r>
            <w:r>
              <w:rPr>
                <w:sz w:val="18"/>
                <w:szCs w:val="18"/>
              </w:rPr>
              <w:lastRenderedPageBreak/>
              <w:t>(např. koeficienty) umožňující odhadnout statistické hodnoty na národní/regionální úrovni.</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Závěry a doporučení </w:t>
      </w:r>
    </w:p>
    <w:p w:rsidR="00A45935" w:rsidRPr="00E05D08" w:rsidRDefault="00A45935" w:rsidP="00E05D08">
      <w:pPr>
        <w:spacing w:after="120" w:line="280" w:lineRule="atLeast"/>
        <w:mirrorIndents/>
        <w:rPr>
          <w:rFonts w:eastAsia="Times New Roman" w:cs="Times New Roman"/>
          <w:szCs w:val="20"/>
        </w:rPr>
      </w:pPr>
      <w:r>
        <w:t>Závěry a doporučení v souvislosti se společnou hodnotící otázkou č. 23 by měly posoudit toto:</w:t>
      </w:r>
    </w:p>
    <w:p w:rsidR="00A45935" w:rsidRPr="00545C6C" w:rsidRDefault="00A45935" w:rsidP="000026C6">
      <w:pPr>
        <w:pStyle w:val="Hlistbullet"/>
      </w:pPr>
      <w:r>
        <w:rPr>
          <w:b/>
        </w:rPr>
        <w:t>Úroveň investic do výzkumu, vývoje a inovací</w:t>
      </w:r>
      <w:r>
        <w:t xml:space="preserve"> provedených prostřednictvím PRV v poměru k celkové situaci v investování do výzkumu, vývoje a inovací v členských státech / regionu.</w:t>
      </w:r>
    </w:p>
    <w:p w:rsidR="00A45935" w:rsidRPr="00545C6C" w:rsidRDefault="00A45935" w:rsidP="000026C6">
      <w:pPr>
        <w:pStyle w:val="Hlistbullet"/>
      </w:pPr>
      <w:r>
        <w:rPr>
          <w:b/>
        </w:rPr>
        <w:t>Potenciál jednotlivých opatření investovat do výzkumu, vývoje a inovací</w:t>
      </w:r>
      <w:r>
        <w:t xml:space="preserve"> v zemědělství, potravinářském průmyslu, lesnictví a venkovských oblastech. </w:t>
      </w:r>
    </w:p>
    <w:p w:rsidR="00A45935" w:rsidRPr="00E05D08" w:rsidRDefault="00A45935" w:rsidP="00F31494">
      <w:pPr>
        <w:pStyle w:val="HHeading4"/>
        <w:rPr>
          <w:rFonts w:eastAsia="Calibri"/>
        </w:rPr>
      </w:pPr>
      <w:r>
        <w:t>Další informace</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2448560"/>
                <wp:effectExtent l="0" t="0" r="26035" b="27940"/>
                <wp:docPr id="559" name="Rectangle: Diagonal Corners Rounded 559"/>
                <wp:cNvGraphicFramePr/>
                <a:graphic xmlns:a="http://schemas.openxmlformats.org/drawingml/2006/main">
                  <a:graphicData uri="http://schemas.microsoft.com/office/word/2010/wordprocessingShape">
                    <wps:wsp>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rsidR="005716B0" w:rsidRDefault="005716B0"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8D17C8" w:rsidRDefault="005716B0" w:rsidP="00E05D08">
                            <w:pPr>
                              <w:pStyle w:val="HStandard"/>
                              <w:rPr>
                                <w:sz w:val="18"/>
                                <w:szCs w:val="18"/>
                              </w:rPr>
                            </w:pPr>
                            <w:r>
                              <w:rPr>
                                <w:sz w:val="18"/>
                                <w:szCs w:val="18"/>
                              </w:rPr>
                              <w:t xml:space="preserve">EK (2010) EVROPA 2020 – </w:t>
                            </w:r>
                            <w:hyperlink r:id="rId81" w:history="1">
                              <w:r>
                                <w:rPr>
                                  <w:rStyle w:val="Hyperlink"/>
                                  <w:sz w:val="18"/>
                                  <w:szCs w:val="18"/>
                                </w:rPr>
                                <w:t>Strategie pro inteligentní a udržitelný růst podporující začlenění</w:t>
                              </w:r>
                            </w:hyperlink>
                          </w:p>
                          <w:p w:rsidR="005716B0" w:rsidRPr="008D17C8" w:rsidRDefault="005716B0" w:rsidP="00E05D08">
                            <w:pPr>
                              <w:pStyle w:val="HStandard"/>
                              <w:rPr>
                                <w:sz w:val="18"/>
                                <w:szCs w:val="18"/>
                              </w:rPr>
                            </w:pPr>
                            <w:r>
                              <w:rPr>
                                <w:sz w:val="18"/>
                                <w:szCs w:val="18"/>
                              </w:rPr>
                              <w:t xml:space="preserve">EUROSTAT (2017). </w:t>
                            </w:r>
                            <w:hyperlink r:id="rId82" w:history="1">
                              <w:r w:rsidRPr="00DC2840">
                                <w:rPr>
                                  <w:rStyle w:val="Hyperlink"/>
                                  <w:sz w:val="18"/>
                                  <w:szCs w:val="18"/>
                                </w:rPr>
                                <w:t>Smarter, greener, more inclusive? Indicat</w:t>
                              </w:r>
                              <w:r>
                                <w:rPr>
                                  <w:rStyle w:val="Hyperlink"/>
                                  <w:sz w:val="18"/>
                                  <w:szCs w:val="18"/>
                                </w:rPr>
                                <w:t>ors to support the Europe 2020 S</w:t>
                              </w:r>
                              <w:r w:rsidRPr="00DC2840">
                                <w:rPr>
                                  <w:rStyle w:val="Hyperlink"/>
                                  <w:sz w:val="18"/>
                                  <w:szCs w:val="18"/>
                                </w:rPr>
                                <w:t>trategy</w:t>
                              </w:r>
                            </w:hyperlink>
                            <w:r>
                              <w:rPr>
                                <w:rStyle w:val="Hyperlink"/>
                                <w:sz w:val="18"/>
                                <w:szCs w:val="18"/>
                              </w:rPr>
                              <w:t xml:space="preserve"> </w:t>
                            </w:r>
                            <w:r w:rsidRPr="00842EBB">
                              <w:t>(</w:t>
                            </w:r>
                            <w:r w:rsidRPr="00842EBB">
                              <w:rPr>
                                <w:sz w:val="18"/>
                                <w:szCs w:val="18"/>
                              </w:rPr>
                              <w:t>Inteligentněji, zeleněji a s větší podporou začlenění? Ukazatele na</w:t>
                            </w:r>
                            <w:r>
                              <w:rPr>
                                <w:sz w:val="18"/>
                                <w:szCs w:val="18"/>
                              </w:rPr>
                              <w:t> podporu strategie Evropa 2020)</w:t>
                            </w:r>
                          </w:p>
                          <w:p w:rsidR="005716B0" w:rsidRPr="008D17C8" w:rsidRDefault="005716B0" w:rsidP="00E05D08">
                            <w:pPr>
                              <w:pStyle w:val="HStandard"/>
                              <w:rPr>
                                <w:sz w:val="18"/>
                                <w:szCs w:val="18"/>
                              </w:rPr>
                            </w:pPr>
                            <w:r>
                              <w:rPr>
                                <w:sz w:val="18"/>
                                <w:szCs w:val="18"/>
                              </w:rPr>
                              <w:t>Dietz S. (2017) „</w:t>
                            </w:r>
                            <w:hyperlink r:id="rId83" w:history="1">
                              <w:r>
                                <w:rPr>
                                  <w:rStyle w:val="Hyperlink"/>
                                  <w:sz w:val="18"/>
                                  <w:szCs w:val="18"/>
                                </w:rPr>
                                <w:t>ELER im Kontext der Strategie „Europa 2020</w:t>
                              </w:r>
                            </w:hyperlink>
                            <w:r>
                              <w:t>“</w:t>
                            </w:r>
                            <w:r>
                              <w:rPr>
                                <w:sz w:val="18"/>
                                <w:szCs w:val="18"/>
                              </w:rPr>
                              <w:t>; prezentace na výroční akci sítě MEN-D v roce 2017</w:t>
                            </w:r>
                          </w:p>
                          <w:p w:rsidR="005716B0" w:rsidRPr="00385368" w:rsidRDefault="005716B0" w:rsidP="00E05D08">
                            <w:pPr>
                              <w:pStyle w:val="HStandard"/>
                              <w:rPr>
                                <w:sz w:val="18"/>
                                <w:szCs w:val="18"/>
                              </w:rPr>
                            </w:pPr>
                            <w:r>
                              <w:rPr>
                                <w:sz w:val="18"/>
                                <w:szCs w:val="18"/>
                              </w:rPr>
                              <w:t xml:space="preserve">MEN-D (2015) </w:t>
                            </w:r>
                            <w:hyperlink r:id="rId84" w:history="1">
                              <w:r>
                                <w:rPr>
                                  <w:rStyle w:val="Hyperlink"/>
                                  <w:sz w:val="18"/>
                                  <w:szCs w:val="18"/>
                                </w:rPr>
                                <w:t>Monitoring und Evaluierung der ELER-Förderperiode 2014 – 2020: Auswertung der Methoden und Erfahrungen der Ex-Ante Bewertung.</w:t>
                              </w:r>
                            </w:hyperlink>
                          </w:p>
                          <w:p w:rsidR="005716B0" w:rsidRPr="000041C9" w:rsidRDefault="005716B0" w:rsidP="00E05D08">
                            <w:pPr>
                              <w:pStyle w:val="HStandard"/>
                              <w:rPr>
                                <w:sz w:val="18"/>
                                <w:szCs w:val="18"/>
                              </w:rPr>
                            </w:pPr>
                            <w:r>
                              <w:rPr>
                                <w:sz w:val="18"/>
                                <w:szCs w:val="18"/>
                              </w:rPr>
                              <w:t xml:space="preserve">MEN-D (2017) </w:t>
                            </w:r>
                            <w:hyperlink r:id="rId85" w:history="1">
                              <w:r>
                                <w:rPr>
                                  <w:rStyle w:val="Hyperlink"/>
                                  <w:sz w:val="18"/>
                                  <w:szCs w:val="18"/>
                                </w:rPr>
                                <w:t>EZFRV v kontextu strategie Evropa 2020 – hodnocení přispění a budoucí výzvy</w:t>
                              </w:r>
                            </w:hyperlink>
                            <w:r>
                              <w:t xml:space="preserve"> (</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rsidR="005716B0" w:rsidRDefault="005716B0"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8D17C8" w:rsidRDefault="005716B0" w:rsidP="00E05D08">
                      <w:pPr>
                        <w:pStyle w:val="HStandard"/>
                        <w:rPr>
                          <w:sz w:val="18"/>
                          <w:szCs w:val="18"/>
                        </w:rPr>
                      </w:pPr>
                      <w:r>
                        <w:rPr>
                          <w:sz w:val="18"/>
                          <w:szCs w:val="18"/>
                        </w:rPr>
                        <w:t xml:space="preserve">EK (2010) EVROPA 2020 – </w:t>
                      </w:r>
                      <w:hyperlink r:id="rId86" w:history="1">
                        <w:r>
                          <w:rPr>
                            <w:rStyle w:val="Hyperlink"/>
                            <w:sz w:val="18"/>
                            <w:szCs w:val="18"/>
                          </w:rPr>
                          <w:t>Strategie pro inteligentní a udržitelný růst podporující začlenění</w:t>
                        </w:r>
                      </w:hyperlink>
                    </w:p>
                    <w:p w:rsidR="005716B0" w:rsidRPr="008D17C8" w:rsidRDefault="005716B0" w:rsidP="00E05D08">
                      <w:pPr>
                        <w:pStyle w:val="HStandard"/>
                        <w:rPr>
                          <w:sz w:val="18"/>
                          <w:szCs w:val="18"/>
                        </w:rPr>
                      </w:pPr>
                      <w:r>
                        <w:rPr>
                          <w:sz w:val="18"/>
                          <w:szCs w:val="18"/>
                        </w:rPr>
                        <w:t xml:space="preserve">EUROSTAT (2017). </w:t>
                      </w:r>
                      <w:hyperlink r:id="rId87" w:history="1">
                        <w:r w:rsidRPr="00DC2840">
                          <w:rPr>
                            <w:rStyle w:val="Hyperlink"/>
                            <w:sz w:val="18"/>
                            <w:szCs w:val="18"/>
                          </w:rPr>
                          <w:t>Smarter, greener, more inclusive? Indicat</w:t>
                        </w:r>
                        <w:r>
                          <w:rPr>
                            <w:rStyle w:val="Hyperlink"/>
                            <w:sz w:val="18"/>
                            <w:szCs w:val="18"/>
                          </w:rPr>
                          <w:t>ors to support the Europe 2020 S</w:t>
                        </w:r>
                        <w:r w:rsidRPr="00DC2840">
                          <w:rPr>
                            <w:rStyle w:val="Hyperlink"/>
                            <w:sz w:val="18"/>
                            <w:szCs w:val="18"/>
                          </w:rPr>
                          <w:t>trategy</w:t>
                        </w:r>
                      </w:hyperlink>
                      <w:r>
                        <w:rPr>
                          <w:rStyle w:val="Hyperlink"/>
                          <w:sz w:val="18"/>
                          <w:szCs w:val="18"/>
                        </w:rPr>
                        <w:t xml:space="preserve"> </w:t>
                      </w:r>
                      <w:r w:rsidRPr="00842EBB">
                        <w:t>(</w:t>
                      </w:r>
                      <w:r w:rsidRPr="00842EBB">
                        <w:rPr>
                          <w:sz w:val="18"/>
                          <w:szCs w:val="18"/>
                        </w:rPr>
                        <w:t>Inteligentněji, zeleněji a s větší podporou začlenění? Ukazatele na</w:t>
                      </w:r>
                      <w:r>
                        <w:rPr>
                          <w:sz w:val="18"/>
                          <w:szCs w:val="18"/>
                        </w:rPr>
                        <w:t> podporu strategie Evropa 2020)</w:t>
                      </w:r>
                    </w:p>
                    <w:p w:rsidR="005716B0" w:rsidRPr="008D17C8" w:rsidRDefault="005716B0" w:rsidP="00E05D08">
                      <w:pPr>
                        <w:pStyle w:val="HStandard"/>
                        <w:rPr>
                          <w:sz w:val="18"/>
                          <w:szCs w:val="18"/>
                        </w:rPr>
                      </w:pPr>
                      <w:r>
                        <w:rPr>
                          <w:sz w:val="18"/>
                          <w:szCs w:val="18"/>
                        </w:rPr>
                        <w:t>Dietz S. (2017) „</w:t>
                      </w:r>
                      <w:hyperlink r:id="rId88" w:history="1">
                        <w:r>
                          <w:rPr>
                            <w:rStyle w:val="Hyperlink"/>
                            <w:sz w:val="18"/>
                            <w:szCs w:val="18"/>
                          </w:rPr>
                          <w:t>ELER im Kontext der Strategie „Europa 2020</w:t>
                        </w:r>
                      </w:hyperlink>
                      <w:r>
                        <w:t>“</w:t>
                      </w:r>
                      <w:r>
                        <w:rPr>
                          <w:sz w:val="18"/>
                          <w:szCs w:val="18"/>
                        </w:rPr>
                        <w:t>; prezentace na výroční akci sítě MEN-D v roce 2017</w:t>
                      </w:r>
                    </w:p>
                    <w:p w:rsidR="005716B0" w:rsidRPr="00385368" w:rsidRDefault="005716B0" w:rsidP="00E05D08">
                      <w:pPr>
                        <w:pStyle w:val="HStandard"/>
                        <w:rPr>
                          <w:sz w:val="18"/>
                          <w:szCs w:val="18"/>
                        </w:rPr>
                      </w:pPr>
                      <w:r>
                        <w:rPr>
                          <w:sz w:val="18"/>
                          <w:szCs w:val="18"/>
                        </w:rPr>
                        <w:t xml:space="preserve">MEN-D (2015) </w:t>
                      </w:r>
                      <w:hyperlink r:id="rId89" w:history="1">
                        <w:r>
                          <w:rPr>
                            <w:rStyle w:val="Hyperlink"/>
                            <w:sz w:val="18"/>
                            <w:szCs w:val="18"/>
                          </w:rPr>
                          <w:t>Monitoring und Evaluierung der ELER-Förderperiode 2014 – 2020: Auswertung der Methoden und Erfahrungen der Ex-Ante Bewertung.</w:t>
                        </w:r>
                      </w:hyperlink>
                    </w:p>
                    <w:p w:rsidR="005716B0" w:rsidRPr="000041C9" w:rsidRDefault="005716B0" w:rsidP="00E05D08">
                      <w:pPr>
                        <w:pStyle w:val="HStandard"/>
                        <w:rPr>
                          <w:sz w:val="18"/>
                          <w:szCs w:val="18"/>
                        </w:rPr>
                      </w:pPr>
                      <w:r>
                        <w:rPr>
                          <w:sz w:val="18"/>
                          <w:szCs w:val="18"/>
                        </w:rPr>
                        <w:t xml:space="preserve">MEN-D (2017) </w:t>
                      </w:r>
                      <w:hyperlink r:id="rId90" w:history="1">
                        <w:r>
                          <w:rPr>
                            <w:rStyle w:val="Hyperlink"/>
                            <w:sz w:val="18"/>
                            <w:szCs w:val="18"/>
                          </w:rPr>
                          <w:t>EZFRV v kontextu strategie Evropa 2020 – hodnocení přispění a budoucí výzvy</w:t>
                        </w:r>
                      </w:hyperlink>
                      <w:r>
                        <w:t xml:space="preserve"> (</w:t>
                      </w:r>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607840"/>
      <w:r>
        <w:t>Společná hodnotící otázka č. 30: „Do jaké míry přispěly intervence programu rozvoje venkova k podpoře inovací?“</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Pochopení společné hodnotící otázky</w:t>
      </w:r>
    </w:p>
    <w:p w:rsidR="00A45935" w:rsidRPr="00E05D08" w:rsidRDefault="00A45935" w:rsidP="00E05D08">
      <w:pPr>
        <w:spacing w:after="120" w:line="280" w:lineRule="atLeast"/>
        <w:mirrorIndents/>
        <w:rPr>
          <w:rFonts w:eastAsia="Times New Roman" w:cs="Arial"/>
          <w:szCs w:val="20"/>
        </w:rPr>
      </w:pPr>
      <w:r>
        <w:t xml:space="preserve">Společná hodnotící otázka č. 30 se týká procesu podpory inovací. Díky tomu je tato otázka koncepčně velmi široká vzhledem k tomu, že </w:t>
      </w:r>
      <w:r>
        <w:rPr>
          <w:b/>
          <w:szCs w:val="20"/>
        </w:rPr>
        <w:t>inovace vznikají z interakce účastníků inovačního systému</w:t>
      </w:r>
      <w:r>
        <w:t>.</w:t>
      </w:r>
      <w:r>
        <w:rPr>
          <w:b/>
          <w:szCs w:val="20"/>
        </w:rPr>
        <w:t xml:space="preserve"> </w:t>
      </w:r>
      <w:r>
        <w:t xml:space="preserve">K posouzení těchto procesů je zapotřebí čas, a tuto otázku proto lze zodpovědět až poté, co intervence PRV učiní podstatný pokrok (ve výroční zprávě o provádění, která bude předložena v roce 2019) nebo budou ukončeny (v hodnocení </w:t>
      </w:r>
      <w:r>
        <w:rPr>
          <w:i/>
          <w:szCs w:val="20"/>
        </w:rPr>
        <w:t>ex post</w:t>
      </w:r>
      <w:r>
        <w:t xml:space="preserve">). </w:t>
      </w:r>
    </w:p>
    <w:p w:rsidR="00A45935" w:rsidRPr="00E05D08" w:rsidRDefault="00A45935" w:rsidP="00E05D08">
      <w:pPr>
        <w:spacing w:after="120" w:line="280" w:lineRule="atLeast"/>
        <w:mirrorIndents/>
        <w:rPr>
          <w:rFonts w:eastAsia="Times New Roman" w:cs="Arial"/>
          <w:szCs w:val="20"/>
        </w:rPr>
      </w:pPr>
      <w:r>
        <w:t>EU má zájem na tom, aby PRV přispívaly k inovacím ve velkém měřítku, to jest, aby byly úspěšnými inovačními procesy, jež povedou k poměrně velkým změnám (např. poměrně velký počet zemědělců přijímajících nové technologie). Výchozím bodem pro zodpovězení společn</w:t>
      </w:r>
      <w:r w:rsidR="008F289A">
        <w:t>é</w:t>
      </w:r>
      <w:r>
        <w:t xml:space="preserve"> hodnotící otázky č. 30 je proto identifikovat velké změny, ke kterým PRV údajně přispěl a kde alespoň některé z přispění se realizovalo prostřednictvím podpory inovací. Tyto velké změny lze určit prostřednictvím posouzení ukazatelů dopadů a shromáždění dalších informací (např. prostřednictvím dokumentárních přezkumů a rozhovorů se zúčastněnými stranami v návaznosti na výsledky určení inovačního potenciálu, viz</w:t>
      </w:r>
      <w:r>
        <w:rPr>
          <w:color w:val="F07E31"/>
          <w:szCs w:val="20"/>
        </w:rPr>
        <w:t xml:space="preserve"> oddíl </w:t>
      </w:r>
      <w:r>
        <w:rPr>
          <w:color w:val="F07E31"/>
          <w:szCs w:val="20"/>
        </w:rPr>
        <w:lastRenderedPageBreak/>
        <w:t>2.2</w:t>
      </w:r>
      <w:r>
        <w:t xml:space="preserve">). Zjištění budou využita také k zodpovězení jiných společných hodnotících otázek než společné hodnotící otázky č. 30 (společné hodnotící otázky č. 24 až 29). </w:t>
      </w:r>
    </w:p>
    <w:p w:rsidR="00A45935" w:rsidRPr="00E05D08" w:rsidRDefault="00A45935" w:rsidP="00E05D08">
      <w:pPr>
        <w:spacing w:after="120" w:line="280" w:lineRule="atLeast"/>
        <w:mirrorIndents/>
        <w:rPr>
          <w:rFonts w:eastAsia="Times New Roman" w:cs="Arial"/>
          <w:szCs w:val="20"/>
        </w:rPr>
      </w:pPr>
      <w:r>
        <w:t>Výchozím</w:t>
      </w:r>
      <w:r>
        <w:rPr>
          <w:i/>
          <w:szCs w:val="20"/>
        </w:rPr>
        <w:t xml:space="preserve"> </w:t>
      </w:r>
      <w:r>
        <w:t>předpokladem, jak je uvedeno v oddíle 1.1, je to, že opatření/podopatření PRV přispívají k </w:t>
      </w:r>
      <w:r>
        <w:rPr>
          <w:b/>
          <w:szCs w:val="20"/>
        </w:rPr>
        <w:t xml:space="preserve">podpoře inovací </w:t>
      </w:r>
      <w:r>
        <w:t xml:space="preserve">prostřednictvím tří navzájem propojených scénářů (viz </w:t>
      </w:r>
      <w:hyperlink w:anchor="Pathways" w:history="1">
        <w:r>
          <w:rPr>
            <w:rStyle w:val="Hyperlink"/>
            <w:sz w:val="20"/>
            <w:szCs w:val="20"/>
          </w:rPr>
          <w:t>graf 1</w:t>
        </w:r>
      </w:hyperlink>
      <w:r>
        <w:t xml:space="preserve">). Hodnota těchto tří scénářů spočívá v tom, že pomáhají hodnotiteli rozklíčovat a lépe pochopit inovační proces. Pokyny proto navrhují tři podotázky společné hodnotící otázky č. 30, jež odpovídají těmto scénářům: </w:t>
      </w:r>
    </w:p>
    <w:p w:rsidR="00A45935" w:rsidRPr="00BE70EE" w:rsidRDefault="00A45935" w:rsidP="000026C6">
      <w:pPr>
        <w:pStyle w:val="Hlistbullet"/>
      </w:pPr>
      <w:r>
        <w:t>Do jaké míry podpořil program rozvoje venkova inovace prostřednictvím rozvíjení inovačního potenciálu? (scénář 1)</w:t>
      </w:r>
    </w:p>
    <w:p w:rsidR="00A45935" w:rsidRPr="00BE70EE" w:rsidRDefault="00A45935" w:rsidP="000026C6">
      <w:pPr>
        <w:pStyle w:val="Hlistbullet"/>
      </w:pPr>
      <w:r>
        <w:t>Do jaké míry podpořil program rozvoje venkova inovace budováním inovační kapacity? (scénář 2)</w:t>
      </w:r>
    </w:p>
    <w:p w:rsidR="00A45935" w:rsidRPr="00BE70EE" w:rsidRDefault="00A45935" w:rsidP="000026C6">
      <w:pPr>
        <w:pStyle w:val="Hlistbullet"/>
      </w:pPr>
      <w:r>
        <w:t>Do jaké míry podpořil program rozvoje venkova inovace vytvářením příznivého prostředí pro inovace? (scénář 3)</w:t>
      </w:r>
    </w:p>
    <w:p w:rsidR="00A45935" w:rsidRPr="00E05D08" w:rsidRDefault="00A45935" w:rsidP="00690E70">
      <w:pPr>
        <w:spacing w:after="120" w:line="280" w:lineRule="atLeast"/>
        <w:mirrorIndents/>
        <w:rPr>
          <w:rFonts w:eastAsia="Times New Roman" w:cs="Arial"/>
          <w:szCs w:val="20"/>
        </w:rPr>
      </w:pPr>
      <w:r>
        <w:t xml:space="preserve">Důležité jsou také interakce mezi scénáři inovací. Proces společného rozvíjení inovačního potenciálu (např. vývojem a zaváděním nové technologie) buduje inovační kapacitu dotyčných jednotlivců a organizací, ale i samotného inovačního systému. Při zodpovězení uvedených tří podotázek a společné hodnotící otázky č. 30 by měly být zohledněny také interakce mezi scénáři inovací.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Specifické výzvy </w:t>
      </w:r>
    </w:p>
    <w:p w:rsidR="00A45935" w:rsidRPr="00241663" w:rsidRDefault="00A45935" w:rsidP="000026C6">
      <w:pPr>
        <w:pStyle w:val="Hlistbullet"/>
      </w:pPr>
      <w:r>
        <w:rPr>
          <w:b/>
        </w:rPr>
        <w:t xml:space="preserve">Vypracování dodatečných prvků hodnocení </w:t>
      </w:r>
      <w:r>
        <w:t xml:space="preserve">pro zodpovězení společné hodnotící otázky č. 30 (hodnotící kritéria a ukazatele, kvalitativní i kvantitativní). </w:t>
      </w:r>
    </w:p>
    <w:p w:rsidR="00A45935" w:rsidRPr="00241663" w:rsidRDefault="00A45935" w:rsidP="000026C6">
      <w:pPr>
        <w:pStyle w:val="Hlistbullet"/>
      </w:pPr>
      <w:r>
        <w:rPr>
          <w:b/>
        </w:rPr>
        <w:t>Uplatnění metod hodnocení</w:t>
      </w:r>
      <w:r>
        <w:t xml:space="preserve">, jež by umožnily přiřadit zjištěné změny v rámci </w:t>
      </w:r>
      <w:r>
        <w:rPr>
          <w:u w:val="single"/>
        </w:rPr>
        <w:t>všech tří</w:t>
      </w:r>
      <w:r>
        <w:t xml:space="preserve"> scénářů inovací ve venkovských oblastech k intervencím PRV. </w:t>
      </w:r>
    </w:p>
    <w:p w:rsidR="00A45935" w:rsidRPr="00241663" w:rsidRDefault="00A45935" w:rsidP="000026C6">
      <w:pPr>
        <w:pStyle w:val="Hlistbullet"/>
      </w:pPr>
      <w:r>
        <w:rPr>
          <w:b/>
        </w:rPr>
        <w:t>Posouzení změn</w:t>
      </w:r>
      <w:r>
        <w:t xml:space="preserve">, k nimž došlo v důsledku inovací podpořených z PRV.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Navrhovaný přístup k zodpovězení společné hodnotící otázky č.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Intervenční logika </w:t>
      </w:r>
    </w:p>
    <w:p w:rsidR="0078145A" w:rsidRDefault="00A45935" w:rsidP="00E05D08">
      <w:pPr>
        <w:spacing w:after="120" w:line="280" w:lineRule="atLeast"/>
        <w:mirrorIndents/>
      </w:pPr>
      <w:r>
        <w:t>Přístup PRV vůči inovacím se stanoví při koncipování programu</w:t>
      </w:r>
      <w:r>
        <w:rPr>
          <w:rFonts w:eastAsia="Times New Roman" w:cs="Times New Roman"/>
          <w:szCs w:val="20"/>
          <w:vertAlign w:val="superscript"/>
          <w:lang w:eastAsia="de-DE"/>
        </w:rPr>
        <w:footnoteReference w:id="76"/>
      </w:r>
      <w:r>
        <w:t>. Při posouzení inovačního potenciálu opatření/podopatření PRV v přípravné fázi hodnocení se posuzují a testují všechna opatření/podopatření (a nejen M1, M2, M16, M19 a tematické oblasti) z hlediska jejich potenciálu rozvíjet nápady, budovat kapacity a vytvářet příznivé prostředí. Předpokládá se tedy, že</w:t>
      </w:r>
      <w:r>
        <w:rPr>
          <w:b/>
          <w:szCs w:val="20"/>
        </w:rPr>
        <w:t xml:space="preserve"> všechna opatření a podopatření PRV, jež vykázala významný inovační potenciál</w:t>
      </w:r>
      <w:r>
        <w:t xml:space="preserve">, se stanou součástí intervenční logiky PRV týkající se inovací, kterou se bude řídit provádění PRV ve vztahu k inovacím. Hodnotitel použije tuto logiku jako vstup při posuzování toho, jak PRV přispěl k inovacím (viz </w:t>
      </w:r>
      <w:hyperlink w:anchor="Example_IL" w:history="1">
        <w:r>
          <w:rPr>
            <w:rStyle w:val="Hyperlink"/>
            <w:sz w:val="20"/>
            <w:szCs w:val="20"/>
          </w:rPr>
          <w:t>graf 11</w:t>
        </w:r>
      </w:hyperlink>
      <w:r>
        <w:t>).</w:t>
      </w:r>
      <w:r w:rsidR="0078145A">
        <w:br w:type="page"/>
      </w:r>
    </w:p>
    <w:p w:rsidR="00A45935" w:rsidRPr="00916AB5" w:rsidRDefault="00BE1F31" w:rsidP="000026C6">
      <w:pPr>
        <w:pStyle w:val="HHeadingfigures"/>
      </w:pPr>
      <w:bookmarkStart w:id="131" w:name="Example_IL"/>
      <w:bookmarkStart w:id="132" w:name="_Toc508703638"/>
      <w:bookmarkEnd w:id="131"/>
      <w:r>
        <w:lastRenderedPageBreak/>
        <w:t>Příklad intervenční logiky pro společnou hodnotící otázku č. 30</w:t>
      </w:r>
      <w:bookmarkEnd w:id="132"/>
    </w:p>
    <w:p w:rsidR="00A45935" w:rsidRPr="00E05D08" w:rsidRDefault="0078145A" w:rsidP="002C2C15">
      <w:pPr>
        <w:suppressAutoHyphens/>
        <w:spacing w:before="60" w:after="140" w:line="240" w:lineRule="auto"/>
        <w:mirrorIndents/>
        <w:jc w:val="center"/>
        <w:rPr>
          <w:rFonts w:eastAsia="Times New Roman" w:cs="Times New Roman"/>
          <w:i/>
          <w:noProof/>
          <w:sz w:val="16"/>
          <w:szCs w:val="20"/>
          <w:lang w:eastAsia="en-GB"/>
        </w:rPr>
      </w:pPr>
      <w:r w:rsidRPr="0078145A">
        <w:rPr>
          <w:noProof/>
          <w:lang w:val="en-GB" w:eastAsia="en-GB"/>
        </w:rPr>
        <w:drawing>
          <wp:inline distT="0" distB="0" distL="0" distR="0" wp14:anchorId="42659128" wp14:editId="4D7E7423">
            <wp:extent cx="5732145" cy="3059917"/>
            <wp:effectExtent l="0" t="0" r="190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2145" cy="3059917"/>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Zdroj: evropská asistenční služba pro účely hodnocení politiky rozvoje venkova,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395392"/>
                <wp:effectExtent l="0" t="0" r="20955" b="24130"/>
                <wp:docPr id="560" name="Rectangle: Diagonal Corners Rounded 560"/>
                <wp:cNvGraphicFramePr/>
                <a:graphic xmlns:a="http://schemas.openxmlformats.org/drawingml/2006/main">
                  <a:graphicData uri="http://schemas.microsoft.com/office/word/2010/wordprocessingShape">
                    <wps:wsp>
                      <wps:cNvSpPr/>
                      <wps:spPr>
                        <a:xfrm>
                          <a:off x="0" y="0"/>
                          <a:ext cx="5732145" cy="2395392"/>
                        </a:xfrm>
                        <a:prstGeom prst="round2DiagRect">
                          <a:avLst>
                            <a:gd name="adj1" fmla="val 11556"/>
                            <a:gd name="adj2" fmla="val 0"/>
                          </a:avLst>
                        </a:prstGeom>
                        <a:noFill/>
                        <a:ln w="25400" cap="flat" cmpd="sng" algn="ctr">
                          <a:solidFill>
                            <a:srgbClr val="F07E31"/>
                          </a:solidFill>
                          <a:prstDash val="solid"/>
                        </a:ln>
                        <a:effectLst/>
                      </wps:spPr>
                      <wps:txbx>
                        <w:txbxContent>
                          <w:p w:rsidR="005716B0" w:rsidRPr="0079762F" w:rsidRDefault="005716B0"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V tomto příkladu se předpokládá, že opatření (kroužky) v rámci prioritních oblastí (obdélníky) budou podporovat inovace různými způsoby, a to buď samy, nebo v kombinaci s jinými opatřeními (tři scénáře zobrazené jako piktogramy). Předpokládají se například opatření M16 a M2 naprogramovaná v rámci prioritní oblasti 3A – začlenění prvovýrobců do potravinového řetězce a v rámci prioritní oblasti 5A – efektivní využívání vody společně podpoří inovace prostřednictvím všech tří scénářů. V jiném případě – v prioritní oblasti 5B se předpokládá, že obě opatření v kombinaci s opatřením M4 podpoří inovace prostřednictvím spolupráce při budování kapacit.  </w:t>
                            </w:r>
                          </w:p>
                          <w:p w:rsidR="005716B0" w:rsidRPr="00ED3BAD" w:rsidRDefault="005716B0" w:rsidP="00E05D08">
                            <w:pPr>
                              <w:pStyle w:val="HStandard"/>
                              <w:rPr>
                                <w:sz w:val="18"/>
                                <w:szCs w:val="18"/>
                              </w:rPr>
                            </w:pPr>
                            <w:r>
                              <w:rPr>
                                <w:sz w:val="18"/>
                              </w:rPr>
                              <w:t>Předpokládá se, že opatření s inovačním potenciálem budou vytvářet výstupy, které povedou k výsledkům při podpoře inovací prostřednictvím tří scénářů a v konečném důsledku budou mít dopad na dosažení cílů politik.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88.6pt;visibility:visible;mso-wrap-style:square;mso-left-percent:-10001;mso-top-percent:-10001;mso-position-horizontal:absolute;mso-position-horizontal-relative:char;mso-position-vertical:absolute;mso-position-vertical-relative:line;mso-left-percent:-10001;mso-top-percent:-10001;v-text-anchor:middle" coordsize="5732145,23953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" adj="-11796480,,5400" path="m276811,l5732145,r,l5732145,2118581v,152878,-123933,276811,-276811,276811l,2395392r,l,276811c,123933,123933,,276811,xe" filled="f" strokecolor="#f07e31" strokeweight="2pt">
                <v:stroke joinstyle="miter"/>
                <v:formulas/>
                <v:path arrowok="t" o:connecttype="custom" o:connectlocs="276811,0;5732145,0;5732145,0;5732145,2118581;5455334,2395392;0,2395392;0,2395392;0,276811;276811,0" o:connectangles="0,0,0,0,0,0,0,0,0" textboxrect="0,0,5732145,2395392"/>
                <v:textbox>
                  <w:txbxContent>
                    <w:p w:rsidR="005716B0" w:rsidRPr="0079762F" w:rsidRDefault="005716B0"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V tomto příkladu se předpokládá, že opatření (kroužky) v rámci prioritních oblastí (obdélníky) budou podporovat inovace různými způsoby, a to buď samy, nebo v kombinaci s jinými opatřeními (tři scénáře zobrazené jako piktogramy). Předpokládají se například opatření M16 a M2 naprogramovaná v rámci prioritní oblasti 3A – začlenění prvovýrobců do potravinového řetězce a v rámci prioritní oblasti 5A – efektivní využívání vody společně podpoří inovace prostřednictvím všech tří scénářů. V jiném případě – v prioritní oblasti 5B se předpokládá, že obě opatření v kombinaci s opatřením M4 podpoří inovace prostřednictvím spolupráce při budování kapacit.  </w:t>
                      </w:r>
                    </w:p>
                    <w:p w:rsidR="005716B0" w:rsidRPr="00ED3BAD" w:rsidRDefault="005716B0" w:rsidP="00E05D08">
                      <w:pPr>
                        <w:pStyle w:val="HStandard"/>
                        <w:rPr>
                          <w:sz w:val="18"/>
                          <w:szCs w:val="18"/>
                        </w:rPr>
                      </w:pPr>
                      <w:r>
                        <w:rPr>
                          <w:sz w:val="18"/>
                        </w:rPr>
                        <w:t>Předpokládá se, že opatření s inovačním potenciálem budou vytvářet výstupy, které povedou k výsledkům při podpoře inovací prostřednictvím tří scénářů a v konečném důsledku budou mít dopad na dosažení cílů politik.</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2"/>
          <w:headerReference w:type="first" r:id="rId93"/>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Vzhledem ke složité a nenadálé povaze inovací lze předpokládat, že nebude existovat dokonalá shoda mezi předpovězeným inovačním potenciálem a intervencemi PRV, které něco změní. Při hodnocení proto úkolem hodnotitele je porovnat předpovězený inovační potenciál PRV se skutečným přispěním ke změně.</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Prvky hodnocení </w:t>
      </w:r>
    </w:p>
    <w:p w:rsidR="00A45935" w:rsidRPr="00E05D08" w:rsidRDefault="00A45935" w:rsidP="00E05D08">
      <w:pPr>
        <w:spacing w:after="120" w:line="280" w:lineRule="atLeast"/>
        <w:mirrorIndents/>
        <w:rPr>
          <w:rFonts w:eastAsia="Times New Roman" w:cs="Times New Roman"/>
          <w:szCs w:val="20"/>
        </w:rPr>
      </w:pPr>
      <w:r>
        <w:t xml:space="preserve">Pracovní dokument </w:t>
      </w:r>
      <w:hyperlink r:id="rId94" w:history="1">
        <w:r>
          <w:rPr>
            <w:rStyle w:val="Hyperlink"/>
            <w:sz w:val="20"/>
            <w:szCs w:val="20"/>
          </w:rPr>
          <w:t>Společné hodnotící otázky pro programy rozvoje venkova 2014–2020</w:t>
        </w:r>
      </w:hyperlink>
      <w:r>
        <w:t xml:space="preserve"> navrhuje použít jedno hodnotící kritérium (inovace ve venkovských oblastech a v odvětvích byly podpořeny) a jeden společný ukazatel (T1 – výdaje související s články 14, 15 a 35). Doporučuje také shromáždit další kvantitativní a kvalitativní informace týkající se inovací potřebné pro zodpovězení společné hodnotící otázky č. 30. Tyto prvky však nemohou zachytit přispění PRV k podpoře inovací v plném rozsahu. </w:t>
      </w:r>
    </w:p>
    <w:p w:rsidR="00A45935" w:rsidRPr="00E05D08" w:rsidRDefault="00A45935" w:rsidP="00E05D08">
      <w:pPr>
        <w:spacing w:after="120" w:line="280" w:lineRule="atLeast"/>
        <w:mirrorIndents/>
        <w:rPr>
          <w:rFonts w:eastAsia="Times New Roman" w:cs="Times New Roman"/>
          <w:szCs w:val="20"/>
        </w:rPr>
      </w:pPr>
      <w:r>
        <w:t xml:space="preserve">V těchto pokynech se proto navrhuje zvážit použití dodatečných prvků hodnocení pro zodpovězení společné hodnotící otázky č. 30 (viz </w:t>
      </w:r>
      <w:hyperlink w:anchor="CEQ_fostering" w:history="1">
        <w:r>
          <w:rPr>
            <w:rStyle w:val="Hyperlink"/>
            <w:sz w:val="20"/>
            <w:szCs w:val="20"/>
          </w:rPr>
          <w:t>tabulka 9</w:t>
        </w:r>
      </w:hyperlink>
      <w:r>
        <w:t xml:space="preserve">). V případě společné hodnotící otázky č. 30 jsou prvky hodnocení spojeny se třemi podotázkami, jež odpovídají třem scénářům inovačního procesu. Navrhovaná hodnotící kritéria souvisejí s charakteristikami každého z těchto scénářů. To umožňuje </w:t>
      </w:r>
      <w:r>
        <w:lastRenderedPageBreak/>
        <w:t xml:space="preserve">zjistit, zda byl daný scénář během provádění opatření PRV naplňován tak, jak bylo určeno při posouzení inovačního potenciálu. </w:t>
      </w:r>
    </w:p>
    <w:p w:rsidR="00A45935" w:rsidRPr="00E05D08" w:rsidRDefault="00A45935" w:rsidP="00E05D08">
      <w:pPr>
        <w:spacing w:after="120" w:line="280" w:lineRule="atLeast"/>
        <w:mirrorIndents/>
        <w:rPr>
          <w:rFonts w:eastAsia="Times New Roman" w:cs="Times New Roman"/>
          <w:szCs w:val="20"/>
        </w:rPr>
      </w:pPr>
      <w:r>
        <w:t xml:space="preserve">Kromě společných ukazatelů nejsou navrhované prvky závazné a zúčastněné strany v členských státech mohou vytvořit svá vlastní hodnotící kritéria a dodatečné ukazatele.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703610"/>
      <w:bookmarkEnd w:id="133"/>
      <w:r>
        <w:rPr>
          <w:color w:val="6F6F6F"/>
          <w:sz w:val="18"/>
          <w:szCs w:val="18"/>
        </w:rPr>
        <w:lastRenderedPageBreak/>
        <w:t>Prvky hodnocení související se společnou hodnotící otázkou č. 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Prvky hodnocení (podotázky, hodnotící kritéria a ukazatele) kromě těch, které byly převzaty z pracovního dokumentu: </w:t>
      </w:r>
      <w:hyperlink r:id="rId95" w:history="1">
        <w:r>
          <w:rPr>
            <w:rStyle w:val="Hyperlink"/>
            <w:sz w:val="20"/>
            <w:szCs w:val="20"/>
          </w:rPr>
          <w:t>Společné hodnotící otázky pro programy rozvoje venkova 2014–2020</w:t>
        </w:r>
      </w:hyperlink>
      <w:r w:rsidR="00627875">
        <w:rPr>
          <w:i/>
          <w:szCs w:val="20"/>
        </w:rPr>
        <w:t xml:space="preserve">, </w:t>
      </w:r>
      <w:r>
        <w:rPr>
          <w:i/>
          <w:szCs w:val="20"/>
        </w:rPr>
        <w:t xml:space="preserve">jsou vypsány kurzívou.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25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Podotázky</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Hodnotící kritéria</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Ukazatele výsledků</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Potřeba údajů a informací</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Zdroje údajů</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Do jaké míry podpořil program rozvoje venkova inovace prostřednictvím rozvíjení inovačního potenciálu (scénář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Dodatečné hodnotící kritérium: Přijetí inovativních nápadů, procesů, modelů a/nebo technologií zavedených prostřednictvím PRV.</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 výdajů podle článků 14, 15 a 35 nařízení (EU) č. 1305/2013 v poměru k celkovým výdajům na program rozvoje venkova. </w:t>
            </w:r>
          </w:p>
          <w:p w:rsidR="001275FF" w:rsidRPr="00D5760C" w:rsidRDefault="001275FF"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Počet podpořených inovativních akcí prováděných a šířených operačními skupinami EIP.</w:t>
            </w:r>
          </w:p>
          <w:p w:rsidR="001275FF" w:rsidRPr="00D5760C" w:rsidRDefault="001275FF"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EC7477" w:rsidP="00BB5E89">
            <w:pPr>
              <w:spacing w:line="220" w:lineRule="atLeast"/>
              <w:jc w:val="left"/>
              <w:rPr>
                <w:rFonts w:cs="Arial"/>
                <w:i/>
                <w:sz w:val="18"/>
                <w:szCs w:val="16"/>
              </w:rPr>
            </w:pPr>
            <w:r>
              <w:rPr>
                <w:i/>
                <w:color w:val="57825E"/>
                <w:sz w:val="18"/>
                <w:szCs w:val="16"/>
                <w:u w:val="single"/>
              </w:rPr>
              <w:t>Dodatečn</w:t>
            </w:r>
            <w:r w:rsidR="00BB5E89">
              <w:rPr>
                <w:i/>
                <w:color w:val="57825E"/>
                <w:sz w:val="18"/>
                <w:szCs w:val="16"/>
                <w:u w:val="single"/>
              </w:rPr>
              <w:t>ý</w:t>
            </w:r>
            <w:r>
              <w:rPr>
                <w:i/>
                <w:color w:val="57825E"/>
                <w:sz w:val="18"/>
                <w:szCs w:val="16"/>
                <w:u w:val="single"/>
              </w:rPr>
              <w:t xml:space="preserve"> </w:t>
            </w:r>
            <w:r w:rsidR="00A45935">
              <w:rPr>
                <w:i/>
                <w:color w:val="57825E"/>
                <w:sz w:val="18"/>
                <w:szCs w:val="16"/>
                <w:u w:val="single"/>
              </w:rPr>
              <w:t>ukazatel výsledk</w:t>
            </w:r>
            <w:r w:rsidR="00BB5E89">
              <w:rPr>
                <w:i/>
                <w:color w:val="57825E"/>
                <w:sz w:val="18"/>
                <w:szCs w:val="16"/>
                <w:u w:val="single"/>
              </w:rPr>
              <w:t>u:</w:t>
            </w:r>
            <w:r w:rsidR="00A45935">
              <w:rPr>
                <w:i/>
                <w:color w:val="57825E"/>
                <w:sz w:val="18"/>
                <w:szCs w:val="16"/>
              </w:rPr>
              <w:t xml:space="preserve"> Míra přijetí nových nápadů, procesů, modelů a/nebo technologií zavedených zúčastněnými stranami. </w:t>
            </w:r>
          </w:p>
        </w:tc>
        <w:tc>
          <w:tcPr>
            <w:tcW w:w="2715" w:type="dxa"/>
          </w:tcPr>
          <w:p w:rsidR="00A45935" w:rsidRPr="00385368" w:rsidRDefault="00A45935" w:rsidP="00F73706">
            <w:pPr>
              <w:spacing w:line="220" w:lineRule="atLeast"/>
              <w:jc w:val="left"/>
              <w:rPr>
                <w:rFonts w:cs="Arial"/>
                <w:sz w:val="18"/>
                <w:szCs w:val="16"/>
              </w:rPr>
            </w:pPr>
            <w:r>
              <w:rPr>
                <w:sz w:val="18"/>
                <w:szCs w:val="16"/>
              </w:rPr>
              <w:t>Údaje o výdajích na operace prováděné v rámci opatření M1, M2 a M16.</w:t>
            </w: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Údaje o inovativních akcích prováděných operačními skupinami EIP. </w:t>
            </w: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Údaje a informace o vzniklých inovativních nápadech, modelech a technologiích. </w:t>
            </w: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Systém monitorování PRV. </w:t>
            </w: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Systém monitorování PRV a rozhovory.</w:t>
            </w: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D5760C"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Systém monitorování PRV a průzkum, rozhovory.</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Do jaké míry podpořil program rozvoje venkova inovace budováním inovační kapacity (scénář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Dodatečné hodnotící kritérium: PRV rozšířil funkční propojení mezi různými kategoriemi aktérů. </w:t>
            </w:r>
          </w:p>
          <w:p w:rsidR="00A45935" w:rsidRPr="00D5760C" w:rsidRDefault="00A45935" w:rsidP="00F73706">
            <w:pPr>
              <w:spacing w:line="220" w:lineRule="atLeast"/>
              <w:jc w:val="left"/>
              <w:rPr>
                <w:rFonts w:eastAsia="Calibri" w:cs="Arial"/>
                <w:i/>
                <w:sz w:val="18"/>
                <w:szCs w:val="16"/>
              </w:rPr>
            </w:pPr>
          </w:p>
          <w:p w:rsidR="00A45935" w:rsidRPr="00D5760C" w:rsidRDefault="00A45935" w:rsidP="00F73706">
            <w:pPr>
              <w:spacing w:line="220" w:lineRule="atLeast"/>
              <w:jc w:val="left"/>
              <w:rPr>
                <w:rFonts w:eastAsia="Calibri" w:cs="Arial"/>
                <w:i/>
                <w:sz w:val="18"/>
                <w:szCs w:val="16"/>
              </w:rPr>
            </w:pPr>
          </w:p>
          <w:p w:rsidR="00A45935" w:rsidRPr="00D5760C" w:rsidRDefault="00A45935" w:rsidP="00F73706">
            <w:pPr>
              <w:spacing w:line="220" w:lineRule="atLeast"/>
              <w:jc w:val="left"/>
              <w:rPr>
                <w:rFonts w:eastAsia="Calibri" w:cs="Arial"/>
                <w:i/>
                <w:sz w:val="18"/>
                <w:szCs w:val="16"/>
              </w:rPr>
            </w:pPr>
          </w:p>
          <w:p w:rsidR="00A45935" w:rsidRPr="00D5760C" w:rsidRDefault="00A45935" w:rsidP="00F73706">
            <w:pPr>
              <w:spacing w:line="220" w:lineRule="atLeast"/>
              <w:jc w:val="left"/>
              <w:rPr>
                <w:rFonts w:eastAsia="Calibri" w:cs="Arial"/>
                <w:i/>
                <w:sz w:val="18"/>
                <w:szCs w:val="16"/>
              </w:rPr>
            </w:pPr>
          </w:p>
          <w:p w:rsidR="00A45935" w:rsidRPr="00D5760C" w:rsidRDefault="00A45935" w:rsidP="00F73706">
            <w:pPr>
              <w:spacing w:line="220" w:lineRule="atLeast"/>
              <w:jc w:val="left"/>
              <w:rPr>
                <w:rFonts w:eastAsia="Calibri" w:cs="Arial"/>
                <w:i/>
                <w:sz w:val="18"/>
                <w:szCs w:val="16"/>
              </w:rPr>
            </w:pPr>
          </w:p>
          <w:p w:rsidR="00A45935" w:rsidRPr="00D5760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Dodatečné hodnotící kritérium: Byly vytvořeny a posíleny výukové platformy a další druhy institucionálního </w:t>
            </w:r>
            <w:r>
              <w:rPr>
                <w:i/>
                <w:sz w:val="18"/>
                <w:szCs w:val="16"/>
              </w:rPr>
              <w:lastRenderedPageBreak/>
              <w:t>prostoru, jež umožňují sdílení, reflexi a učení.</w:t>
            </w:r>
          </w:p>
          <w:p w:rsidR="00A45935" w:rsidRPr="00D5760C"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Dodatečné hodnotící kritérium: Tok informací mezi různými aktéry v rámci inovačního systému, v němž došlo ke změně, se zlepšil.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Dodatečný ukazatel výsledku:</w:t>
            </w:r>
            <w:r>
              <w:rPr>
                <w:i/>
                <w:color w:val="57825E"/>
                <w:sz w:val="18"/>
                <w:szCs w:val="16"/>
              </w:rPr>
              <w:t xml:space="preserve"> Počet formálních partnerství, jež byly zprostředkovány prostřednictvím programu rozvoje venkova, spojených se změnami v rámci priorit rozvoje venkova, k nimž PRV přispěl. </w:t>
            </w:r>
          </w:p>
          <w:p w:rsidR="00A45935" w:rsidRPr="00D5760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 růstu počtu a kategorií partnerů zapojených do projektů spolupráce (pracovní dokument o společných hodnotících otázkách pro programy rozvoje venkova 2014–2020). </w:t>
            </w:r>
          </w:p>
          <w:p w:rsidR="00A45935" w:rsidRPr="00D5760C"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Dodatečný ukazatel výsledku:</w:t>
            </w:r>
            <w:r>
              <w:rPr>
                <w:i/>
                <w:color w:val="57825E"/>
                <w:sz w:val="18"/>
                <w:szCs w:val="16"/>
              </w:rPr>
              <w:t xml:space="preserve"> Počet a kvalita platforem a „prostorů“ podporujících inovace, které PRV zřídil nebo posílil, např. komunity pro </w:t>
            </w:r>
            <w:r>
              <w:rPr>
                <w:i/>
                <w:color w:val="57825E"/>
                <w:sz w:val="18"/>
                <w:szCs w:val="16"/>
              </w:rPr>
              <w:lastRenderedPageBreak/>
              <w:t xml:space="preserve">sdílení praktických postupů, inovační platformy, zorganizované akce zaměřené na reflexi a učení. </w:t>
            </w:r>
          </w:p>
          <w:p w:rsidR="00A45935" w:rsidRPr="00D5760C" w:rsidRDefault="00A45935" w:rsidP="00F73706">
            <w:pPr>
              <w:spacing w:line="220" w:lineRule="atLeast"/>
              <w:jc w:val="left"/>
              <w:rPr>
                <w:rFonts w:eastAsia="Calibri" w:cs="Arial"/>
                <w:color w:val="57825E"/>
                <w:sz w:val="18"/>
                <w:szCs w:val="16"/>
              </w:rPr>
            </w:pPr>
          </w:p>
          <w:p w:rsidR="00560E46" w:rsidRPr="00D5760C" w:rsidRDefault="00560E46" w:rsidP="00F73706">
            <w:pPr>
              <w:spacing w:line="220" w:lineRule="atLeast"/>
              <w:jc w:val="left"/>
              <w:rPr>
                <w:rFonts w:eastAsia="Calibri" w:cs="Arial"/>
                <w:color w:val="57825E"/>
                <w:sz w:val="18"/>
                <w:szCs w:val="16"/>
              </w:rPr>
            </w:pPr>
          </w:p>
          <w:p w:rsidR="00560E46" w:rsidRPr="00D5760C"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Dodatečný ukazatel výsledku: </w:t>
            </w:r>
            <w:r>
              <w:rPr>
                <w:i/>
                <w:color w:val="57825E"/>
                <w:sz w:val="18"/>
                <w:szCs w:val="16"/>
              </w:rPr>
              <w:t xml:space="preserve">Snížení průměrné délky cesty v síti a různorodosti sítě (míry analýzy sociální sítě).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Informace o formálních vztazích.</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Údaje o počtu a druhu partnerů v projektech založených na spolupráci. </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Informace o platformách zřízených prostřednictvím PRV.</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560E46" w:rsidRPr="00D5760C" w:rsidRDefault="00560E46" w:rsidP="00F73706">
            <w:pPr>
              <w:spacing w:line="220" w:lineRule="atLeast"/>
              <w:jc w:val="left"/>
              <w:rPr>
                <w:rFonts w:eastAsia="Calibri" w:cs="Arial"/>
                <w:sz w:val="18"/>
                <w:szCs w:val="16"/>
              </w:rPr>
            </w:pPr>
          </w:p>
          <w:p w:rsidR="00560E46" w:rsidRPr="00D5760C"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Informace o sítích.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Rozhovory a tematicky zaměřené skupiny. </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Systém monitorování PRV.</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Rozhovory a tematicky zaměřené skupiny. </w:t>
            </w: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A45935" w:rsidRPr="00D5760C" w:rsidRDefault="00A45935" w:rsidP="00F73706">
            <w:pPr>
              <w:spacing w:line="220" w:lineRule="atLeast"/>
              <w:jc w:val="left"/>
              <w:rPr>
                <w:rFonts w:eastAsia="Calibri" w:cs="Arial"/>
                <w:sz w:val="18"/>
                <w:szCs w:val="16"/>
              </w:rPr>
            </w:pPr>
          </w:p>
          <w:p w:rsidR="00560E46" w:rsidRPr="00D5760C" w:rsidRDefault="00560E46" w:rsidP="00F73706">
            <w:pPr>
              <w:spacing w:line="220" w:lineRule="atLeast"/>
              <w:jc w:val="left"/>
              <w:rPr>
                <w:rFonts w:eastAsia="Calibri" w:cs="Arial"/>
                <w:sz w:val="18"/>
                <w:szCs w:val="16"/>
              </w:rPr>
            </w:pPr>
          </w:p>
          <w:p w:rsidR="00560E46" w:rsidRPr="00D5760C"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Informace z analýzy sociální sítě.</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t>Do jaké míry podpořil program rozvoje venkova inovace vytvářením příznivého prostředí pro inovace (scénář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Dodatečné hodnotící kritérium: PRV poskytl informace pro politiky, jež podporují změny, ke kterým PRV přispěl.</w:t>
            </w:r>
          </w:p>
          <w:p w:rsidR="00A45935" w:rsidRPr="00D5760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Dodatečné hodnotící kritérium: PRV poskytl příležitosti k odborné přípravě a výměně inovativních postupů. </w:t>
            </w:r>
          </w:p>
          <w:p w:rsidR="00A45935" w:rsidRPr="00D5760C"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Dodatečné hodnotící kritérium: PRV umožnil interakce mezi aktéry (vnitrostátní/přeshraniční) na podporu inovací. </w:t>
            </w:r>
          </w:p>
          <w:p w:rsidR="00A45935" w:rsidRPr="00D5760C"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Dodatečné hodnotící kritérium: PRV podpořil nové technologie ve venkovských oblastech.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Dodatečný ukazatel výsledku:</w:t>
            </w:r>
            <w:r>
              <w:rPr>
                <w:i/>
                <w:color w:val="57825E"/>
                <w:sz w:val="18"/>
                <w:szCs w:val="16"/>
              </w:rPr>
              <w:t xml:space="preserve"> Počet a druh politik, které PRV ovlivnil na úrovni zúčastněných organizací a širšího příznivého prostředí. </w:t>
            </w:r>
          </w:p>
          <w:p w:rsidR="00A45935" w:rsidRPr="00D5760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Dodatečný ukazatel výsledku:</w:t>
            </w:r>
            <w:r>
              <w:rPr>
                <w:i/>
                <w:color w:val="57825E"/>
                <w:sz w:val="18"/>
                <w:szCs w:val="16"/>
              </w:rPr>
              <w:t xml:space="preserve"> Počet školení a akcí zaměřených na výměnu inovativních postupů a jejich podíl na celkovém počtu školení/akcí podpořených prostřednictvím PRV. </w:t>
            </w:r>
          </w:p>
          <w:p w:rsidR="00A45935" w:rsidRPr="00D5760C"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Dodatečný ukazatel výsledku:</w:t>
            </w:r>
            <w:r>
              <w:rPr>
                <w:i/>
                <w:color w:val="57825E"/>
                <w:sz w:val="18"/>
                <w:szCs w:val="16"/>
              </w:rPr>
              <w:t xml:space="preserve"> Počet akcí zaměřených na navázání kontaktů mezi účastníky inovačních procesů podpořených prostřednictvím PRV. </w:t>
            </w:r>
          </w:p>
          <w:p w:rsidR="00A45935" w:rsidRPr="00D5760C" w:rsidRDefault="00A45935" w:rsidP="00F73706">
            <w:pPr>
              <w:spacing w:line="220" w:lineRule="atLeast"/>
              <w:jc w:val="left"/>
              <w:rPr>
                <w:rFonts w:eastAsia="Calibri" w:cs="Arial"/>
                <w:i/>
                <w:color w:val="57825E"/>
                <w:sz w:val="18"/>
                <w:szCs w:val="16"/>
              </w:rPr>
            </w:pPr>
          </w:p>
          <w:p w:rsidR="00A45935" w:rsidRPr="00D5760C" w:rsidRDefault="00A45935" w:rsidP="00F73706">
            <w:pPr>
              <w:spacing w:line="220" w:lineRule="atLeast"/>
              <w:jc w:val="left"/>
              <w:rPr>
                <w:rFonts w:eastAsia="Calibri" w:cs="Arial"/>
                <w:i/>
                <w:color w:val="57825E"/>
                <w:sz w:val="18"/>
                <w:szCs w:val="16"/>
              </w:rPr>
            </w:pPr>
          </w:p>
          <w:p w:rsidR="00560E46" w:rsidRPr="00D5760C"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Dodatečný ukazatel výsledku:</w:t>
            </w:r>
            <w:r>
              <w:rPr>
                <w:i/>
                <w:color w:val="57825E"/>
                <w:sz w:val="18"/>
                <w:szCs w:val="16"/>
              </w:rPr>
              <w:t xml:space="preserve"> Počet nových technologií ve venkovských oblastech podpořených prostřednictvím PRV, v členění podle druhů technologií.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Informace o politikách. </w:t>
            </w:r>
          </w:p>
          <w:p w:rsidR="00A45935" w:rsidRPr="00D5760C" w:rsidRDefault="00A45935" w:rsidP="00560E46">
            <w:pPr>
              <w:spacing w:line="220" w:lineRule="atLeast"/>
              <w:jc w:val="left"/>
              <w:rPr>
                <w:rFonts w:eastAsia="Calibri" w:cs="Arial"/>
                <w:sz w:val="18"/>
                <w:szCs w:val="16"/>
              </w:rPr>
            </w:pPr>
          </w:p>
          <w:p w:rsidR="00A45935" w:rsidRPr="00D5760C" w:rsidRDefault="00A45935" w:rsidP="00560E46">
            <w:pPr>
              <w:spacing w:line="220" w:lineRule="atLeast"/>
              <w:jc w:val="left"/>
              <w:rPr>
                <w:rFonts w:eastAsia="Calibri" w:cs="Arial"/>
                <w:sz w:val="18"/>
                <w:szCs w:val="16"/>
              </w:rPr>
            </w:pPr>
          </w:p>
          <w:p w:rsidR="00560E46" w:rsidRPr="00D5760C" w:rsidRDefault="00560E46" w:rsidP="00560E46">
            <w:pPr>
              <w:spacing w:line="220" w:lineRule="atLeast"/>
              <w:jc w:val="left"/>
              <w:rPr>
                <w:rFonts w:eastAsia="Calibri" w:cs="Arial"/>
                <w:sz w:val="18"/>
                <w:szCs w:val="16"/>
              </w:rPr>
            </w:pPr>
          </w:p>
          <w:p w:rsidR="00560E46" w:rsidRPr="00D5760C" w:rsidRDefault="00560E46" w:rsidP="00560E46">
            <w:pPr>
              <w:spacing w:line="220" w:lineRule="atLeast"/>
              <w:jc w:val="left"/>
              <w:rPr>
                <w:rFonts w:eastAsia="Calibri" w:cs="Arial"/>
                <w:sz w:val="18"/>
                <w:szCs w:val="16"/>
              </w:rPr>
            </w:pPr>
          </w:p>
          <w:p w:rsidR="00560E46" w:rsidRPr="00D5760C"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Informace o školeních a akcích.</w:t>
            </w:r>
          </w:p>
          <w:p w:rsidR="00A45935" w:rsidRPr="00D5760C" w:rsidRDefault="00A45935" w:rsidP="00560E46">
            <w:pPr>
              <w:spacing w:line="220" w:lineRule="atLeast"/>
              <w:jc w:val="left"/>
              <w:rPr>
                <w:rFonts w:eastAsia="Calibri" w:cs="Arial"/>
                <w:sz w:val="18"/>
                <w:szCs w:val="16"/>
              </w:rPr>
            </w:pPr>
          </w:p>
          <w:p w:rsidR="00A45935" w:rsidRPr="00D5760C" w:rsidRDefault="00A45935" w:rsidP="00560E46">
            <w:pPr>
              <w:spacing w:line="220" w:lineRule="atLeast"/>
              <w:jc w:val="left"/>
              <w:rPr>
                <w:rFonts w:eastAsia="Calibri" w:cs="Arial"/>
                <w:sz w:val="18"/>
                <w:szCs w:val="16"/>
              </w:rPr>
            </w:pPr>
          </w:p>
          <w:p w:rsidR="00A45935" w:rsidRPr="00D5760C" w:rsidRDefault="00A45935" w:rsidP="00560E46">
            <w:pPr>
              <w:spacing w:line="220" w:lineRule="atLeast"/>
              <w:jc w:val="left"/>
              <w:rPr>
                <w:rFonts w:eastAsia="Calibri" w:cs="Arial"/>
                <w:sz w:val="18"/>
                <w:szCs w:val="16"/>
              </w:rPr>
            </w:pPr>
          </w:p>
          <w:p w:rsidR="00A45935" w:rsidRPr="00D5760C"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Informace o nových technologiích.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Rozhovory a tematicky zaměřené skupiny (např. „sběr výsledků“). </w:t>
            </w:r>
          </w:p>
          <w:p w:rsidR="00A45935" w:rsidRPr="00D5760C" w:rsidRDefault="00A45935" w:rsidP="00560E46">
            <w:pPr>
              <w:spacing w:line="220" w:lineRule="atLeast"/>
              <w:jc w:val="left"/>
              <w:rPr>
                <w:rFonts w:eastAsia="Calibri" w:cs="Arial"/>
                <w:sz w:val="18"/>
                <w:szCs w:val="18"/>
              </w:rPr>
            </w:pPr>
          </w:p>
          <w:p w:rsidR="00A45935" w:rsidRPr="00D5760C" w:rsidRDefault="00A45935" w:rsidP="00560E46">
            <w:pPr>
              <w:spacing w:line="220" w:lineRule="atLeast"/>
              <w:jc w:val="left"/>
              <w:rPr>
                <w:rFonts w:eastAsia="Calibri" w:cs="Arial"/>
                <w:sz w:val="18"/>
                <w:szCs w:val="18"/>
              </w:rPr>
            </w:pPr>
          </w:p>
          <w:p w:rsidR="00560E46" w:rsidRPr="00D5760C" w:rsidRDefault="00560E46" w:rsidP="00560E46">
            <w:pPr>
              <w:spacing w:line="220" w:lineRule="atLeast"/>
              <w:jc w:val="left"/>
              <w:rPr>
                <w:rFonts w:eastAsia="Calibri" w:cs="Arial"/>
                <w:sz w:val="18"/>
                <w:szCs w:val="18"/>
              </w:rPr>
            </w:pPr>
          </w:p>
          <w:p w:rsidR="00560E46" w:rsidRPr="00D5760C"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Systém monitorování PRV.</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Navrhovaná metodika hodnocení</w:t>
      </w:r>
    </w:p>
    <w:p w:rsidR="00A45935" w:rsidRPr="00E05D08" w:rsidRDefault="00A45935" w:rsidP="00E05D08">
      <w:pPr>
        <w:spacing w:after="120" w:line="280" w:lineRule="atLeast"/>
        <w:mirrorIndents/>
        <w:rPr>
          <w:rFonts w:eastAsia="Times New Roman" w:cs="Arial"/>
          <w:szCs w:val="20"/>
        </w:rPr>
      </w:pPr>
      <w:r>
        <w:t>Navrhovanou metodou hodnocení pro účely zodpovězení společné hodnotící otázky č. 30 je</w:t>
      </w:r>
      <w:r>
        <w:rPr>
          <w:b/>
          <w:szCs w:val="20"/>
        </w:rPr>
        <w:t xml:space="preserve"> metoda případové studie</w:t>
      </w:r>
      <w:r>
        <w:t>. Hodnotitelům se doporučuje, aby posouzení provedli v následujících krocích:</w:t>
      </w:r>
    </w:p>
    <w:p w:rsidR="00A45935" w:rsidRDefault="00A45935" w:rsidP="000026C6">
      <w:pPr>
        <w:pStyle w:val="Hlistbullet"/>
      </w:pPr>
      <w:r>
        <w:rPr>
          <w:b/>
        </w:rPr>
        <w:t>KROK 1 –</w:t>
      </w:r>
      <w:r>
        <w:t xml:space="preserve"> </w:t>
      </w:r>
      <w:r>
        <w:rPr>
          <w:b/>
        </w:rPr>
        <w:t>Určit podstatnou změnu nebo změny, o kterých lze říci, že k nim přispěl PRV prostřednictvím podpory inovací jedním nebo více ze tří scénářů</w:t>
      </w:r>
      <w:r>
        <w:t>. Lze to provést s odkazem na odpovědi na společné hodnotící otázky č. 22 až 29 (společné hodnotící otázky týkající se celkových cílů strategie Evropa 2020 a společné zemědělské politiky) pomocí rozhovorů s pracovníky a/nebo přezkumu projektové dokumentace. Například lze říci, že PRV přispěl k významné změně ziskovosti zemědělských podniků prostřednictvím vývoje nového zemědělského stroje, který byl poté zemědělci široce přijat a používán. Při vyhledávání významných změn je třeba vzít v úvahu předpovědi týkající se pravděpodobnosti přijetí učiněné na začátku programu, kdy byl stanoven inovační potenciál.</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374005" cy="3216442"/>
                <wp:effectExtent l="0" t="0" r="17145" b="22225"/>
                <wp:docPr id="719" name="Rectangle: Diagonal Corners Rounded 719"/>
                <wp:cNvGraphicFramePr/>
                <a:graphic xmlns:a="http://schemas.openxmlformats.org/drawingml/2006/main">
                  <a:graphicData uri="http://schemas.microsoft.com/office/word/2010/wordprocessingShape">
                    <wps:wsp>
                      <wps:cNvSpPr/>
                      <wps:spPr>
                        <a:xfrm>
                          <a:off x="0" y="0"/>
                          <a:ext cx="5374005" cy="3216442"/>
                        </a:xfrm>
                        <a:prstGeom prst="round2DiagRect">
                          <a:avLst>
                            <a:gd name="adj1" fmla="val 3961"/>
                            <a:gd name="adj2" fmla="val 0"/>
                          </a:avLst>
                        </a:prstGeom>
                        <a:noFill/>
                        <a:ln w="25400" cap="flat" cmpd="sng" algn="ctr">
                          <a:solidFill>
                            <a:srgbClr val="F07E31"/>
                          </a:solidFill>
                          <a:prstDash val="solid"/>
                        </a:ln>
                        <a:effectLst/>
                      </wps:spPr>
                      <wps:txbx>
                        <w:txbxContent>
                          <w:p w:rsidR="005716B0" w:rsidRPr="00253803" w:rsidRDefault="005716B0"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Tematická síť pro zemědělství vysoké přírodní hodnoty.</w:t>
                            </w:r>
                            <w:r>
                              <w:rPr>
                                <w:color w:val="F07E31"/>
                                <w:sz w:val="18"/>
                                <w:szCs w:val="18"/>
                              </w:rPr>
                              <w:t xml:space="preserve"> </w:t>
                            </w:r>
                          </w:p>
                          <w:p w:rsidR="005716B0" w:rsidRPr="00253803" w:rsidRDefault="005716B0" w:rsidP="00320AA0">
                            <w:pPr>
                              <w:spacing w:line="280" w:lineRule="atLeast"/>
                              <w:rPr>
                                <w:rFonts w:cs="Arial"/>
                                <w:sz w:val="18"/>
                                <w:szCs w:val="18"/>
                              </w:rPr>
                            </w:pPr>
                            <w:r>
                              <w:rPr>
                                <w:sz w:val="18"/>
                                <w:szCs w:val="18"/>
                              </w:rPr>
                              <w:t>V rámci výzkumného projektu „</w:t>
                            </w:r>
                            <w:hyperlink r:id="rId96" w:history="1">
                              <w:r>
                                <w:rPr>
                                  <w:rStyle w:val="Hyperlink"/>
                                  <w:sz w:val="18"/>
                                  <w:szCs w:val="18"/>
                                </w:rPr>
                                <w:t>HNV link</w:t>
                              </w:r>
                            </w:hyperlink>
                            <w:r>
                              <w:rPr>
                                <w:rStyle w:val="Hyperlink"/>
                                <w:sz w:val="18"/>
                                <w:szCs w:val="18"/>
                              </w:rPr>
                              <w:t>”</w:t>
                            </w:r>
                            <w:r>
                              <w:rPr>
                                <w:sz w:val="18"/>
                                <w:szCs w:val="18"/>
                              </w:rPr>
                              <w:t xml:space="preserve">“, který je součástí programu Horizont 2020, tým výzkumných pracovníků vypracoval rámec pro posuzování umožňující analyzovat výchozí situaci v oblastech s vysokou přírodní hodnotou, ke kterým mohou inovace potenciálně přispět. Toto výchozí posouzení zahrnuje analýzu několika atributů, které se týkají: </w:t>
                            </w:r>
                          </w:p>
                          <w:p w:rsidR="005716B0" w:rsidRPr="00253803" w:rsidRDefault="005716B0" w:rsidP="00320AA0">
                            <w:pPr>
                              <w:numPr>
                                <w:ilvl w:val="0"/>
                                <w:numId w:val="63"/>
                              </w:numPr>
                              <w:ind w:left="567" w:hanging="567"/>
                              <w:contextualSpacing/>
                              <w:rPr>
                                <w:rFonts w:cs="Arial"/>
                                <w:sz w:val="18"/>
                                <w:szCs w:val="18"/>
                              </w:rPr>
                            </w:pPr>
                            <w:r>
                              <w:rPr>
                                <w:sz w:val="18"/>
                                <w:szCs w:val="18"/>
                              </w:rPr>
                              <w:t>agro-ekosystému (půdní, klimatické a reliéfní podmínky),</w:t>
                            </w:r>
                          </w:p>
                          <w:p w:rsidR="005716B0" w:rsidRPr="00253803" w:rsidRDefault="005716B0" w:rsidP="00320AA0">
                            <w:pPr>
                              <w:numPr>
                                <w:ilvl w:val="0"/>
                                <w:numId w:val="63"/>
                              </w:numPr>
                              <w:ind w:left="567" w:hanging="567"/>
                              <w:contextualSpacing/>
                              <w:rPr>
                                <w:rFonts w:cs="Arial"/>
                                <w:sz w:val="18"/>
                                <w:szCs w:val="18"/>
                              </w:rPr>
                            </w:pPr>
                            <w:r>
                              <w:rPr>
                                <w:sz w:val="18"/>
                                <w:szCs w:val="18"/>
                              </w:rPr>
                              <w:t>systémů hospodaření a jejich dynamiky v zemědělských systémech,</w:t>
                            </w:r>
                          </w:p>
                          <w:p w:rsidR="005716B0" w:rsidRPr="00253803" w:rsidRDefault="005716B0" w:rsidP="00320AA0">
                            <w:pPr>
                              <w:numPr>
                                <w:ilvl w:val="0"/>
                                <w:numId w:val="63"/>
                              </w:numPr>
                              <w:ind w:left="567" w:hanging="567"/>
                              <w:contextualSpacing/>
                              <w:rPr>
                                <w:rFonts w:cs="Arial"/>
                                <w:sz w:val="18"/>
                                <w:szCs w:val="18"/>
                              </w:rPr>
                            </w:pPr>
                            <w:r>
                              <w:rPr>
                                <w:sz w:val="18"/>
                                <w:szCs w:val="18"/>
                              </w:rPr>
                              <w:t xml:space="preserve">venkovských oblastí a širších hybných sil (politiky, technologie, společenské změny), </w:t>
                            </w:r>
                          </w:p>
                          <w:p w:rsidR="005716B0" w:rsidRPr="00253803" w:rsidRDefault="005716B0" w:rsidP="00320AA0">
                            <w:pPr>
                              <w:numPr>
                                <w:ilvl w:val="0"/>
                                <w:numId w:val="63"/>
                              </w:numPr>
                              <w:ind w:left="567" w:hanging="567"/>
                              <w:contextualSpacing/>
                              <w:rPr>
                                <w:rFonts w:cs="Arial"/>
                                <w:sz w:val="18"/>
                                <w:szCs w:val="18"/>
                              </w:rPr>
                            </w:pPr>
                            <w:r>
                              <w:rPr>
                                <w:sz w:val="18"/>
                                <w:szCs w:val="18"/>
                              </w:rPr>
                              <w:t>průřezových otázek (aktéři a společenské organizace).</w:t>
                            </w:r>
                          </w:p>
                          <w:p w:rsidR="005716B0" w:rsidRPr="000E5745" w:rsidRDefault="005716B0" w:rsidP="00320AA0">
                            <w:pPr>
                              <w:pStyle w:val="Hlistbullet"/>
                              <w:numPr>
                                <w:ilvl w:val="0"/>
                                <w:numId w:val="0"/>
                              </w:numPr>
                              <w:rPr>
                                <w:sz w:val="18"/>
                                <w:szCs w:val="18"/>
                              </w:rPr>
                            </w:pPr>
                            <w:r>
                              <w:rPr>
                                <w:sz w:val="18"/>
                                <w:szCs w:val="18"/>
                              </w:rPr>
                              <w:t xml:space="preserve">K vytvoření výchozí situace byly zkombinovány různé metody: 1) posouzení agro-ekosystému; 2) analýza zemědělského systému a systému hospodaření; 3) analýza situace na venkově; 4) analýza aktérů. Tato metodika pomáhá vytvořit hypotetickou srovnávací situaci, jež umožňuje posoudit inovační proces i účinky inovací, k nimž dochází v oblastech s vysokou přírodní hodnotou. Příklad použití této metodiky lze nalézt zde: </w:t>
                            </w:r>
                            <w:hyperlink r:id="rId97"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53.25pt;visibility:visible;mso-wrap-style:square;mso-left-percent:-10001;mso-top-percent:-10001;mso-position-horizontal:absolute;mso-position-horizontal-relative:char;mso-position-vertical:absolute;mso-position-vertical-relative:line;mso-left-percent:-10001;mso-top-percent:-10001;v-text-anchor:middle" coordsize="5374005,3216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" adj="-11796480,,5400" path="m127403,l5374005,r,l5374005,3089039v,70363,-57040,127403,-127403,127403l,3216442r,l,127403c,57040,57040,,127403,xe" filled="f" strokecolor="#f07e31" strokeweight="2pt">
                <v:stroke joinstyle="miter"/>
                <v:formulas/>
                <v:path arrowok="t" o:connecttype="custom" o:connectlocs="127403,0;5374005,0;5374005,0;5374005,3089039;5246602,3216442;0,3216442;0,3216442;0,127403;127403,0" o:connectangles="0,0,0,0,0,0,0,0,0" textboxrect="0,0,5374005,3216442"/>
                <v:textbox>
                  <w:txbxContent>
                    <w:p w:rsidR="005716B0" w:rsidRPr="00253803" w:rsidRDefault="005716B0"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Tematická síť pro zemědělství vysoké přírodní hodnoty.</w:t>
                      </w:r>
                      <w:r>
                        <w:rPr>
                          <w:color w:val="F07E31"/>
                          <w:sz w:val="18"/>
                          <w:szCs w:val="18"/>
                        </w:rPr>
                        <w:t xml:space="preserve"> </w:t>
                      </w:r>
                    </w:p>
                    <w:p w:rsidR="005716B0" w:rsidRPr="00253803" w:rsidRDefault="005716B0" w:rsidP="00320AA0">
                      <w:pPr>
                        <w:spacing w:line="280" w:lineRule="atLeast"/>
                        <w:rPr>
                          <w:rFonts w:cs="Arial"/>
                          <w:sz w:val="18"/>
                          <w:szCs w:val="18"/>
                        </w:rPr>
                      </w:pPr>
                      <w:r>
                        <w:rPr>
                          <w:sz w:val="18"/>
                          <w:szCs w:val="18"/>
                        </w:rPr>
                        <w:t>V rámci výzkumného projektu „</w:t>
                      </w:r>
                      <w:hyperlink r:id="rId98" w:history="1">
                        <w:r>
                          <w:rPr>
                            <w:rStyle w:val="Hyperlink"/>
                            <w:sz w:val="18"/>
                            <w:szCs w:val="18"/>
                          </w:rPr>
                          <w:t>HNV link</w:t>
                        </w:r>
                      </w:hyperlink>
                      <w:r>
                        <w:rPr>
                          <w:rStyle w:val="Hyperlink"/>
                          <w:sz w:val="18"/>
                          <w:szCs w:val="18"/>
                        </w:rPr>
                        <w:t>”</w:t>
                      </w:r>
                      <w:r>
                        <w:rPr>
                          <w:sz w:val="18"/>
                          <w:szCs w:val="18"/>
                        </w:rPr>
                        <w:t xml:space="preserve">“, který je součástí programu Horizont 2020, tým výzkumných pracovníků vypracoval rámec pro posuzování umožňující analyzovat výchozí situaci v oblastech s vysokou přírodní hodnotou, ke kterým mohou inovace potenciálně přispět. Toto výchozí posouzení zahrnuje analýzu několika atributů, které se týkají: </w:t>
                      </w:r>
                    </w:p>
                    <w:p w:rsidR="005716B0" w:rsidRPr="00253803" w:rsidRDefault="005716B0" w:rsidP="00320AA0">
                      <w:pPr>
                        <w:numPr>
                          <w:ilvl w:val="0"/>
                          <w:numId w:val="63"/>
                        </w:numPr>
                        <w:ind w:left="567" w:hanging="567"/>
                        <w:contextualSpacing/>
                        <w:rPr>
                          <w:rFonts w:cs="Arial"/>
                          <w:sz w:val="18"/>
                          <w:szCs w:val="18"/>
                        </w:rPr>
                      </w:pPr>
                      <w:r>
                        <w:rPr>
                          <w:sz w:val="18"/>
                          <w:szCs w:val="18"/>
                        </w:rPr>
                        <w:t>agro-ekosystému (půdní, klimatické a reliéfní podmínky),</w:t>
                      </w:r>
                    </w:p>
                    <w:p w:rsidR="005716B0" w:rsidRPr="00253803" w:rsidRDefault="005716B0" w:rsidP="00320AA0">
                      <w:pPr>
                        <w:numPr>
                          <w:ilvl w:val="0"/>
                          <w:numId w:val="63"/>
                        </w:numPr>
                        <w:ind w:left="567" w:hanging="567"/>
                        <w:contextualSpacing/>
                        <w:rPr>
                          <w:rFonts w:cs="Arial"/>
                          <w:sz w:val="18"/>
                          <w:szCs w:val="18"/>
                        </w:rPr>
                      </w:pPr>
                      <w:r>
                        <w:rPr>
                          <w:sz w:val="18"/>
                          <w:szCs w:val="18"/>
                        </w:rPr>
                        <w:t>systémů hospodaření a jejich dynamiky v zemědělských systémech,</w:t>
                      </w:r>
                    </w:p>
                    <w:p w:rsidR="005716B0" w:rsidRPr="00253803" w:rsidRDefault="005716B0" w:rsidP="00320AA0">
                      <w:pPr>
                        <w:numPr>
                          <w:ilvl w:val="0"/>
                          <w:numId w:val="63"/>
                        </w:numPr>
                        <w:ind w:left="567" w:hanging="567"/>
                        <w:contextualSpacing/>
                        <w:rPr>
                          <w:rFonts w:cs="Arial"/>
                          <w:sz w:val="18"/>
                          <w:szCs w:val="18"/>
                        </w:rPr>
                      </w:pPr>
                      <w:r>
                        <w:rPr>
                          <w:sz w:val="18"/>
                          <w:szCs w:val="18"/>
                        </w:rPr>
                        <w:t xml:space="preserve">venkovských oblastí a širších hybných sil (politiky, technologie, společenské změny), </w:t>
                      </w:r>
                    </w:p>
                    <w:p w:rsidR="005716B0" w:rsidRPr="00253803" w:rsidRDefault="005716B0" w:rsidP="00320AA0">
                      <w:pPr>
                        <w:numPr>
                          <w:ilvl w:val="0"/>
                          <w:numId w:val="63"/>
                        </w:numPr>
                        <w:ind w:left="567" w:hanging="567"/>
                        <w:contextualSpacing/>
                        <w:rPr>
                          <w:rFonts w:cs="Arial"/>
                          <w:sz w:val="18"/>
                          <w:szCs w:val="18"/>
                        </w:rPr>
                      </w:pPr>
                      <w:r>
                        <w:rPr>
                          <w:sz w:val="18"/>
                          <w:szCs w:val="18"/>
                        </w:rPr>
                        <w:t>průřezových otázek (aktéři a společenské organizace).</w:t>
                      </w:r>
                    </w:p>
                    <w:p w:rsidR="005716B0" w:rsidRPr="000E5745" w:rsidRDefault="005716B0" w:rsidP="00320AA0">
                      <w:pPr>
                        <w:pStyle w:val="Hlistbullet"/>
                        <w:numPr>
                          <w:ilvl w:val="0"/>
                          <w:numId w:val="0"/>
                        </w:numPr>
                        <w:rPr>
                          <w:sz w:val="18"/>
                          <w:szCs w:val="18"/>
                        </w:rPr>
                      </w:pPr>
                      <w:r>
                        <w:rPr>
                          <w:sz w:val="18"/>
                          <w:szCs w:val="18"/>
                        </w:rPr>
                        <w:t xml:space="preserve">K vytvoření výchozí situace byly zkombinovány různé metody: 1) posouzení agro-ekosystému; 2) analýza zemědělského systému a systému hospodaření; 3) analýza situace na venkově; 4) analýza aktérů. Tato metodika pomáhá vytvořit hypotetickou srovnávací situaci, jež umožňuje posoudit inovační proces i účinky inovací, k nimž dochází v oblastech s vysokou přírodní hodnotou. Příklad použití této metodiky lze nalézt zde: </w:t>
                      </w:r>
                      <w:hyperlink r:id="rId99"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KROK 2 – Shromáždit informace o výkonnosti PRV na základě hodnotících kritérií a ukazatelů</w:t>
      </w:r>
      <w:r>
        <w:t xml:space="preserve"> (navržených v tabulce 9 s hodnotícími prvky výše) pro tři podotázky týkající se míry dopadu PRV na tři scénáře inovací. </w:t>
      </w:r>
    </w:p>
    <w:p w:rsidR="00A45935" w:rsidRPr="00717885" w:rsidRDefault="00037CA6" w:rsidP="000026C6">
      <w:pPr>
        <w:pStyle w:val="Hlistbullet2"/>
      </w:pPr>
      <w:r>
        <w:rPr>
          <w:noProof/>
          <w:highlight w:val="yellow"/>
          <w:lang w:val="en-GB" w:eastAsia="en-GB"/>
        </w:rPr>
        <w:lastRenderedPageBreak/>
        <mc:AlternateContent>
          <mc:Choice Requires="wps">
            <w:drawing>
              <wp:anchor distT="0" distB="0" distL="114300" distR="114300" simplePos="0" relativeHeight="251726848" behindDoc="0" locked="0" layoutInCell="1" allowOverlap="1" wp14:anchorId="35AC199A" wp14:editId="2CE2347D">
                <wp:simplePos x="0" y="0"/>
                <wp:positionH relativeFrom="column">
                  <wp:posOffset>351155</wp:posOffset>
                </wp:positionH>
                <wp:positionV relativeFrom="paragraph">
                  <wp:posOffset>1179830</wp:posOffset>
                </wp:positionV>
                <wp:extent cx="5414645" cy="2467610"/>
                <wp:effectExtent l="0" t="0" r="14605" b="2794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467610"/>
                        </a:xfrm>
                        <a:prstGeom prst="round2DiagRect">
                          <a:avLst>
                            <a:gd name="adj1" fmla="val 7843"/>
                            <a:gd name="adj2" fmla="val 0"/>
                          </a:avLst>
                        </a:prstGeom>
                        <a:noFill/>
                        <a:ln w="25400" cap="flat" cmpd="sng" algn="ctr">
                          <a:solidFill>
                            <a:srgbClr val="BE4A35"/>
                          </a:solidFill>
                          <a:prstDash val="solid"/>
                        </a:ln>
                        <a:effectLst/>
                      </wps:spPr>
                      <wps:txbx>
                        <w:txbxContent>
                          <w:p w:rsidR="005716B0" w:rsidRPr="003D7EC4" w:rsidRDefault="005716B0"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772743">
                              <w:rPr>
                                <w:sz w:val="18"/>
                              </w:rPr>
                              <w:t>Přijetí inovativních nápadů, procesů, modelů nebo technologií zavedených prostřednictvím PRV lze hodnotit pomocí</w:t>
                            </w:r>
                            <w:r>
                              <w:rPr>
                                <w:sz w:val="18"/>
                              </w:rPr>
                              <w:t xml:space="preserve"> </w:t>
                            </w:r>
                            <w:r w:rsidRPr="00772743">
                              <w:rPr>
                                <w:sz w:val="18"/>
                              </w:rPr>
                              <w:t>průzkumů</w:t>
                            </w:r>
                            <w:r>
                              <w:rPr>
                                <w:sz w:val="18"/>
                              </w:rPr>
                              <w:t>, které měří úroveň a míru přijetí novinek a zjišťují zdroj novinky. Průzkumy by měly:</w:t>
                            </w:r>
                          </w:p>
                          <w:p w:rsidR="005716B0" w:rsidRPr="003D7EC4" w:rsidRDefault="005716B0" w:rsidP="008C0B17">
                            <w:pPr>
                              <w:pStyle w:val="HStandard"/>
                              <w:numPr>
                                <w:ilvl w:val="3"/>
                                <w:numId w:val="43"/>
                              </w:numPr>
                            </w:pPr>
                            <w:r>
                              <w:rPr>
                                <w:sz w:val="18"/>
                              </w:rPr>
                              <w:t>zahrnovat ty, kdo novinku přijali, ale také ty, kdo ji nepřijali, a měly by se snažit: a) pochopit důvody nepřijetí a b) zjistit, zda existují alternativní způsoby pro řešení otázky, kterou řeší novinka,</w:t>
                            </w:r>
                          </w:p>
                          <w:p w:rsidR="005716B0" w:rsidRPr="000E5745" w:rsidRDefault="005716B0" w:rsidP="008C0B17">
                            <w:pPr>
                              <w:pStyle w:val="HStandard"/>
                              <w:numPr>
                                <w:ilvl w:val="3"/>
                                <w:numId w:val="43"/>
                              </w:numPr>
                            </w:pPr>
                            <w:r w:rsidRPr="00772743">
                              <w:rPr>
                                <w:sz w:val="18"/>
                              </w:rPr>
                              <w:t>vyjmenovat</w:t>
                            </w:r>
                            <w:r>
                              <w:t xml:space="preserve"> </w:t>
                            </w:r>
                            <w:r>
                              <w:rPr>
                                <w:sz w:val="18"/>
                              </w:rPr>
                              <w:t xml:space="preserve">subjekty, které nový nápad přijaly, a subjekty, které ho nepřijaly, tam, kde je známo, že došlo k přijetí a v oblastech, které při posouzení inovačního potenciálu (viz </w:t>
                            </w:r>
                            <w:hyperlink w:anchor="Screening_Potential" w:history="1">
                              <w:r>
                                <w:rPr>
                                  <w:rStyle w:val="Hyperlink"/>
                                  <w:sz w:val="18"/>
                                </w:rPr>
                                <w:t>oddíl 2.2</w:t>
                              </w:r>
                            </w:hyperlink>
                            <w:r>
                              <w:rPr>
                                <w:sz w:val="18"/>
                              </w:rPr>
                              <w:t xml:space="preserve">) byly označeny za slibné.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7.65pt;margin-top:92.9pt;width:426.35pt;height:19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w:txbxContent>
                    <w:p w:rsidR="005716B0" w:rsidRPr="003D7EC4" w:rsidRDefault="005716B0"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772743">
                        <w:rPr>
                          <w:sz w:val="18"/>
                        </w:rPr>
                        <w:t>Přijetí inovativních nápadů, procesů, modelů nebo technologií zavedených prostřednictvím PRV lze hodnotit pomocí</w:t>
                      </w:r>
                      <w:r>
                        <w:rPr>
                          <w:sz w:val="18"/>
                        </w:rPr>
                        <w:t xml:space="preserve"> </w:t>
                      </w:r>
                      <w:r w:rsidRPr="00772743">
                        <w:rPr>
                          <w:sz w:val="18"/>
                        </w:rPr>
                        <w:t>průzkumů</w:t>
                      </w:r>
                      <w:r>
                        <w:rPr>
                          <w:sz w:val="18"/>
                        </w:rPr>
                        <w:t>, které měří úroveň a míru přijetí novinek a zjišťují zdroj novinky. Průzkumy by měly:</w:t>
                      </w:r>
                    </w:p>
                    <w:p w:rsidR="005716B0" w:rsidRPr="003D7EC4" w:rsidRDefault="005716B0" w:rsidP="008C0B17">
                      <w:pPr>
                        <w:pStyle w:val="HStandard"/>
                        <w:numPr>
                          <w:ilvl w:val="3"/>
                          <w:numId w:val="43"/>
                        </w:numPr>
                      </w:pPr>
                      <w:r>
                        <w:rPr>
                          <w:sz w:val="18"/>
                        </w:rPr>
                        <w:t>zahrnovat ty, kdo novinku přijali, ale také ty, kdo ji nepřijali, a měly by se snažit: a) pochopit důvody nepřijetí a b) zjistit, zda existují alternativní způsoby pro řešení otázky, kterou řeší novinka,</w:t>
                      </w:r>
                    </w:p>
                    <w:p w:rsidR="005716B0" w:rsidRPr="000E5745" w:rsidRDefault="005716B0" w:rsidP="008C0B17">
                      <w:pPr>
                        <w:pStyle w:val="HStandard"/>
                        <w:numPr>
                          <w:ilvl w:val="3"/>
                          <w:numId w:val="43"/>
                        </w:numPr>
                      </w:pPr>
                      <w:r w:rsidRPr="00772743">
                        <w:rPr>
                          <w:sz w:val="18"/>
                        </w:rPr>
                        <w:t>vyjmenovat</w:t>
                      </w:r>
                      <w:r>
                        <w:t xml:space="preserve"> </w:t>
                      </w:r>
                      <w:r>
                        <w:rPr>
                          <w:sz w:val="18"/>
                        </w:rPr>
                        <w:t xml:space="preserve">subjekty, které nový nápad přijaly, a subjekty, které ho nepřijaly, tam, kde je známo, že došlo k přijetí a v oblastech, které při posouzení inovačního potenciálu (viz </w:t>
                      </w:r>
                      <w:hyperlink w:anchor="Screening_Potential" w:history="1">
                        <w:r>
                          <w:rPr>
                            <w:rStyle w:val="Hyperlink"/>
                            <w:sz w:val="18"/>
                          </w:rPr>
                          <w:t>oddíl 2.2</w:t>
                        </w:r>
                      </w:hyperlink>
                      <w:r>
                        <w:rPr>
                          <w:sz w:val="18"/>
                        </w:rPr>
                        <w:t xml:space="preserve">) byly označeny za slibné. </w:t>
                      </w:r>
                    </w:p>
                  </w:txbxContent>
                </v:textbox>
                <w10:wrap type="square"/>
              </v:shape>
            </w:pict>
          </mc:Fallback>
        </mc:AlternateContent>
      </w:r>
      <w:r>
        <w:rPr>
          <w:b/>
        </w:rPr>
        <w:t>Scénář 1</w:t>
      </w:r>
      <w:r>
        <w:t xml:space="preserve"> má hodnotící kritérium „přijetí inovativních nápadů, procesů, modelů a/nebo technologií zavedených prostřednictvím PRV“. Lze ho měřit pomocí společných a dodatečných ukazatelů navržených v tabulce 9. Údaje pro společné ukazatele lze shromáždit prostřednictvím databáze operací. Údaje a informace pro dodatečné ukazatele lze shromáždit prostřednictvím průzkumu, který zorganizuje a provede hodnotitel (viz příklad níže).</w:t>
      </w:r>
    </w:p>
    <w:p w:rsidR="00A45935" w:rsidRPr="00717885" w:rsidRDefault="00A45935" w:rsidP="000026C6">
      <w:pPr>
        <w:pStyle w:val="Hlistbullet2"/>
      </w:pPr>
      <w:r>
        <w:rPr>
          <w:b/>
        </w:rPr>
        <w:t>Scénář 2</w:t>
      </w:r>
      <w:r>
        <w:t xml:space="preserve"> má tři hodnotící kritéria, k nimž přistupují ukazatele výsledků: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Prvním hodnotícím kritériem je zvýšená spolupráce a sdílení mezi aktéry, kteří se podílejí na vyvolání změny, k níž přispěl PRV. S tím je spojeno zjištění dohod mezi partnery, kteří PRV zprostředkovali, pomocí dodatečných ukazatelů výsledků: „Počet formálních partnerství, jež byla zprostředkována v rámci programu rozvoje venkova, spojených se změnami v rámci priorit rozvoje venkova, k nimž PRV přispěl“ a „% růstu počtu a kategorií partnerů zapojených do projektů spolupráce“ (viz pracovní dokument </w:t>
      </w:r>
      <w:hyperlink r:id="rId100" w:history="1">
        <w:r>
          <w:rPr>
            <w:color w:val="F07E31"/>
            <w:szCs w:val="20"/>
            <w:u w:val="single"/>
          </w:rPr>
          <w:t>Společné hodnotící otázky pro programy rozvoje venkova 2014–2020</w:t>
        </w:r>
      </w:hyperlink>
      <w:r>
        <w:t xml:space="preserve">). Údaje a informace pro první dodatečný ukazatel mohou hodnotitelé shromáždit během hodnocení prostřednictvím rozhovorů a tematicky zaměřených skupin za účasti partnerů zapojených do vytvořených partnerství. Pro druhý dodatečný ukazatel lze údaje shromáždit přímo z databáze operací.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Druhé hodnotící kritérium se týká přispění PRV ke zvýšenému učení, reflexi a sdílení. To zahrnuje zjištění platforem (např. komunita pro sdílení praktických postupů), skupin a jiných forem institucionálního „prostoru“ (např. přezkumy po akcích), virtuálních i s osobní účastí, jež umožňují účastníkům inovačního procesu sdílet zkušenosti, zamýšlet se nad jejich smyslem a hodnotou, čerpat poučení a přijímat následná opatření. Dodatečný ukazatel výsledků: „počet a kvalita platforem a „prostorů“ podporujících inovace, které PRV zřídil nebo posílil“ se navrhuje použít pro změření úspěchu, jak je podrobněji uvedeno u tohoto hodnotícího kritéria.</w:t>
      </w:r>
      <w:r>
        <w:rPr>
          <w:i/>
          <w:sz w:val="18"/>
          <w:szCs w:val="16"/>
        </w:rPr>
        <w:t xml:space="preserve"> </w:t>
      </w:r>
      <w:r>
        <w:t xml:space="preserve">Kvantitativní a kvalitativní informace musejí hodnotitelé shromáždit během hodnocení (např. pomocí rozhovorů v rámci tematicky zaměřených skupin s účastníky výše uvedených platforem/prostorů).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727872" behindDoc="0" locked="0" layoutInCell="1" allowOverlap="1" wp14:anchorId="24A1BA36" wp14:editId="295E4E0C">
                <wp:simplePos x="0" y="0"/>
                <wp:positionH relativeFrom="column">
                  <wp:posOffset>3322651</wp:posOffset>
                </wp:positionH>
                <wp:positionV relativeFrom="paragraph">
                  <wp:posOffset>1188085</wp:posOffset>
                </wp:positionV>
                <wp:extent cx="2360930" cy="2011680"/>
                <wp:effectExtent l="0" t="0" r="20320" b="2667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11680"/>
                        </a:xfrm>
                        <a:prstGeom prst="round2DiagRect">
                          <a:avLst>
                            <a:gd name="adj1" fmla="val 7843"/>
                            <a:gd name="adj2" fmla="val 0"/>
                          </a:avLst>
                        </a:prstGeom>
                        <a:noFill/>
                        <a:ln w="25400" cap="flat" cmpd="sng" algn="ctr">
                          <a:solidFill>
                            <a:srgbClr val="BE4A35"/>
                          </a:solidFill>
                          <a:prstDash val="solid"/>
                        </a:ln>
                        <a:effectLst/>
                      </wps:spPr>
                      <wps:txbx>
                        <w:txbxContent>
                          <w:p w:rsidR="005716B0" w:rsidRPr="000E5745" w:rsidRDefault="005716B0"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„Sběr výsledků“</w:t>
                            </w:r>
                            <w:r>
                              <w:rPr>
                                <w:color w:val="BE4A35"/>
                                <w:sz w:val="18"/>
                              </w:rPr>
                              <w:t xml:space="preserve"> </w:t>
                            </w:r>
                            <w:r>
                              <w:rPr>
                                <w:sz w:val="18"/>
                              </w:rPr>
                              <w:t>je metoda, při které jsou ti, kteří prostřednictvím PRV činí změny (kteří se podíleli na zapojení PRV do politik), požádáni, aby určili politické změny, k nimž PRV přispěl, a poté jsou požádány znalé, ale nezávislé osoby, aby tato tvrzení potvrdily.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65pt;margin-top:93.55pt;width:185.9pt;height:15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w:txbxContent>
                    <w:p w:rsidR="005716B0" w:rsidRPr="000E5745" w:rsidRDefault="005716B0"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„Sběr výsledků“</w:t>
                      </w:r>
                      <w:r>
                        <w:rPr>
                          <w:color w:val="BE4A35"/>
                          <w:sz w:val="18"/>
                        </w:rPr>
                        <w:t xml:space="preserve"> </w:t>
                      </w:r>
                      <w:r>
                        <w:rPr>
                          <w:sz w:val="18"/>
                        </w:rPr>
                        <w:t>je metoda, při které jsou ti, kteří prostřednictvím PRV činí změny (kteří se podíleli na zapojení PRV do politik), požádáni, aby určili politické změny, k nimž PRV přispěl, a poté jsou požádány znalé, ale nezávislé osoby, aby tato tvrzení potvrdily.</w:t>
                      </w:r>
                    </w:p>
                  </w:txbxContent>
                </v:textbox>
                <w10:wrap type="square"/>
              </v:shape>
            </w:pict>
          </mc:Fallback>
        </mc:AlternateContent>
      </w:r>
      <w:r>
        <w:t>Třetí hodnotící kritérium se týká zlepšení toku informací a různorodosti druhů organizací v inovačním systému, v němž došlo ke změně. Důkazy lze shromáždit na základě dodatečného ukazatele výsledku „snížení průměrné délky cesty v síti a různorodosti sítě“. Změřit ho lze prostřednictvím analýzy sociální sítě, kterou hodnotitel provede v době hodnocení.</w:t>
      </w:r>
      <w:r>
        <w:rPr>
          <w:b/>
          <w:i/>
          <w:color w:val="BE4A35"/>
          <w:szCs w:val="20"/>
        </w:rPr>
        <w:t xml:space="preserve"> Analýza sociální sítě</w:t>
      </w:r>
      <w:r>
        <w:rPr>
          <w:rFonts w:eastAsia="Calibri" w:cs="Times New Roman"/>
          <w:szCs w:val="20"/>
          <w:vertAlign w:val="superscript"/>
        </w:rPr>
        <w:footnoteReference w:id="77"/>
      </w:r>
      <w:r>
        <w:t xml:space="preserve"> je metoda, která se používá ke shromáždění důkazů pro související ukazatele ve dvou časových bodech, kdy se vypočítávají změny průměrné délky cesty a počet různých druhů zapojených aktérů. Změny je poté nutné znovu porovnat s intervencí PRV prostřednictvím </w:t>
      </w:r>
      <w:r>
        <w:rPr>
          <w:b/>
          <w:i/>
          <w:szCs w:val="20"/>
        </w:rPr>
        <w:t>rozhovorů</w:t>
      </w:r>
      <w:r>
        <w:t xml:space="preserve"> s klíčovými informátory, tj. znalými, ale nezávislými osobami, které mohou tvrzení o příčinných souvislostech potvrdit nebo vyvrátit</w:t>
      </w:r>
      <w:r w:rsidR="00265D4B">
        <w:t>.</w:t>
      </w:r>
      <w:r>
        <w:t xml:space="preserve"> Ideální by bylo určit výchozí pozici v rámci odhadu inovačního potenciálu na počátku PRV.</w:t>
      </w:r>
    </w:p>
    <w:p w:rsidR="00A45935" w:rsidRPr="00E34FAC" w:rsidRDefault="00A45935" w:rsidP="00A847F8">
      <w:pPr>
        <w:pStyle w:val="Hlistbullet2"/>
      </w:pPr>
      <w:r>
        <w:rPr>
          <w:b/>
        </w:rPr>
        <w:t>Scénář 3</w:t>
      </w:r>
      <w:r>
        <w:t xml:space="preserve"> má několik hodnotících kritérií, jež souvisejí s různými druhy příznivého prostředí, jak je popsáno v oddíle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První hodnotící kritérium se týká stupně, v němž PRV poskytl informace pro politiky, jež podporují změny, ke kterým PRV přispěl. To vyžaduje určit politiky, o nichž lze tvrdit, že byly programem rozvoje venkova ovlivněny, na základě dokládajícího postupu s cílem stanovit oprávněnost těchto tvrzení. Důkazy lze shromáždit na základě dodatečného ukazatele výsledku „počet a druh politik, které PRV ovlivnil na úrovni zúčastněných organizací a širšího příznivého prostředí“ během hodnocení. Sběr výsledků</w:t>
      </w:r>
      <w:r>
        <w:rPr>
          <w:rFonts w:eastAsia="Times New Roman" w:cs="Arial"/>
          <w:szCs w:val="20"/>
          <w:vertAlign w:val="superscript"/>
          <w:lang w:eastAsia="de-DE"/>
        </w:rPr>
        <w:footnoteReference w:id="78"/>
      </w:r>
      <w:r>
        <w:t xml:space="preserve"> je přístup, který se dobře hodí pro hodnocení zapojení PRV do politik.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Druhé hodnotící kritérium se týká příležitostí k odborné přípravě a výměně inovativních postupů, podpořených prostřednictvím PRV. Navrhovaným dodatečným ukazatelem výsledku pro shromažďování informací je „počet zorganizovaných školení a akcí zaměřených na výměnu inovativních postupů a jejich podíl na celkovém počtu školení/akcí podpořených prostřednictvím PRV“. Údaje pro tento ukazatel lze shromáždit prostřednictvím databáze operací po uvedení informací o činnostech odborné přípravy a akcích do souvislosti s inovacemi.</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Třetí hodnotící kritérium souvisí s umožněním interakcí mezi účastníky inovačních procesů. Ke změření úspěchu v souvislosti s tímto hodnotícím kritériem se doporučuje použít dodatečný ukazatel výsledku „počet zorganizovaných akcí zaměřených na navázání kontaktů mezi účastníky inovačních procesů, podpořených prostřednictvím PRV“. Údaje pro tento ukazatel lze shromáždit prostřednictvím databáze operací (např. tak, že se k monitorování akcí doplní informace o účastnících inovačních procesů podpořených prostřednictvím PRV). </w:t>
      </w:r>
    </w:p>
    <w:p w:rsidR="001275FF" w:rsidRDefault="00A45935" w:rsidP="00A847F8">
      <w:pPr>
        <w:numPr>
          <w:ilvl w:val="0"/>
          <w:numId w:val="48"/>
        </w:numPr>
        <w:spacing w:before="60" w:after="120" w:line="280" w:lineRule="atLeast"/>
        <w:ind w:left="1701" w:hanging="567"/>
        <w:rPr>
          <w:rFonts w:eastAsia="Calibri" w:cs="Arial"/>
          <w:szCs w:val="20"/>
        </w:rPr>
      </w:pPr>
      <w:r>
        <w:lastRenderedPageBreak/>
        <w:t xml:space="preserve">Čtvrté hodnotící kritérium se týká PRV jako tvůrce příznivého prostředí pro zavádění nových technologií. Lze ho změřit pomocí dodatečného ukazatele výsledku „počet nových technologií ve venkovských oblastech podpořených prostřednictvím PRV, v členění podle druhů technologií“. Potřebné informace pro tento ukazatel lze shromáždit z databáze operací, pokud se odpovídajícím způsobem přizpůsobí. </w:t>
      </w:r>
    </w:p>
    <w:p w:rsidR="00A45935" w:rsidRPr="000E1023" w:rsidRDefault="00A847F8" w:rsidP="00A847F8">
      <w:pPr>
        <w:pStyle w:val="Hlistbullet"/>
        <w:rPr>
          <w:color w:val="FFFFFF" w:themeColor="background1"/>
        </w:rPr>
      </w:pPr>
      <w:r>
        <w:rPr>
          <w:b/>
          <w:noProof/>
          <w:highlight w:val="yellow"/>
          <w:lang w:val="en-GB" w:eastAsia="en-GB"/>
        </w:rPr>
        <mc:AlternateContent>
          <mc:Choice Requires="wps">
            <w:drawing>
              <wp:anchor distT="0" distB="0" distL="114300" distR="114300" simplePos="0" relativeHeight="251693056" behindDoc="0" locked="0" layoutInCell="1" allowOverlap="1" wp14:anchorId="7C1AB931" wp14:editId="3771719A">
                <wp:simplePos x="0" y="0"/>
                <wp:positionH relativeFrom="column">
                  <wp:posOffset>40640</wp:posOffset>
                </wp:positionH>
                <wp:positionV relativeFrom="paragraph">
                  <wp:posOffset>1896745</wp:posOffset>
                </wp:positionV>
                <wp:extent cx="5670550" cy="2631440"/>
                <wp:effectExtent l="0" t="0" r="25400" b="1651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31440"/>
                        </a:xfrm>
                        <a:prstGeom prst="round2DiagRect">
                          <a:avLst>
                            <a:gd name="adj1" fmla="val 7843"/>
                            <a:gd name="adj2" fmla="val 0"/>
                          </a:avLst>
                        </a:prstGeom>
                        <a:noFill/>
                        <a:ln w="25400" cap="flat" cmpd="sng" algn="ctr">
                          <a:solidFill>
                            <a:srgbClr val="BE4A35"/>
                          </a:solidFill>
                          <a:prstDash val="solid"/>
                        </a:ln>
                        <a:effectLst/>
                      </wps:spPr>
                      <wps:txbx>
                        <w:txbxContent>
                          <w:p w:rsidR="005716B0" w:rsidRPr="00EF653F" w:rsidRDefault="005716B0"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Techniky vypracování slovního popisu a zhodnocení výsledku</w:t>
                            </w:r>
                          </w:p>
                          <w:p w:rsidR="005716B0" w:rsidRPr="00EF653F" w:rsidRDefault="005716B0" w:rsidP="00E05D08">
                            <w:pPr>
                              <w:pStyle w:val="HStandard"/>
                              <w:rPr>
                                <w:rFonts w:cs="Arial"/>
                                <w:sz w:val="18"/>
                                <w:szCs w:val="18"/>
                              </w:rPr>
                            </w:pPr>
                            <w:r>
                              <w:rPr>
                                <w:sz w:val="18"/>
                                <w:szCs w:val="18"/>
                              </w:rPr>
                              <w:t>Při vypracování slovního popisu může hodnotitel použít několik</w:t>
                            </w:r>
                            <w:r>
                              <w:rPr>
                                <w:b/>
                                <w:sz w:val="18"/>
                                <w:szCs w:val="18"/>
                              </w:rPr>
                              <w:t xml:space="preserve"> technik k triangulaci a doložení případu. </w:t>
                            </w:r>
                            <w:r>
                              <w:rPr>
                                <w:sz w:val="18"/>
                                <w:szCs w:val="18"/>
                              </w:rPr>
                              <w:t>Tyto techniky mimo jiné zahrnují: analýzu přispění, ve které hodnotitel určí nezbytný a dostatečný soubor kauzálních souvislostí pro vysvětlení dané změny</w:t>
                            </w:r>
                            <w:r>
                              <w:rPr>
                                <w:sz w:val="18"/>
                                <w:szCs w:val="18"/>
                                <w:vertAlign w:val="superscript"/>
                              </w:rPr>
                              <w:t>82</w:t>
                            </w:r>
                            <w:r>
                              <w:rPr>
                                <w:sz w:val="18"/>
                                <w:szCs w:val="18"/>
                              </w:rPr>
                              <w:t>; zjištění a vyloučení alternativních vysvětlení příčinných souvislostí</w:t>
                            </w:r>
                            <w:r>
                              <w:rPr>
                                <w:sz w:val="18"/>
                                <w:szCs w:val="18"/>
                                <w:vertAlign w:val="superscript"/>
                              </w:rPr>
                              <w:t>83</w:t>
                            </w:r>
                            <w:r>
                              <w:rPr>
                                <w:sz w:val="18"/>
                                <w:szCs w:val="18"/>
                              </w:rPr>
                              <w:t xml:space="preserve"> nebo určení a doložení rozhodujících částí řetězce shromážděných důkazů umožňujících přispění PRV obhájit</w:t>
                            </w:r>
                            <w:r>
                              <w:rPr>
                                <w:sz w:val="18"/>
                                <w:szCs w:val="18"/>
                                <w:vertAlign w:val="superscript"/>
                              </w:rPr>
                              <w:t>84</w:t>
                            </w:r>
                            <w:r>
                              <w:rPr>
                                <w:sz w:val="18"/>
                                <w:szCs w:val="18"/>
                              </w:rPr>
                              <w:t>.</w:t>
                            </w:r>
                          </w:p>
                          <w:p w:rsidR="005716B0" w:rsidRPr="000E5745" w:rsidRDefault="005716B0" w:rsidP="00E05D08">
                            <w:pPr>
                              <w:pStyle w:val="HStandard"/>
                            </w:pPr>
                            <w:r>
                              <w:rPr>
                                <w:sz w:val="18"/>
                                <w:szCs w:val="18"/>
                              </w:rPr>
                              <w:t xml:space="preserve">Míra přispění PRV by měla </w:t>
                            </w:r>
                            <w:r>
                              <w:rPr>
                                <w:sz w:val="18"/>
                                <w:szCs w:val="18"/>
                              </w:rPr>
                              <w:t>být posouzena na Likertově škále</w:t>
                            </w:r>
                            <w:r>
                              <w:rPr>
                                <w:sz w:val="18"/>
                                <w:szCs w:val="18"/>
                                <w:vertAlign w:val="superscript"/>
                              </w:rPr>
                              <w:t>85</w:t>
                            </w:r>
                            <w:r>
                              <w:rPr>
                                <w:sz w:val="18"/>
                                <w:szCs w:val="18"/>
                              </w:rPr>
                              <w:t>, tj. žádná, malá, určitá, hlavní přispívající faktor, jediný přispívající faktor. Hodnotitel by rovněž měl na podobné pětibodové stupnici posoudit úroveň důvěry, kterou má k těmto zjištěním. Udělený rating se musí zdůvodnit.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2pt;margin-top:149.35pt;width:446.5pt;height:20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w:txbxContent>
                    <w:p w:rsidR="005716B0" w:rsidRPr="00EF653F" w:rsidRDefault="005716B0"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Techniky vypracování slovního popisu a zhodnocení výsledku</w:t>
                      </w:r>
                    </w:p>
                    <w:p w:rsidR="005716B0" w:rsidRPr="00EF653F" w:rsidRDefault="005716B0" w:rsidP="00E05D08">
                      <w:pPr>
                        <w:pStyle w:val="HStandard"/>
                        <w:rPr>
                          <w:rFonts w:cs="Arial"/>
                          <w:sz w:val="18"/>
                          <w:szCs w:val="18"/>
                        </w:rPr>
                      </w:pPr>
                      <w:r>
                        <w:rPr>
                          <w:sz w:val="18"/>
                          <w:szCs w:val="18"/>
                        </w:rPr>
                        <w:t>Při vypracování slovního popisu může hodnotitel použít několik</w:t>
                      </w:r>
                      <w:r>
                        <w:rPr>
                          <w:b/>
                          <w:sz w:val="18"/>
                          <w:szCs w:val="18"/>
                        </w:rPr>
                        <w:t xml:space="preserve"> technik k triangulaci a doložení případu. </w:t>
                      </w:r>
                      <w:r>
                        <w:rPr>
                          <w:sz w:val="18"/>
                          <w:szCs w:val="18"/>
                        </w:rPr>
                        <w:t>Tyto techniky mimo jiné zahrnují: analýzu přispění, ve které hodnotitel určí nezbytný a dostatečný soubor kauzálních souvislostí pro vysvětlení dané změny</w:t>
                      </w:r>
                      <w:r>
                        <w:rPr>
                          <w:sz w:val="18"/>
                          <w:szCs w:val="18"/>
                          <w:vertAlign w:val="superscript"/>
                        </w:rPr>
                        <w:t>82</w:t>
                      </w:r>
                      <w:r>
                        <w:rPr>
                          <w:sz w:val="18"/>
                          <w:szCs w:val="18"/>
                        </w:rPr>
                        <w:t>; zjištění a vyloučení alternativních vysvětlení příčinných souvislostí</w:t>
                      </w:r>
                      <w:r>
                        <w:rPr>
                          <w:sz w:val="18"/>
                          <w:szCs w:val="18"/>
                          <w:vertAlign w:val="superscript"/>
                        </w:rPr>
                        <w:t>83</w:t>
                      </w:r>
                      <w:r>
                        <w:rPr>
                          <w:sz w:val="18"/>
                          <w:szCs w:val="18"/>
                        </w:rPr>
                        <w:t xml:space="preserve"> nebo určení a doložení rozhodujících částí řetězce shromážděných důkazů umožňujících přispění PRV obhájit</w:t>
                      </w:r>
                      <w:r>
                        <w:rPr>
                          <w:sz w:val="18"/>
                          <w:szCs w:val="18"/>
                          <w:vertAlign w:val="superscript"/>
                        </w:rPr>
                        <w:t>84</w:t>
                      </w:r>
                      <w:r>
                        <w:rPr>
                          <w:sz w:val="18"/>
                          <w:szCs w:val="18"/>
                        </w:rPr>
                        <w:t>.</w:t>
                      </w:r>
                    </w:p>
                    <w:p w:rsidR="005716B0" w:rsidRPr="000E5745" w:rsidRDefault="005716B0" w:rsidP="00E05D08">
                      <w:pPr>
                        <w:pStyle w:val="HStandard"/>
                      </w:pPr>
                      <w:r>
                        <w:rPr>
                          <w:sz w:val="18"/>
                          <w:szCs w:val="18"/>
                        </w:rPr>
                        <w:t xml:space="preserve">Míra přispění PRV by měla </w:t>
                      </w:r>
                      <w:r>
                        <w:rPr>
                          <w:sz w:val="18"/>
                          <w:szCs w:val="18"/>
                        </w:rPr>
                        <w:t>být posouzena na Likertově škále</w:t>
                      </w:r>
                      <w:r>
                        <w:rPr>
                          <w:sz w:val="18"/>
                          <w:szCs w:val="18"/>
                          <w:vertAlign w:val="superscript"/>
                        </w:rPr>
                        <w:t>85</w:t>
                      </w:r>
                      <w:r>
                        <w:rPr>
                          <w:sz w:val="18"/>
                          <w:szCs w:val="18"/>
                        </w:rPr>
                        <w:t>, tj. žádná, malá, určitá, hlavní přispívající faktor, jediný přispívající faktor. Hodnotitel by rovněž měl na podobné pětibodové stupnici posoudit úroveň důvěry, kterou má k těmto zjištěním. Udělený rating se musí zdůvodnit.</w:t>
                      </w:r>
                    </w:p>
                  </w:txbxContent>
                </v:textbox>
                <w10:wrap type="square"/>
              </v:shape>
            </w:pict>
          </mc:Fallback>
        </mc:AlternateContent>
      </w:r>
      <w:r>
        <w:rPr>
          <w:b/>
        </w:rPr>
        <w:t>KROK 3 – Vytvořit časovou osu příčinných souvislostí a slovní popis</w:t>
      </w:r>
      <w:r>
        <w:t xml:space="preserve"> toho, jak došlo ke změně (změnám) určeným v kroku 1. Popis bude </w:t>
      </w:r>
      <w:r>
        <w:rPr>
          <w:i/>
        </w:rPr>
        <w:t>a priori</w:t>
      </w:r>
      <w:r>
        <w:t xml:space="preserve"> předpokládat, že ke změně (změnám) došlo prostřednictvím jednoho nebo více ze tří scénářů a jejich interakcí (viz </w:t>
      </w:r>
      <w:hyperlink w:anchor="Pathways" w:history="1">
        <w:r>
          <w:rPr>
            <w:rStyle w:val="Hyperlink"/>
            <w:sz w:val="20"/>
          </w:rPr>
          <w:t>graf 1</w:t>
        </w:r>
      </w:hyperlink>
      <w:r>
        <w:t>). Časová osa a popis by měly obsahovat všechny hlavní události a procesy, jež vedly ke změně, a nejen pouze ty, které vyplynuly z činnosti P</w:t>
      </w:r>
      <w:r w:rsidR="002A0EEA">
        <w:t>R</w:t>
      </w:r>
      <w:r>
        <w:t>V. Tento přístup je založen na metodice případové studie</w:t>
      </w:r>
      <w:r>
        <w:rPr>
          <w:rFonts w:cs="Arial"/>
          <w:vertAlign w:val="superscript"/>
        </w:rPr>
        <w:footnoteReference w:id="79"/>
      </w:r>
      <w:r>
        <w:t>. Konkrétními metodami, které je možné použít, jsou sledování procesů (stanovení teoretické cesty od výsledku k jeho příčinám prostřednictvím posouzení několika alternativ)</w:t>
      </w:r>
      <w:r>
        <w:rPr>
          <w:rFonts w:cs="Arial"/>
          <w:vertAlign w:val="superscript"/>
        </w:rPr>
        <w:footnoteReference w:id="80"/>
      </w:r>
      <w:r>
        <w:t xml:space="preserve"> a sestavení historií inovací (metoda pro zaznamenání a reflexi inovačního procesu)</w:t>
      </w:r>
      <w:r>
        <w:rPr>
          <w:vertAlign w:val="superscript"/>
        </w:rPr>
        <w:t xml:space="preserve"> </w:t>
      </w:r>
      <w:r>
        <w:rPr>
          <w:rFonts w:cs="Arial"/>
          <w:vertAlign w:val="superscript"/>
        </w:rPr>
        <w:footnoteReference w:id="81"/>
      </w:r>
      <w:r>
        <w:t>. Data budou pocházet z předchozích kroků, z přezkumu dokumentace PRV nebo rozhovorů s klíčov</w:t>
      </w:r>
      <w:r w:rsidR="00A7794C">
        <w:t>ými</w:t>
      </w:r>
      <w:r>
        <w:t xml:space="preserve"> informátory z řad pracovníků programu a zúčastněných stran</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 xml:space="preserve">KROK 4 – Porovnat inovační potenciál určený před hodnocením s přispěním </w:t>
      </w:r>
      <w:r w:rsidR="00E90946">
        <w:rPr>
          <w:b/>
        </w:rPr>
        <w:t>PRV</w:t>
      </w:r>
      <w:r>
        <w:rPr>
          <w:b/>
        </w:rPr>
        <w:t>.</w:t>
      </w:r>
      <w:r>
        <w:t xml:space="preserve"> Naše pracovní hypotéza je taková, že budou existovat rozdíly, které zapojeným aktérům pomohou lépe pochopit inovace jako nenadálý a nepředvídatelný proces, který nicméně lze rozvíjet, pokud jsou v rámci PRV zavedeny mechanismy učení a flexibilního řízení.</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Rizika a řešení</w:t>
      </w:r>
      <w:r>
        <w:t xml:space="preserve"> </w:t>
      </w:r>
    </w:p>
    <w:p w:rsidR="00E05D08" w:rsidRPr="00AB6603" w:rsidRDefault="00AB6603" w:rsidP="00A847F8">
      <w:pPr>
        <w:spacing w:before="120" w:after="120" w:line="280" w:lineRule="atLeast"/>
        <w:mirrorIndents/>
        <w:rPr>
          <w:rFonts w:eastAsia="Times New Roman" w:cs="Times New Roman"/>
          <w:b/>
          <w:szCs w:val="20"/>
        </w:rPr>
      </w:pPr>
      <w:r>
        <w:lastRenderedPageBreak/>
        <w:t>Hlavní riziko spočívá v tom, že výše popsané hodnocení případové studie není provedeno na dostatečně vysoké úrovni, aby byly jeho závěry přesvědčivé.</w:t>
      </w:r>
    </w:p>
    <w:p w:rsidR="00E05D08" w:rsidRDefault="00E05D08" w:rsidP="00E05D08">
      <w:pPr>
        <w:spacing w:after="120" w:line="280" w:lineRule="atLeast"/>
        <w:mirrorIndents/>
        <w:rPr>
          <w:rFonts w:eastAsia="Times New Roman" w:cs="Arial"/>
          <w:szCs w:val="20"/>
        </w:rPr>
      </w:pPr>
      <w:r>
        <w:t xml:space="preserve">Na druhé straně, pokud přístup případové studie není použit, existuje riziko, že společná hodnotící otázka č. 30 bude hodnocena pouze na základě hodnotících kritérií a ukazatelů, což neumožní hodnocení míry přispění PRV a nepomůže ani zapojeným subjektům poznat, jak dochází ke změnám ve složitých systémech.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Závěry a doporučení</w:t>
      </w:r>
    </w:p>
    <w:p w:rsidR="00E05D08" w:rsidRPr="00E05D08" w:rsidRDefault="00E05D08" w:rsidP="00E05D08">
      <w:pPr>
        <w:spacing w:after="120" w:line="280" w:lineRule="atLeast"/>
        <w:mirrorIndents/>
        <w:rPr>
          <w:rFonts w:eastAsia="Times New Roman" w:cs="Arial"/>
          <w:szCs w:val="20"/>
        </w:rPr>
      </w:pPr>
      <w:r>
        <w:t>Závěry a doporučení týkající se společné hodnotící otázky č. 30 by měly posoudit toto:</w:t>
      </w:r>
    </w:p>
    <w:p w:rsidR="00E05D08" w:rsidRPr="00812586" w:rsidRDefault="00E05D08" w:rsidP="00320AA0">
      <w:pPr>
        <w:pStyle w:val="Hlistbullet"/>
      </w:pPr>
      <w:r>
        <w:t xml:space="preserve">konkrétní opatření (a jejich kombinace), jež byla nejúčinnější a nejefektivnější při podpoře inovací ve venkovských oblastech prostřednictvím PRV, </w:t>
      </w:r>
    </w:p>
    <w:p w:rsidR="00E05D08" w:rsidRPr="00812586" w:rsidRDefault="00E05D08" w:rsidP="00320AA0">
      <w:pPr>
        <w:pStyle w:val="Hlistbullet"/>
      </w:pPr>
      <w:r>
        <w:t xml:space="preserve">způsoby, jimiž PRV podpořil inovace, v souvislosti se třemi scénáři inovací, </w:t>
      </w:r>
    </w:p>
    <w:p w:rsidR="00E05D08" w:rsidRPr="00812586" w:rsidRDefault="00E05D08" w:rsidP="00320AA0">
      <w:pPr>
        <w:pStyle w:val="Hlistbullet"/>
      </w:pPr>
      <w:r>
        <w:t xml:space="preserve">cíle politik, k nimž podporované inovace přispěly nejvýznamněji, </w:t>
      </w:r>
    </w:p>
    <w:p w:rsidR="000E0FE4" w:rsidRDefault="00E05D08" w:rsidP="00320AA0">
      <w:pPr>
        <w:pStyle w:val="Hlistbullet"/>
      </w:pPr>
      <w:r>
        <w:t xml:space="preserve">zúčastněné strany a příjemci PRV, kteří byli nejefektivnějšími nositeli inovací. </w:t>
      </w:r>
    </w:p>
    <w:p w:rsidR="000E0FE4" w:rsidRDefault="000E0FE4" w:rsidP="000E0FE4">
      <w:pPr>
        <w:ind w:left="720"/>
        <w:mirrorIndents/>
        <w:rPr>
          <w:szCs w:val="20"/>
        </w:rPr>
        <w:sectPr w:rsidR="000E0FE4" w:rsidSect="001F6F07">
          <w:headerReference w:type="first" r:id="rId101"/>
          <w:pgSz w:w="11907" w:h="16840" w:code="9"/>
          <w:pgMar w:top="1440" w:right="1440" w:bottom="1134" w:left="1440" w:header="567" w:footer="1020" w:gutter="0"/>
          <w:cols w:space="708"/>
          <w:titlePg/>
          <w:docGrid w:linePitch="435"/>
        </w:sectPr>
      </w:pPr>
    </w:p>
    <w:p w:rsidR="00E05D08" w:rsidRPr="00E05D08" w:rsidRDefault="00BA450C" w:rsidP="00346923">
      <w:pPr>
        <w:pStyle w:val="HHeading4"/>
      </w:pPr>
      <w:r>
        <w:rPr>
          <w:noProof/>
          <w:sz w:val="18"/>
          <w:szCs w:val="24"/>
          <w:lang w:val="en-GB" w:eastAsia="en-GB"/>
        </w:rPr>
        <mc:AlternateContent>
          <mc:Choice Requires="wps">
            <w:drawing>
              <wp:anchor distT="0" distB="0" distL="114300" distR="114300" simplePos="0" relativeHeight="251695104" behindDoc="0" locked="0" layoutInCell="1" allowOverlap="1" wp14:anchorId="2604CA04" wp14:editId="29E715E4">
                <wp:simplePos x="0" y="0"/>
                <wp:positionH relativeFrom="column">
                  <wp:posOffset>-56099</wp:posOffset>
                </wp:positionH>
                <wp:positionV relativeFrom="paragraph">
                  <wp:posOffset>325369</wp:posOffset>
                </wp:positionV>
                <wp:extent cx="5884697" cy="5267618"/>
                <wp:effectExtent l="0" t="0" r="20955"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84697" cy="5267618"/>
                        </a:xfrm>
                        <a:prstGeom prst="round2DiagRect">
                          <a:avLst>
                            <a:gd name="adj1" fmla="val 6996"/>
                            <a:gd name="adj2" fmla="val 0"/>
                          </a:avLst>
                        </a:prstGeom>
                        <a:noFill/>
                        <a:ln w="25400" cap="flat" cmpd="sng" algn="ctr">
                          <a:solidFill>
                            <a:srgbClr val="59638E"/>
                          </a:solidFill>
                          <a:prstDash val="solid"/>
                        </a:ln>
                        <a:effectLst/>
                      </wps:spPr>
                      <wps:txbx>
                        <w:txbxContent>
                          <w:p w:rsidR="005716B0" w:rsidRDefault="005716B0"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BA450C" w:rsidRDefault="005716B0" w:rsidP="00BA450C">
                            <w:pPr>
                              <w:pStyle w:val="HStandard"/>
                              <w:rPr>
                                <w:sz w:val="18"/>
                                <w:szCs w:val="18"/>
                              </w:rPr>
                            </w:pPr>
                            <w:r>
                              <w:rPr>
                                <w:sz w:val="18"/>
                                <w:szCs w:val="18"/>
                              </w:rPr>
                              <w:t xml:space="preserve">Allen, I.E. </w:t>
                            </w:r>
                            <w:r>
                              <w:rPr>
                                <w:sz w:val="18"/>
                                <w:szCs w:val="18"/>
                              </w:rPr>
                              <w:t xml:space="preserve">a Seaman, C.A. (2007). </w:t>
                            </w:r>
                            <w:hyperlink r:id="rId102" w:history="1">
                              <w:r>
                                <w:rPr>
                                  <w:rStyle w:val="Hyperlink"/>
                                  <w:sz w:val="18"/>
                                  <w:szCs w:val="18"/>
                                </w:rPr>
                                <w:t>Likert scales and data analyses</w:t>
                              </w:r>
                            </w:hyperlink>
                            <w:r>
                              <w:rPr>
                                <w:sz w:val="18"/>
                                <w:szCs w:val="18"/>
                              </w:rPr>
                              <w:t xml:space="preserve"> (Likertovy škály a analýza dat). Quality progress, 40(7), s. 64.</w:t>
                            </w:r>
                          </w:p>
                          <w:p w:rsidR="005716B0" w:rsidRPr="00BA450C" w:rsidRDefault="005716B0" w:rsidP="00BA450C">
                            <w:pPr>
                              <w:pStyle w:val="HStandard"/>
                              <w:jc w:val="left"/>
                              <w:rPr>
                                <w:sz w:val="18"/>
                                <w:szCs w:val="18"/>
                              </w:rPr>
                            </w:pPr>
                            <w:r>
                              <w:rPr>
                                <w:sz w:val="18"/>
                                <w:szCs w:val="18"/>
                              </w:rPr>
                              <w:t>Collier, D., 2011. „</w:t>
                            </w:r>
                            <w:hyperlink r:id="rId103" w:history="1">
                              <w:r>
                                <w:rPr>
                                  <w:rStyle w:val="Hyperlink"/>
                                  <w:sz w:val="18"/>
                                  <w:szCs w:val="18"/>
                                </w:rPr>
                                <w:t>Understanding process tracing</w:t>
                              </w:r>
                            </w:hyperlink>
                            <w:r>
                              <w:rPr>
                                <w:sz w:val="18"/>
                                <w:szCs w:val="18"/>
                              </w:rPr>
                              <w:t>“ (Pochopení sledování procesů). PS: Political Science &amp; Politics 44.04: 823–830.</w:t>
                            </w:r>
                          </w:p>
                          <w:p w:rsidR="005716B0" w:rsidRPr="00BA450C" w:rsidRDefault="005716B0" w:rsidP="00BA450C">
                            <w:pPr>
                              <w:pStyle w:val="HStandard"/>
                              <w:jc w:val="left"/>
                              <w:rPr>
                                <w:sz w:val="18"/>
                                <w:szCs w:val="18"/>
                              </w:rPr>
                            </w:pPr>
                            <w:r>
                              <w:rPr>
                                <w:sz w:val="18"/>
                                <w:szCs w:val="18"/>
                              </w:rPr>
                              <w:t xml:space="preserve">Douthwaite, B. a Ashby, J., 2005. Innovation histories: a method from learning from experience. Institutional Learning and Change Initiative (Historie inovací: Metoda učení se na základě zkušeností. Iniciativa v oblasti institucionální ho učení a změny). Citováno dne 15. května z: </w:t>
                            </w:r>
                            <w:hyperlink r:id="rId104" w:history="1">
                              <w:r>
                                <w:rPr>
                                  <w:rStyle w:val="Hyperlink"/>
                                  <w:sz w:val="18"/>
                                  <w:szCs w:val="18"/>
                                </w:rPr>
                                <w:t>http://ageconsearch.umn.edu/bitstream/52515/2/ILAC_Brief05_Histories.pdf</w:t>
                              </w:r>
                            </w:hyperlink>
                          </w:p>
                          <w:p w:rsidR="005716B0" w:rsidRPr="00BA450C" w:rsidRDefault="005716B0" w:rsidP="00BA450C">
                            <w:pPr>
                              <w:pStyle w:val="HStandard"/>
                              <w:jc w:val="left"/>
                              <w:rPr>
                                <w:sz w:val="18"/>
                                <w:szCs w:val="18"/>
                              </w:rPr>
                            </w:pPr>
                            <w:r>
                              <w:rPr>
                                <w:sz w:val="18"/>
                                <w:szCs w:val="18"/>
                              </w:rPr>
                              <w:t xml:space="preserve">GAO (General Accounts Office) (1987) </w:t>
                            </w:r>
                            <w:hyperlink r:id="rId105" w:history="1">
                              <w:r>
                                <w:rPr>
                                  <w:rStyle w:val="Hyperlink"/>
                                  <w:sz w:val="18"/>
                                  <w:szCs w:val="18"/>
                                </w:rPr>
                                <w:t>Case study evaluation.</w:t>
                              </w:r>
                            </w:hyperlink>
                            <w:hyperlink r:id="rId106" w:history="1">
                              <w:r>
                                <w:rPr>
                                  <w:rStyle w:val="Hyperlink"/>
                                  <w:sz w:val="18"/>
                                  <w:szCs w:val="18"/>
                                </w:rPr>
                                <w:t xml:space="preserve"> Program Evaluation and Methodology</w:t>
                              </w:r>
                            </w:hyperlink>
                            <w:r>
                              <w:rPr>
                                <w:rStyle w:val="Hyperlink"/>
                                <w:sz w:val="18"/>
                                <w:szCs w:val="18"/>
                              </w:rPr>
                              <w:t xml:space="preserve"> </w:t>
                            </w:r>
                            <w:r>
                              <w:rPr>
                                <w:sz w:val="18"/>
                                <w:szCs w:val="18"/>
                              </w:rPr>
                              <w:t>(Hodnocení případových studií. Hodnocení programu a medodika). Division, Transfer Paper 9. Washington DC: GAO.</w:t>
                            </w:r>
                          </w:p>
                          <w:p w:rsidR="005716B0" w:rsidRPr="00BA450C" w:rsidRDefault="005716B0" w:rsidP="00BA450C">
                            <w:pPr>
                              <w:pStyle w:val="HStandard"/>
                              <w:jc w:val="left"/>
                              <w:rPr>
                                <w:sz w:val="18"/>
                                <w:szCs w:val="18"/>
                              </w:rPr>
                            </w:pPr>
                            <w:r>
                              <w:rPr>
                                <w:sz w:val="18"/>
                                <w:szCs w:val="18"/>
                              </w:rPr>
                              <w:t xml:space="preserve">Hilton, D.J., 1996. </w:t>
                            </w:r>
                            <w:hyperlink r:id="rId107" w:history="1">
                              <w:r>
                                <w:rPr>
                                  <w:rStyle w:val="Hyperlink"/>
                                  <w:sz w:val="18"/>
                                  <w:szCs w:val="18"/>
                                </w:rPr>
                                <w:t>Mental models and causal explanation:</w:t>
                              </w:r>
                            </w:hyperlink>
                            <w:hyperlink r:id="rId108" w:history="1">
                              <w:r>
                                <w:rPr>
                                  <w:rStyle w:val="Hyperlink"/>
                                  <w:sz w:val="18"/>
                                  <w:szCs w:val="18"/>
                                </w:rPr>
                                <w:t xml:space="preserve"> Judgments of probable cause and explanatory relevance</w:t>
                              </w:r>
                            </w:hyperlink>
                            <w:r>
                              <w:rPr>
                                <w:rStyle w:val="Hyperlink"/>
                                <w:sz w:val="18"/>
                                <w:szCs w:val="18"/>
                              </w:rPr>
                              <w:t xml:space="preserve"> </w:t>
                            </w:r>
                            <w:r>
                              <w:rPr>
                                <w:sz w:val="18"/>
                                <w:szCs w:val="18"/>
                              </w:rPr>
                              <w:t>(Mentální modely a vysvětlení příčinných souvislostí. Hodnocení pravděpodobné příčiny a relevance vysvětlení). Thinking &amp; Reasoning, 2(4), s. 273–308.</w:t>
                            </w:r>
                          </w:p>
                          <w:p w:rsidR="005716B0" w:rsidRPr="00BA450C" w:rsidRDefault="005716B0" w:rsidP="00BA450C">
                            <w:pPr>
                              <w:pStyle w:val="HStandard"/>
                              <w:jc w:val="left"/>
                              <w:rPr>
                                <w:sz w:val="18"/>
                                <w:szCs w:val="18"/>
                              </w:rPr>
                            </w:pPr>
                            <w:r>
                              <w:rPr>
                                <w:sz w:val="18"/>
                                <w:szCs w:val="18"/>
                              </w:rPr>
                              <w:t xml:space="preserve">Mayne, J., 2012. </w:t>
                            </w:r>
                            <w:hyperlink r:id="rId109" w:history="1">
                              <w:r>
                                <w:rPr>
                                  <w:rStyle w:val="Hyperlink"/>
                                  <w:sz w:val="18"/>
                                  <w:szCs w:val="18"/>
                                </w:rPr>
                                <w:t>Contribution analysis:</w:t>
                              </w:r>
                            </w:hyperlink>
                            <w:hyperlink r:id="rId110" w:history="1">
                              <w:r>
                                <w:rPr>
                                  <w:rStyle w:val="Hyperlink"/>
                                  <w:sz w:val="18"/>
                                  <w:szCs w:val="18"/>
                                </w:rPr>
                                <w:t xml:space="preserve"> Coming of age?</w:t>
                              </w:r>
                            </w:hyperlink>
                            <w:hyperlink r:id="rId111" w:history="1">
                              <w:r>
                                <w:rPr>
                                  <w:rStyle w:val="Hyperlink"/>
                                  <w:sz w:val="18"/>
                                  <w:szCs w:val="18"/>
                                </w:rPr>
                                <w:t> </w:t>
                              </w:r>
                            </w:hyperlink>
                            <w:r>
                              <w:rPr>
                                <w:sz w:val="18"/>
                                <w:szCs w:val="18"/>
                              </w:rPr>
                              <w:t>(Příspěvková analýza: dosahuje zralosti?) Evaluation 18.3 (2012): 270–280.</w:t>
                            </w:r>
                          </w:p>
                          <w:p w:rsidR="005716B0" w:rsidRPr="00BA450C" w:rsidRDefault="005716B0" w:rsidP="00BA450C">
                            <w:pPr>
                              <w:pStyle w:val="HStandard"/>
                              <w:jc w:val="left"/>
                              <w:rPr>
                                <w:sz w:val="18"/>
                                <w:szCs w:val="18"/>
                              </w:rPr>
                            </w:pPr>
                            <w:r>
                              <w:rPr>
                                <w:sz w:val="18"/>
                                <w:szCs w:val="18"/>
                              </w:rPr>
                              <w:t xml:space="preserve">Pawson, R., Greenhalgh, T., Harvey, G. a Walshe, K., 2005. </w:t>
                            </w:r>
                            <w:hyperlink r:id="rId112" w:history="1">
                              <w:r>
                                <w:rPr>
                                  <w:rStyle w:val="Hyperlink"/>
                                  <w:sz w:val="18"/>
                                  <w:szCs w:val="18"/>
                                </w:rPr>
                                <w:t>Realist review–a new method of systematic review designed for complex policy interventions.</w:t>
                              </w:r>
                            </w:hyperlink>
                            <w:r>
                              <w:rPr>
                                <w:sz w:val="18"/>
                                <w:szCs w:val="18"/>
                              </w:rPr>
                              <w:t> (Realistický přezkum – nová metoda systematického přezkumu určená pro složité politické intervence). Journal of health services research &amp; policy, 10 (suppl 1), s. 21–34.</w:t>
                            </w:r>
                          </w:p>
                          <w:p w:rsidR="005716B0" w:rsidRPr="00BA450C" w:rsidRDefault="005716B0" w:rsidP="00BA450C">
                            <w:pPr>
                              <w:pStyle w:val="HStandard"/>
                              <w:jc w:val="left"/>
                              <w:rPr>
                                <w:sz w:val="18"/>
                                <w:szCs w:val="18"/>
                              </w:rPr>
                            </w:pPr>
                            <w:r>
                              <w:rPr>
                                <w:sz w:val="18"/>
                                <w:szCs w:val="18"/>
                              </w:rPr>
                              <w:t>Wilson-Grau, R. (2015) </w:t>
                            </w:r>
                            <w:r>
                              <w:rPr>
                                <w:i/>
                                <w:sz w:val="18"/>
                                <w:szCs w:val="18"/>
                              </w:rPr>
                              <w:t>Outcome Harvesting.</w:t>
                            </w:r>
                            <w:r>
                              <w:rPr>
                                <w:sz w:val="18"/>
                                <w:szCs w:val="18"/>
                              </w:rPr>
                              <w:t xml:space="preserve"> Better Evaluation. (</w:t>
                            </w:r>
                            <w:r>
                              <w:rPr>
                                <w:i/>
                                <w:sz w:val="18"/>
                                <w:szCs w:val="18"/>
                              </w:rPr>
                              <w:t>Sběr výsledků.</w:t>
                            </w:r>
                            <w:r>
                              <w:rPr>
                                <w:sz w:val="18"/>
                                <w:szCs w:val="18"/>
                              </w:rPr>
                              <w:t xml:space="preserve"> Lepší hodnocení). </w:t>
                            </w:r>
                            <w:r>
                              <w:t>Převzato z</w:t>
                            </w:r>
                            <w:r>
                              <w:rPr>
                                <w:sz w:val="18"/>
                                <w:szCs w:val="18"/>
                              </w:rPr>
                              <w:t> </w:t>
                            </w:r>
                            <w:hyperlink r:id="rId113"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margin-left:-4.4pt;margin-top:25.6pt;width:463.35pt;height:41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4697,5267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" adj="-11796480,,5400" path="m368523,l5884697,r,l5884697,4899095v,203530,-164993,368523,-368523,368523l,5267618r,l,368523c,164993,164993,,368523,xe" filled="f" strokecolor="#59638e" strokeweight="2pt">
                <v:stroke joinstyle="miter"/>
                <v:formulas/>
                <v:path arrowok="t" o:connecttype="custom" o:connectlocs="368523,0;5884697,0;5884697,0;5884697,4899095;5516174,5267618;0,5267618;0,5267618;0,368523;368523,0" o:connectangles="0,0,0,0,0,0,0,0,0" textboxrect="0,0,5884697,5267618"/>
                <v:textbox>
                  <w:txbxContent>
                    <w:p w:rsidR="005716B0" w:rsidRDefault="005716B0"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716B0" w:rsidRPr="00BA450C" w:rsidRDefault="005716B0" w:rsidP="00BA450C">
                      <w:pPr>
                        <w:pStyle w:val="HStandard"/>
                        <w:rPr>
                          <w:sz w:val="18"/>
                          <w:szCs w:val="18"/>
                        </w:rPr>
                      </w:pPr>
                      <w:r>
                        <w:rPr>
                          <w:sz w:val="18"/>
                          <w:szCs w:val="18"/>
                        </w:rPr>
                        <w:t xml:space="preserve">Allen, I.E. </w:t>
                      </w:r>
                      <w:r>
                        <w:rPr>
                          <w:sz w:val="18"/>
                          <w:szCs w:val="18"/>
                        </w:rPr>
                        <w:t xml:space="preserve">a Seaman, C.A. (2007). </w:t>
                      </w:r>
                      <w:hyperlink r:id="rId114" w:history="1">
                        <w:r>
                          <w:rPr>
                            <w:rStyle w:val="Hyperlink"/>
                            <w:sz w:val="18"/>
                            <w:szCs w:val="18"/>
                          </w:rPr>
                          <w:t>Likert scales and data analyses</w:t>
                        </w:r>
                      </w:hyperlink>
                      <w:r>
                        <w:rPr>
                          <w:sz w:val="18"/>
                          <w:szCs w:val="18"/>
                        </w:rPr>
                        <w:t xml:space="preserve"> (Likertovy škály a analýza dat). Quality progress, 40(7), s. 64.</w:t>
                      </w:r>
                    </w:p>
                    <w:p w:rsidR="005716B0" w:rsidRPr="00BA450C" w:rsidRDefault="005716B0" w:rsidP="00BA450C">
                      <w:pPr>
                        <w:pStyle w:val="HStandard"/>
                        <w:jc w:val="left"/>
                        <w:rPr>
                          <w:sz w:val="18"/>
                          <w:szCs w:val="18"/>
                        </w:rPr>
                      </w:pPr>
                      <w:r>
                        <w:rPr>
                          <w:sz w:val="18"/>
                          <w:szCs w:val="18"/>
                        </w:rPr>
                        <w:t>Collier, D., 2011. „</w:t>
                      </w:r>
                      <w:hyperlink r:id="rId115" w:history="1">
                        <w:r>
                          <w:rPr>
                            <w:rStyle w:val="Hyperlink"/>
                            <w:sz w:val="18"/>
                            <w:szCs w:val="18"/>
                          </w:rPr>
                          <w:t>Understanding process tracing</w:t>
                        </w:r>
                      </w:hyperlink>
                      <w:r>
                        <w:rPr>
                          <w:sz w:val="18"/>
                          <w:szCs w:val="18"/>
                        </w:rPr>
                        <w:t>“ (Pochopení sledování procesů). PS: Political Science &amp; Politics 44.04: 823–830.</w:t>
                      </w:r>
                    </w:p>
                    <w:p w:rsidR="005716B0" w:rsidRPr="00BA450C" w:rsidRDefault="005716B0" w:rsidP="00BA450C">
                      <w:pPr>
                        <w:pStyle w:val="HStandard"/>
                        <w:jc w:val="left"/>
                        <w:rPr>
                          <w:sz w:val="18"/>
                          <w:szCs w:val="18"/>
                        </w:rPr>
                      </w:pPr>
                      <w:r>
                        <w:rPr>
                          <w:sz w:val="18"/>
                          <w:szCs w:val="18"/>
                        </w:rPr>
                        <w:t xml:space="preserve">Douthwaite, B. a Ashby, J., 2005. Innovation histories: a method from learning from experience. Institutional Learning and Change Initiative (Historie inovací: Metoda učení se na základě zkušeností. Iniciativa v oblasti institucionální ho učení a změny). Citováno dne 15. května z: </w:t>
                      </w:r>
                      <w:hyperlink r:id="rId116" w:history="1">
                        <w:r>
                          <w:rPr>
                            <w:rStyle w:val="Hyperlink"/>
                            <w:sz w:val="18"/>
                            <w:szCs w:val="18"/>
                          </w:rPr>
                          <w:t>http://ageconsearch.umn.edu/bitstream/52515/2/ILAC_Brief05_Histories.pdf</w:t>
                        </w:r>
                      </w:hyperlink>
                    </w:p>
                    <w:p w:rsidR="005716B0" w:rsidRPr="00BA450C" w:rsidRDefault="005716B0" w:rsidP="00BA450C">
                      <w:pPr>
                        <w:pStyle w:val="HStandard"/>
                        <w:jc w:val="left"/>
                        <w:rPr>
                          <w:sz w:val="18"/>
                          <w:szCs w:val="18"/>
                        </w:rPr>
                      </w:pPr>
                      <w:r>
                        <w:rPr>
                          <w:sz w:val="18"/>
                          <w:szCs w:val="18"/>
                        </w:rPr>
                        <w:t xml:space="preserve">GAO (General Accounts Office) (1987) </w:t>
                      </w:r>
                      <w:hyperlink r:id="rId117" w:history="1">
                        <w:r>
                          <w:rPr>
                            <w:rStyle w:val="Hyperlink"/>
                            <w:sz w:val="18"/>
                            <w:szCs w:val="18"/>
                          </w:rPr>
                          <w:t>Case study evaluation.</w:t>
                        </w:r>
                      </w:hyperlink>
                      <w:hyperlink r:id="rId118" w:history="1">
                        <w:r>
                          <w:rPr>
                            <w:rStyle w:val="Hyperlink"/>
                            <w:sz w:val="18"/>
                            <w:szCs w:val="18"/>
                          </w:rPr>
                          <w:t xml:space="preserve"> Program Evaluation and Methodology</w:t>
                        </w:r>
                      </w:hyperlink>
                      <w:r>
                        <w:rPr>
                          <w:rStyle w:val="Hyperlink"/>
                          <w:sz w:val="18"/>
                          <w:szCs w:val="18"/>
                        </w:rPr>
                        <w:t xml:space="preserve"> </w:t>
                      </w:r>
                      <w:r>
                        <w:rPr>
                          <w:sz w:val="18"/>
                          <w:szCs w:val="18"/>
                        </w:rPr>
                        <w:t>(Hodnocení případových studií. Hodnocení programu a medodika). Division, Transfer Paper 9. Washington DC: GAO.</w:t>
                      </w:r>
                    </w:p>
                    <w:p w:rsidR="005716B0" w:rsidRPr="00BA450C" w:rsidRDefault="005716B0" w:rsidP="00BA450C">
                      <w:pPr>
                        <w:pStyle w:val="HStandard"/>
                        <w:jc w:val="left"/>
                        <w:rPr>
                          <w:sz w:val="18"/>
                          <w:szCs w:val="18"/>
                        </w:rPr>
                      </w:pPr>
                      <w:r>
                        <w:rPr>
                          <w:sz w:val="18"/>
                          <w:szCs w:val="18"/>
                        </w:rPr>
                        <w:t xml:space="preserve">Hilton, D.J., 1996. </w:t>
                      </w:r>
                      <w:hyperlink r:id="rId119" w:history="1">
                        <w:r>
                          <w:rPr>
                            <w:rStyle w:val="Hyperlink"/>
                            <w:sz w:val="18"/>
                            <w:szCs w:val="18"/>
                          </w:rPr>
                          <w:t>Mental models and causal explanation:</w:t>
                        </w:r>
                      </w:hyperlink>
                      <w:hyperlink r:id="rId120" w:history="1">
                        <w:r>
                          <w:rPr>
                            <w:rStyle w:val="Hyperlink"/>
                            <w:sz w:val="18"/>
                            <w:szCs w:val="18"/>
                          </w:rPr>
                          <w:t xml:space="preserve"> Judgments of probable cause and explanatory relevance</w:t>
                        </w:r>
                      </w:hyperlink>
                      <w:r>
                        <w:rPr>
                          <w:rStyle w:val="Hyperlink"/>
                          <w:sz w:val="18"/>
                          <w:szCs w:val="18"/>
                        </w:rPr>
                        <w:t xml:space="preserve"> </w:t>
                      </w:r>
                      <w:r>
                        <w:rPr>
                          <w:sz w:val="18"/>
                          <w:szCs w:val="18"/>
                        </w:rPr>
                        <w:t>(Mentální modely a vysvětlení příčinných souvislostí. Hodnocení pravděpodobné příčiny a relevance vysvětlení). Thinking &amp; Reasoning, 2(4), s. 273–308.</w:t>
                      </w:r>
                    </w:p>
                    <w:p w:rsidR="005716B0" w:rsidRPr="00BA450C" w:rsidRDefault="005716B0" w:rsidP="00BA450C">
                      <w:pPr>
                        <w:pStyle w:val="HStandard"/>
                        <w:jc w:val="left"/>
                        <w:rPr>
                          <w:sz w:val="18"/>
                          <w:szCs w:val="18"/>
                        </w:rPr>
                      </w:pPr>
                      <w:r>
                        <w:rPr>
                          <w:sz w:val="18"/>
                          <w:szCs w:val="18"/>
                        </w:rPr>
                        <w:t xml:space="preserve">Mayne, J., 2012. </w:t>
                      </w:r>
                      <w:hyperlink r:id="rId121" w:history="1">
                        <w:r>
                          <w:rPr>
                            <w:rStyle w:val="Hyperlink"/>
                            <w:sz w:val="18"/>
                            <w:szCs w:val="18"/>
                          </w:rPr>
                          <w:t>Contribution analysis:</w:t>
                        </w:r>
                      </w:hyperlink>
                      <w:hyperlink r:id="rId122" w:history="1">
                        <w:r>
                          <w:rPr>
                            <w:rStyle w:val="Hyperlink"/>
                            <w:sz w:val="18"/>
                            <w:szCs w:val="18"/>
                          </w:rPr>
                          <w:t xml:space="preserve"> Coming of age?</w:t>
                        </w:r>
                      </w:hyperlink>
                      <w:hyperlink r:id="rId123" w:history="1">
                        <w:r>
                          <w:rPr>
                            <w:rStyle w:val="Hyperlink"/>
                            <w:sz w:val="18"/>
                            <w:szCs w:val="18"/>
                          </w:rPr>
                          <w:t> </w:t>
                        </w:r>
                      </w:hyperlink>
                      <w:r>
                        <w:rPr>
                          <w:sz w:val="18"/>
                          <w:szCs w:val="18"/>
                        </w:rPr>
                        <w:t>(Příspěvková analýza: dosahuje zralosti?) Evaluation 18.3 (2012): 270–280.</w:t>
                      </w:r>
                    </w:p>
                    <w:p w:rsidR="005716B0" w:rsidRPr="00BA450C" w:rsidRDefault="005716B0" w:rsidP="00BA450C">
                      <w:pPr>
                        <w:pStyle w:val="HStandard"/>
                        <w:jc w:val="left"/>
                        <w:rPr>
                          <w:sz w:val="18"/>
                          <w:szCs w:val="18"/>
                        </w:rPr>
                      </w:pPr>
                      <w:r>
                        <w:rPr>
                          <w:sz w:val="18"/>
                          <w:szCs w:val="18"/>
                        </w:rPr>
                        <w:t xml:space="preserve">Pawson, R., Greenhalgh, T., Harvey, G. a Walshe, K., 2005. </w:t>
                      </w:r>
                      <w:hyperlink r:id="rId124" w:history="1">
                        <w:r>
                          <w:rPr>
                            <w:rStyle w:val="Hyperlink"/>
                            <w:sz w:val="18"/>
                            <w:szCs w:val="18"/>
                          </w:rPr>
                          <w:t>Realist review–a new method of systematic review designed for complex policy interventions.</w:t>
                        </w:r>
                      </w:hyperlink>
                      <w:r>
                        <w:rPr>
                          <w:sz w:val="18"/>
                          <w:szCs w:val="18"/>
                        </w:rPr>
                        <w:t> (Realistický přezkum – nová metoda systematického přezkumu určená pro složité politické intervence). Journal of health services research &amp; policy, 10 (suppl 1), s. 21–34.</w:t>
                      </w:r>
                    </w:p>
                    <w:p w:rsidR="005716B0" w:rsidRPr="00BA450C" w:rsidRDefault="005716B0" w:rsidP="00BA450C">
                      <w:pPr>
                        <w:pStyle w:val="HStandard"/>
                        <w:jc w:val="left"/>
                        <w:rPr>
                          <w:sz w:val="18"/>
                          <w:szCs w:val="18"/>
                        </w:rPr>
                      </w:pPr>
                      <w:r>
                        <w:rPr>
                          <w:sz w:val="18"/>
                          <w:szCs w:val="18"/>
                        </w:rPr>
                        <w:t>Wilson-Grau, R. (2015) </w:t>
                      </w:r>
                      <w:r>
                        <w:rPr>
                          <w:i/>
                          <w:sz w:val="18"/>
                          <w:szCs w:val="18"/>
                        </w:rPr>
                        <w:t>Outcome Harvesting.</w:t>
                      </w:r>
                      <w:r>
                        <w:rPr>
                          <w:sz w:val="18"/>
                          <w:szCs w:val="18"/>
                        </w:rPr>
                        <w:t xml:space="preserve"> Better Evaluation. (</w:t>
                      </w:r>
                      <w:r>
                        <w:rPr>
                          <w:i/>
                          <w:sz w:val="18"/>
                          <w:szCs w:val="18"/>
                        </w:rPr>
                        <w:t>Sběr výsledků.</w:t>
                      </w:r>
                      <w:r>
                        <w:rPr>
                          <w:sz w:val="18"/>
                          <w:szCs w:val="18"/>
                        </w:rPr>
                        <w:t xml:space="preserve"> Lepší hodnocení). </w:t>
                      </w:r>
                      <w:r>
                        <w:t>Převzato z</w:t>
                      </w:r>
                      <w:r>
                        <w:rPr>
                          <w:sz w:val="18"/>
                          <w:szCs w:val="18"/>
                        </w:rPr>
                        <w:t> </w:t>
                      </w:r>
                      <w:hyperlink r:id="rId125" w:history="1">
                        <w:r>
                          <w:rPr>
                            <w:rStyle w:val="Hyperlink"/>
                            <w:sz w:val="18"/>
                            <w:szCs w:val="18"/>
                          </w:rPr>
                          <w:t>http://betterevaluation.org/plan/approach/outcome_harvesting</w:t>
                        </w:r>
                      </w:hyperlink>
                      <w:r>
                        <w:rPr>
                          <w:sz w:val="18"/>
                          <w:szCs w:val="18"/>
                        </w:rPr>
                        <w:t>.</w:t>
                      </w:r>
                    </w:p>
                  </w:txbxContent>
                </v:textbox>
              </v:shape>
            </w:pict>
          </mc:Fallback>
        </mc:AlternateContent>
      </w:r>
      <w:r>
        <w:t>Další informace</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607841"/>
      <w:r>
        <w:lastRenderedPageBreak/>
        <w:t>PŘÍLOHY</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607842"/>
      <w:bookmarkEnd w:id="138"/>
      <w:bookmarkEnd w:id="139"/>
      <w:bookmarkEnd w:id="140"/>
      <w:bookmarkEnd w:id="141"/>
      <w:r>
        <w:t>Glosář</w:t>
      </w:r>
      <w:bookmarkEnd w:id="142"/>
      <w:bookmarkEnd w:id="143"/>
      <w:bookmarkEnd w:id="144"/>
    </w:p>
    <w:p w:rsidR="00417C67" w:rsidRDefault="00417C67" w:rsidP="00417C67">
      <w:pPr>
        <w:rPr>
          <w:rFonts w:eastAsia="Arial" w:cs="Arial"/>
          <w:b/>
          <w:color w:val="57825E"/>
          <w:szCs w:val="20"/>
        </w:rPr>
      </w:pPr>
      <w:r>
        <w:rPr>
          <w:b/>
          <w:color w:val="57825E"/>
          <w:szCs w:val="20"/>
        </w:rPr>
        <w:t>Evropské inovační partnerství</w:t>
      </w:r>
    </w:p>
    <w:p w:rsidR="00417C67" w:rsidRDefault="00417C67" w:rsidP="00417C67">
      <w:pPr>
        <w:rPr>
          <w:rFonts w:cs="Arial"/>
          <w:color w:val="404040" w:themeColor="background1" w:themeShade="40"/>
          <w:szCs w:val="20"/>
        </w:rPr>
      </w:pPr>
      <w:r>
        <w:rPr>
          <w:color w:val="404040" w:themeColor="background1" w:themeShade="40"/>
          <w:szCs w:val="20"/>
        </w:rPr>
        <w:t>Jako součást stěžejní iniciativy Unie představuje přístup k výzkumu a inovacím v EU. Je zaměřeno na řešení problémů, působí v celém řetězci výzkumu a inovací a usměrňuje, zjednodušuje a lépe koordinuje stávající nástroje a iniciativy.</w:t>
      </w:r>
    </w:p>
    <w:p w:rsidR="00417C67" w:rsidRPr="003E0E9E" w:rsidRDefault="00417C67" w:rsidP="00417C67">
      <w:pPr>
        <w:rPr>
          <w:i/>
          <w:color w:val="F07E31"/>
          <w:sz w:val="16"/>
          <w:szCs w:val="16"/>
          <w:u w:val="single"/>
        </w:rPr>
      </w:pPr>
      <w:r>
        <w:rPr>
          <w:i/>
          <w:color w:val="404040" w:themeColor="background1" w:themeShade="40"/>
          <w:sz w:val="16"/>
          <w:szCs w:val="16"/>
          <w:u w:val="single"/>
        </w:rPr>
        <w:t>Odkaz</w:t>
      </w:r>
      <w:r>
        <w:rPr>
          <w:i/>
          <w:color w:val="404040" w:themeColor="background1" w:themeShade="40"/>
          <w:sz w:val="16"/>
          <w:szCs w:val="16"/>
        </w:rPr>
        <w:t xml:space="preserve">: Sdělení Komise Evropskému parlamentu, Radě, Evropskému hospodářskému a sociálnímu výboru a Výboru regionů. </w:t>
      </w:r>
      <w:r w:rsidRPr="00492E3D">
        <w:rPr>
          <w:i/>
          <w:color w:val="404040" w:themeColor="background1" w:themeShade="40"/>
          <w:sz w:val="16"/>
          <w:szCs w:val="16"/>
        </w:rPr>
        <w:t>Stěžejní iniciativa strategie Evropa 2020 – Unie inovací</w:t>
      </w:r>
      <w:r>
        <w:rPr>
          <w:i/>
          <w:color w:val="404040" w:themeColor="background1" w:themeShade="40"/>
          <w:sz w:val="16"/>
          <w:szCs w:val="16"/>
        </w:rPr>
        <w:t xml:space="preserve"> (2010) </w:t>
      </w:r>
      <w:hyperlink r:id="rId126" w:history="1">
        <w:r w:rsidRPr="003E0E9E">
          <w:rPr>
            <w:i/>
            <w:color w:val="F07E31"/>
            <w:sz w:val="16"/>
            <w:szCs w:val="16"/>
            <w:u w:val="single"/>
          </w:rPr>
          <w:t>https://ec.europa.eu/research/innovation-union/pdf/innovation-union-communication_en.pdf</w:t>
        </w:r>
      </w:hyperlink>
    </w:p>
    <w:p w:rsidR="00417C67" w:rsidRDefault="00417C67" w:rsidP="00417C67">
      <w:pPr>
        <w:jc w:val="left"/>
        <w:rPr>
          <w:rFonts w:eastAsia="Arial" w:cs="Arial"/>
          <w:b/>
          <w:color w:val="57825E"/>
          <w:szCs w:val="20"/>
        </w:rPr>
      </w:pPr>
      <w:r>
        <w:rPr>
          <w:b/>
          <w:color w:val="57825E"/>
          <w:szCs w:val="20"/>
        </w:rPr>
        <w:t>Evropské inovační partnerství „Zemědělská produktivita a udržitelnost“ (EIP AGRI)</w:t>
      </w:r>
    </w:p>
    <w:p w:rsidR="00417C67" w:rsidRDefault="00417C67" w:rsidP="00417C67">
      <w:pPr>
        <w:rPr>
          <w:rFonts w:cs="Arial"/>
          <w:szCs w:val="20"/>
        </w:rPr>
      </w:pPr>
      <w:r>
        <w:t>EIP AGRI, zahájené Evropskou komisí v roce 2012, je evropským inovačním partnerstvím zaměřeným na odvětví zemědělství a lesnictví. EIP AGRI sdružuje účastníky inovačního procesu a vytváří synergie mezi stávajícími politikami. Jeho ústředním cílem je podporovat v těchto odvětvích konkurenceschopnost a udržitelnost, a přispívat tak k zajištění stálých dodávek potravin, krmiv a biomateriálů, a udržitelné řízení základních přírodních zdrojů, na nichž zemědělská a lesní hospodaření závisí, v souladu se životním prostředím.</w:t>
      </w:r>
    </w:p>
    <w:p w:rsidR="00417C67" w:rsidRPr="00D5702B" w:rsidRDefault="00417C67" w:rsidP="00417C67">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Odkaz</w:t>
      </w:r>
      <w:r>
        <w:rPr>
          <w:i/>
          <w:color w:val="404040" w:themeColor="background1" w:themeShade="40"/>
          <w:sz w:val="16"/>
          <w:szCs w:val="16"/>
        </w:rPr>
        <w:t xml:space="preserve">: Hodnotící studie o provádění evropského inovačního partnerství v oblasti zemědělské produktivity a udržitelnosti </w:t>
      </w:r>
      <w:r>
        <w:rPr>
          <w:i/>
          <w:color w:val="F07E31"/>
          <w:sz w:val="16"/>
          <w:szCs w:val="16"/>
          <w:u w:val="single"/>
        </w:rPr>
        <w:t>https://ec.europa.eu/agriculture/external-studies/2016-eip_en</w:t>
      </w:r>
    </w:p>
    <w:p w:rsidR="00417C67" w:rsidRPr="00D5702B" w:rsidRDefault="00417C67" w:rsidP="00417C67">
      <w:pPr>
        <w:jc w:val="left"/>
        <w:rPr>
          <w:rFonts w:eastAsia="Times New Roman" w:cs="Arial"/>
          <w:i/>
          <w:szCs w:val="20"/>
        </w:rPr>
      </w:pPr>
      <w:r>
        <w:rPr>
          <w:i/>
          <w:color w:val="404040" w:themeColor="background1" w:themeShade="40"/>
          <w:sz w:val="16"/>
          <w:szCs w:val="16"/>
        </w:rPr>
        <w:t xml:space="preserve">Sdělení Komise Evropskému parlamentu a Radě o evropském inovačním partnerství „Produktivita a udržitelnost zemědělství“ (2012) </w:t>
      </w:r>
      <w:hyperlink r:id="rId127" w:history="1">
        <w:r>
          <w:rPr>
            <w:rStyle w:val="Hyperlink"/>
            <w:i/>
            <w:szCs w:val="16"/>
          </w:rPr>
          <w:t>https://ec.europa.eu/eip/agriculture/sites/agri-eip/files/communication_on_eip_-_en.pdf</w:t>
        </w:r>
      </w:hyperlink>
    </w:p>
    <w:p w:rsidR="00417C67" w:rsidRPr="009125CD" w:rsidRDefault="00417C67" w:rsidP="00417C67">
      <w:pPr>
        <w:rPr>
          <w:rFonts w:eastAsia="Arial" w:cs="Arial"/>
          <w:b/>
          <w:color w:val="57825E"/>
          <w:szCs w:val="20"/>
        </w:rPr>
      </w:pPr>
      <w:r>
        <w:rPr>
          <w:b/>
          <w:color w:val="57825E"/>
          <w:szCs w:val="20"/>
        </w:rPr>
        <w:t>Inovační kapacita</w:t>
      </w:r>
    </w:p>
    <w:p w:rsidR="00417C67" w:rsidRPr="005E61D0" w:rsidRDefault="00417C67" w:rsidP="00417C67">
      <w:pPr>
        <w:rPr>
          <w:rFonts w:cs="Arial"/>
          <w:szCs w:val="20"/>
        </w:rPr>
      </w:pPr>
      <w:r>
        <w:t>„Trvající schopnost kombinovat různé druhy znalostí a uvádět je do praxe.“</w:t>
      </w:r>
    </w:p>
    <w:p w:rsidR="00417C67" w:rsidRPr="005E61D0" w:rsidRDefault="00417C67" w:rsidP="00417C67">
      <w:pPr>
        <w:rPr>
          <w:rFonts w:cs="Arial"/>
          <w:i/>
          <w:color w:val="404040" w:themeColor="background1" w:themeShade="40"/>
          <w:sz w:val="16"/>
          <w:szCs w:val="16"/>
        </w:rPr>
      </w:pPr>
      <w:r>
        <w:rPr>
          <w:i/>
          <w:color w:val="404040" w:themeColor="background1" w:themeShade="40"/>
          <w:sz w:val="16"/>
          <w:szCs w:val="16"/>
          <w:u w:val="single"/>
        </w:rPr>
        <w:t>Odkaz</w:t>
      </w:r>
      <w:r>
        <w:rPr>
          <w:i/>
          <w:color w:val="404040" w:themeColor="background1" w:themeShade="40"/>
          <w:sz w:val="16"/>
          <w:szCs w:val="16"/>
        </w:rPr>
        <w:t xml:space="preserve">: Chuluunbaatar, D. a LeGrand, S., 2015. Enabling the capacity to innovate with a system-wide assessment process (Podpora inovační kapacity pomocí procesu hodnocení celého systému). Occasional Papers in Innovation in Family Farming. FAO, Rome. </w:t>
      </w:r>
      <w:r>
        <w:rPr>
          <w:rStyle w:val="Hyperlink"/>
          <w:i/>
          <w:szCs w:val="16"/>
        </w:rPr>
        <w:t>http://www.fao.org/3/a-i5097e.pdf</w:t>
      </w:r>
    </w:p>
    <w:p w:rsidR="00417C67" w:rsidRPr="009125CD" w:rsidRDefault="00417C67" w:rsidP="00417C67">
      <w:pPr>
        <w:rPr>
          <w:rFonts w:eastAsia="Arial" w:cs="Arial"/>
          <w:b/>
          <w:color w:val="57825E"/>
          <w:szCs w:val="20"/>
        </w:rPr>
      </w:pPr>
      <w:r>
        <w:rPr>
          <w:b/>
          <w:color w:val="57825E"/>
          <w:szCs w:val="20"/>
        </w:rPr>
        <w:t xml:space="preserve">Inovační potenciál programu rozvoje venkova </w:t>
      </w:r>
    </w:p>
    <w:p w:rsidR="00417C67" w:rsidRDefault="00417C67" w:rsidP="00417C67">
      <w:pPr>
        <w:rPr>
          <w:rFonts w:cs="Arial"/>
          <w:color w:val="404040" w:themeColor="background1" w:themeShade="40"/>
          <w:szCs w:val="20"/>
        </w:rPr>
      </w:pPr>
      <w:r>
        <w:rPr>
          <w:color w:val="404040" w:themeColor="background1" w:themeShade="40"/>
          <w:szCs w:val="20"/>
        </w:rPr>
        <w:t xml:space="preserve">Inovační potenciál PRV je míra, ve které konkrétní přístup PRV navržený k dosažení </w:t>
      </w:r>
      <w:r>
        <w:rPr>
          <w:color w:val="404040" w:themeColor="background1" w:themeShade="40"/>
          <w:szCs w:val="20"/>
        </w:rPr>
        <w:t xml:space="preserve">inovací může podpořit inovace a dosáhnout politických cílů ve venkovských oblastech v rámci daného inovačního systému nebo kontextu. </w:t>
      </w:r>
    </w:p>
    <w:p w:rsidR="00417C67" w:rsidRPr="00A05F6E" w:rsidRDefault="00417C67" w:rsidP="00417C67">
      <w:pPr>
        <w:rPr>
          <w:rFonts w:eastAsia="Arial"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TWG-4.</w:t>
      </w:r>
    </w:p>
    <w:p w:rsidR="00417C67" w:rsidRPr="009125CD" w:rsidRDefault="00417C67" w:rsidP="00417C67">
      <w:pPr>
        <w:rPr>
          <w:rFonts w:eastAsia="Arial" w:cs="Arial"/>
          <w:b/>
          <w:color w:val="57825E"/>
          <w:szCs w:val="20"/>
        </w:rPr>
      </w:pPr>
      <w:r>
        <w:rPr>
          <w:b/>
          <w:color w:val="57825E"/>
          <w:szCs w:val="20"/>
        </w:rPr>
        <w:t>Inovační systém</w:t>
      </w:r>
    </w:p>
    <w:p w:rsidR="00417C67" w:rsidRDefault="00417C67" w:rsidP="00417C67">
      <w:pPr>
        <w:rPr>
          <w:rFonts w:cs="Arial"/>
          <w:color w:val="404040" w:themeColor="background1" w:themeShade="40"/>
          <w:szCs w:val="20"/>
        </w:rPr>
      </w:pPr>
      <w:r>
        <w:rPr>
          <w:color w:val="404040" w:themeColor="background1" w:themeShade="40"/>
          <w:szCs w:val="20"/>
        </w:rPr>
        <w:t>„Uskupení organizací a jednotlivců zapojených do vzniku, šíření a přizpůsobování a využití znalostí sociálně-ekonomického významu a institucionální kontext, jenž řídí způsob, jakým se tyto interakce a procesy uskutečňují.“</w:t>
      </w:r>
    </w:p>
    <w:p w:rsidR="00417C67" w:rsidRDefault="00417C67" w:rsidP="00417C67">
      <w:pPr>
        <w:rPr>
          <w:rFonts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Hall, A., S. Rasheed, N. Clark, a B. Yoganand. 2003. From measuring impact to learning institutional lessons: an innovation system’s perspective on improving the management of international agricultural research (Od měření dopadu k čerpání institucionálního poučení: perspektiva inovačního systému z hlediska zlepšování řízení mezinárodního zemědělského výzkumu). Agricultural Systems 78: 213–241.</w:t>
      </w:r>
    </w:p>
    <w:p w:rsidR="00417C67" w:rsidRDefault="00417C67" w:rsidP="00417C67">
      <w:pPr>
        <w:rPr>
          <w:rFonts w:eastAsia="Arial" w:cs="Arial"/>
          <w:b/>
          <w:color w:val="57825E"/>
          <w:szCs w:val="20"/>
        </w:rPr>
      </w:pPr>
      <w:r>
        <w:rPr>
          <w:b/>
          <w:color w:val="57825E"/>
          <w:szCs w:val="20"/>
        </w:rPr>
        <w:t>Interaktivní inovace</w:t>
      </w:r>
    </w:p>
    <w:p w:rsidR="00417C67" w:rsidRDefault="00417C67" w:rsidP="00417C67">
      <w:pPr>
        <w:rPr>
          <w:rFonts w:cs="Arial"/>
          <w:color w:val="404040" w:themeColor="background1" w:themeShade="40"/>
          <w:szCs w:val="20"/>
        </w:rPr>
      </w:pPr>
      <w:r>
        <w:rPr>
          <w:color w:val="404040" w:themeColor="background1" w:themeShade="40"/>
          <w:szCs w:val="20"/>
        </w:rPr>
        <w:t>Při interaktivní (systémové) inovaci se předpokládá, že stavební díly inovací přicházejí z vědeckého výzkumu, ale i z praxe a od zprostředkovatelů včetně zemědělců, poradenských služeb, nevládních organizací, výzkumných pracovníků atd. jakožto aktérů v procesu zdola nahoru. Interaktivní inovace zahrnuje stávající (někdy i „tiché“) znalosti, které ne vždy jsou zcela vědecké.</w:t>
      </w:r>
    </w:p>
    <w:p w:rsidR="00417C67" w:rsidRPr="00A05F6E" w:rsidRDefault="00417C67" w:rsidP="00417C67">
      <w:pPr>
        <w:jc w:val="left"/>
        <w:rPr>
          <w:rFonts w:eastAsia="Times New Roman"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xml:space="preserve">: Pokyny pro programování inovací a provádění evropského inovačního programu v oblasti zemědělské produktivity a udržitelnosti: </w:t>
      </w:r>
      <w:hyperlink r:id="rId128" w:history="1">
        <w:r>
          <w:rPr>
            <w:rStyle w:val="Hyperlink"/>
            <w:i/>
            <w:szCs w:val="16"/>
          </w:rPr>
          <w:t>http://ec.europa.eu/eip/agriculture/sites/agri-eip/files/eip-guidelines-july-2014_en.pdf</w:t>
        </w:r>
      </w:hyperlink>
      <w:r>
        <w:rPr>
          <w:i/>
          <w:color w:val="404040" w:themeColor="background1" w:themeShade="40"/>
          <w:sz w:val="16"/>
          <w:szCs w:val="16"/>
        </w:rPr>
        <w:t>.</w:t>
      </w:r>
    </w:p>
    <w:p w:rsidR="00417C67" w:rsidRDefault="00417C67" w:rsidP="00417C67">
      <w:pPr>
        <w:rPr>
          <w:rFonts w:eastAsia="Arial" w:cs="Arial"/>
          <w:b/>
          <w:color w:val="57825E"/>
          <w:szCs w:val="20"/>
        </w:rPr>
      </w:pPr>
      <w:r>
        <w:rPr>
          <w:b/>
          <w:color w:val="57825E"/>
          <w:szCs w:val="20"/>
        </w:rPr>
        <w:t>Operační skupiny</w:t>
      </w:r>
    </w:p>
    <w:p w:rsidR="00417C67" w:rsidRDefault="00417C67" w:rsidP="00417C67">
      <w:pPr>
        <w:rPr>
          <w:rFonts w:cs="Arial"/>
          <w:color w:val="404040" w:themeColor="background1" w:themeShade="40"/>
          <w:szCs w:val="20"/>
        </w:rPr>
      </w:pPr>
      <w:r>
        <w:rPr>
          <w:color w:val="404040" w:themeColor="background1" w:themeShade="40"/>
          <w:szCs w:val="20"/>
        </w:rPr>
        <w:t>Skupiny osob (např. zemědělců, výzkumných pracovníků, poradců atd.), které spolupracují na praktických inovačních projektech s konkrétními cíli.</w:t>
      </w:r>
    </w:p>
    <w:p w:rsidR="00417C67" w:rsidRPr="00A05F6E" w:rsidRDefault="00417C67" w:rsidP="00417C67">
      <w:pPr>
        <w:rPr>
          <w:rFonts w:eastAsia="Times New Roman"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xml:space="preserve">: Brožura EIP-AGRI o službách na podporu inovací: </w:t>
      </w:r>
      <w:hyperlink r:id="rId129" w:history="1">
        <w:r>
          <w:rPr>
            <w:rStyle w:val="Hyperlink"/>
            <w:i/>
            <w:szCs w:val="16"/>
          </w:rPr>
          <w:t>https://ec.europa.eu/eip/agriculture/en/content/innovation-support-services</w:t>
        </w:r>
      </w:hyperlink>
    </w:p>
    <w:p w:rsidR="00417C67" w:rsidRPr="009125CD" w:rsidRDefault="00417C67" w:rsidP="00417C67">
      <w:pPr>
        <w:rPr>
          <w:rFonts w:eastAsia="Arial" w:cs="Arial"/>
          <w:b/>
          <w:color w:val="57825E"/>
          <w:szCs w:val="20"/>
        </w:rPr>
      </w:pPr>
      <w:r>
        <w:rPr>
          <w:b/>
          <w:color w:val="57825E"/>
          <w:szCs w:val="20"/>
        </w:rPr>
        <w:t>Podpůrný výsledek</w:t>
      </w:r>
    </w:p>
    <w:p w:rsidR="00417C67" w:rsidRDefault="00417C67" w:rsidP="00417C67">
      <w:pPr>
        <w:rPr>
          <w:rFonts w:cs="Arial"/>
          <w:color w:val="404040" w:themeColor="background1" w:themeShade="40"/>
          <w:szCs w:val="20"/>
        </w:rPr>
      </w:pPr>
      <w:r>
        <w:rPr>
          <w:color w:val="404040" w:themeColor="background1" w:themeShade="40"/>
          <w:szCs w:val="20"/>
        </w:rPr>
        <w:t>Výsledek související se třemi scénáři inovací, například: 1) identifikace a rozvíjení potenciálních inovativních nápadů; 2) budování inovační kapacity a 3) vytváření příznivého prostředí pro inovace. Lze jej vyjádřit jako změny tempa a kvality vznikajících inovativních nápadů; změny inovační kapacity a změny příznivého prostředí.</w:t>
      </w:r>
    </w:p>
    <w:p w:rsidR="00417C67" w:rsidRPr="005E61D0" w:rsidRDefault="00417C67" w:rsidP="00417C67">
      <w:pPr>
        <w:rPr>
          <w:rFonts w:cs="Arial"/>
          <w:i/>
          <w:color w:val="404040" w:themeColor="background1" w:themeShade="40"/>
          <w:sz w:val="16"/>
          <w:szCs w:val="16"/>
        </w:rPr>
      </w:pPr>
      <w:r>
        <w:rPr>
          <w:i/>
          <w:color w:val="404040" w:themeColor="background1" w:themeShade="40"/>
          <w:sz w:val="16"/>
          <w:szCs w:val="16"/>
          <w:u w:val="single"/>
        </w:rPr>
        <w:t>Odkaz</w:t>
      </w:r>
      <w:r>
        <w:rPr>
          <w:i/>
          <w:color w:val="404040" w:themeColor="background1" w:themeShade="40"/>
          <w:sz w:val="16"/>
          <w:szCs w:val="16"/>
        </w:rPr>
        <w:t>: TWG-4.</w:t>
      </w:r>
    </w:p>
    <w:p w:rsidR="00417C67" w:rsidRPr="009125CD" w:rsidRDefault="00417C67" w:rsidP="00417C67">
      <w:pPr>
        <w:rPr>
          <w:rFonts w:eastAsia="Arial" w:cs="Arial"/>
          <w:b/>
          <w:color w:val="57825E"/>
          <w:szCs w:val="20"/>
        </w:rPr>
      </w:pPr>
      <w:r>
        <w:rPr>
          <w:b/>
          <w:color w:val="57825E"/>
          <w:szCs w:val="20"/>
        </w:rPr>
        <w:lastRenderedPageBreak/>
        <w:t>Scénář inovace</w:t>
      </w:r>
    </w:p>
    <w:p w:rsidR="00417C67" w:rsidRDefault="00417C67" w:rsidP="00417C67">
      <w:pPr>
        <w:rPr>
          <w:rFonts w:cs="Arial"/>
          <w:color w:val="404040" w:themeColor="background1" w:themeShade="40"/>
          <w:szCs w:val="20"/>
        </w:rPr>
      </w:pPr>
      <w:r>
        <w:rPr>
          <w:color w:val="404040" w:themeColor="background1" w:themeShade="40"/>
          <w:szCs w:val="20"/>
        </w:rPr>
        <w:t>Proces, jehož prostřednictvím program rozvoje venkova produkuje výstupy, výsledky a dopady, jež přispívají k plnění cílů programu rozvoje venkova, ovlivňuje inovační systém, ve kterém se uskutečňuje, a je jím ovlivňován.</w:t>
      </w:r>
    </w:p>
    <w:p w:rsidR="00417C67" w:rsidRPr="009125CD" w:rsidRDefault="00417C67" w:rsidP="00417C67">
      <w:pPr>
        <w:rPr>
          <w:rFonts w:eastAsia="Arial"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TWG-4, strana 5.</w:t>
      </w:r>
    </w:p>
    <w:p w:rsidR="0025413B" w:rsidRDefault="0025413B" w:rsidP="0025413B">
      <w:pPr>
        <w:rPr>
          <w:rFonts w:eastAsia="Arial" w:cs="Arial"/>
          <w:b/>
          <w:color w:val="57825E"/>
          <w:szCs w:val="20"/>
        </w:rPr>
      </w:pPr>
      <w:r>
        <w:rPr>
          <w:b/>
          <w:color w:val="57825E"/>
          <w:szCs w:val="20"/>
        </w:rPr>
        <w:t>Skupina</w:t>
      </w:r>
    </w:p>
    <w:p w:rsidR="0025413B" w:rsidRDefault="0025413B" w:rsidP="0025413B">
      <w:pPr>
        <w:rPr>
          <w:rFonts w:cs="Arial"/>
          <w:color w:val="404040" w:themeColor="background1" w:themeShade="40"/>
          <w:szCs w:val="20"/>
        </w:rPr>
      </w:pPr>
      <w:r>
        <w:rPr>
          <w:color w:val="404040" w:themeColor="background1" w:themeShade="40"/>
          <w:szCs w:val="20"/>
        </w:rPr>
        <w:t>Uskupení nezávislých podniků, včetně začínajících, malých, středních a velkých podniků, jakož i poradenských subjektů nebo výzkumných organizací – navržené k podněcování ekonomické/inovační činnosti podporou intenzivních interakcí, sdílením zařízení a výměnou znalostí a odborných vědomostí, jakož i efektivním přispíváním k předávání poznatků, vytváření sítí a šíření informací mezi podniky v rámci klastru.</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Odkaz</w:t>
      </w:r>
      <w:r>
        <w:rPr>
          <w:i/>
          <w:color w:val="404040" w:themeColor="background1" w:themeShade="40"/>
          <w:sz w:val="16"/>
          <w:szCs w:val="16"/>
        </w:rPr>
        <w:t xml:space="preserve">: Pokyny „Opatření spolupráce“, listopad 2014: </w:t>
      </w:r>
      <w:hyperlink r:id="rId130" w:history="1">
        <w:r>
          <w:rPr>
            <w:rStyle w:val="Hyperlink"/>
            <w:i/>
            <w:szCs w:val="16"/>
          </w:rPr>
          <w:t>http://ec.europa.eu/eip/agriculture/sites/agri-eip/files/16_measure_fiche_art_35_co-operation.pdf</w:t>
        </w:r>
      </w:hyperlink>
    </w:p>
    <w:p w:rsidR="00417C67" w:rsidRDefault="00417C67" w:rsidP="00417C67">
      <w:pPr>
        <w:rPr>
          <w:rFonts w:eastAsia="Arial" w:cs="Arial"/>
          <w:b/>
          <w:color w:val="57825E"/>
          <w:szCs w:val="20"/>
        </w:rPr>
      </w:pPr>
      <w:r>
        <w:rPr>
          <w:b/>
          <w:color w:val="57825E"/>
          <w:szCs w:val="20"/>
        </w:rPr>
        <w:t>Služby na podporu inovací</w:t>
      </w:r>
    </w:p>
    <w:p w:rsidR="00417C67" w:rsidRDefault="00417C67" w:rsidP="00417C67">
      <w:pPr>
        <w:rPr>
          <w:rFonts w:cs="Arial"/>
          <w:color w:val="404040" w:themeColor="background1" w:themeShade="40"/>
          <w:szCs w:val="20"/>
        </w:rPr>
      </w:pPr>
      <w:r>
        <w:rPr>
          <w:color w:val="404040" w:themeColor="background1" w:themeShade="40"/>
          <w:szCs w:val="20"/>
        </w:rPr>
        <w:t>Služby na podporu inovací pracují s modely, jež jsou přizpůsobeny místním podmínkám a mohly by sehrát významnou roli při přivádění správných lidí do projektů, spojování zemědělců a poradců s výzkumnými pracovníky a pomoci při určování zdrojů financování.</w:t>
      </w:r>
    </w:p>
    <w:p w:rsidR="00417C67" w:rsidRPr="009125CD" w:rsidRDefault="00417C67" w:rsidP="00417C67">
      <w:pPr>
        <w:rPr>
          <w:rFonts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xml:space="preserve">: Brožura EIP-AGRI o službách na podporu inovací: </w:t>
      </w:r>
      <w:hyperlink r:id="rId131"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Sociální inovace</w:t>
      </w:r>
    </w:p>
    <w:p w:rsidR="0025413B" w:rsidRDefault="0025413B" w:rsidP="0025413B">
      <w:pPr>
        <w:rPr>
          <w:rFonts w:cs="Arial"/>
          <w:color w:val="404040" w:themeColor="background1" w:themeShade="40"/>
          <w:szCs w:val="20"/>
        </w:rPr>
      </w:pPr>
      <w:r>
        <w:rPr>
          <w:color w:val="404040" w:themeColor="background1" w:themeShade="40"/>
          <w:szCs w:val="20"/>
        </w:rPr>
        <w:t>Sociální inovace lze definovat jako rozvoj a zavádění nových myšlenek (produktů, služeb a modelů) za účelem splnění sociálních potřeb a vytváření nových sociálních vztahů nebo spoluprací.</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GŘ REGIO, GŘ EMPL, GŘ AGRI a další. (2013) Příručka pro sociální inovace.</w:t>
      </w:r>
    </w:p>
    <w:p w:rsidR="0025413B" w:rsidRPr="009125CD" w:rsidRDefault="0025413B" w:rsidP="0025413B">
      <w:pPr>
        <w:rPr>
          <w:rFonts w:eastAsia="Arial" w:cs="Arial"/>
          <w:b/>
          <w:color w:val="57825E"/>
          <w:szCs w:val="20"/>
        </w:rPr>
      </w:pPr>
      <w:r>
        <w:rPr>
          <w:b/>
          <w:color w:val="57825E"/>
          <w:szCs w:val="20"/>
        </w:rPr>
        <w:t>Tematické a analytické výměny</w:t>
      </w:r>
    </w:p>
    <w:p w:rsidR="0025413B" w:rsidRDefault="0025413B" w:rsidP="0025413B">
      <w:pPr>
        <w:rPr>
          <w:rFonts w:cs="Arial"/>
          <w:color w:val="404040" w:themeColor="background1" w:themeShade="40"/>
          <w:szCs w:val="20"/>
        </w:rPr>
      </w:pPr>
      <w:r>
        <w:rPr>
          <w:color w:val="404040" w:themeColor="background1" w:themeShade="40"/>
          <w:szCs w:val="20"/>
        </w:rPr>
        <w:t>Výměny mohou podporovat celostátní sítě pro venkov v různých formách. Nejčastější formou tematických výměn vytvořených celostátními sítěmi pro venkov jsou tematické pracovní skupiny (TWG), ať už stálé</w:t>
      </w:r>
      <w:r w:rsidR="001532DD">
        <w:rPr>
          <w:color w:val="404040" w:themeColor="background1" w:themeShade="40"/>
          <w:szCs w:val="20"/>
        </w:rPr>
        <w:t>,</w:t>
      </w:r>
      <w:r>
        <w:rPr>
          <w:color w:val="404040" w:themeColor="background1" w:themeShade="40"/>
          <w:szCs w:val="20"/>
        </w:rPr>
        <w:t xml:space="preserve"> nebo </w:t>
      </w:r>
      <w:r>
        <w:rPr>
          <w:i/>
          <w:color w:val="404040" w:themeColor="background1" w:themeShade="40"/>
          <w:szCs w:val="20"/>
        </w:rPr>
        <w:t>ad hoc</w:t>
      </w:r>
      <w:r>
        <w:rPr>
          <w:color w:val="404040" w:themeColor="background1" w:themeShade="40"/>
          <w:szCs w:val="20"/>
        </w:rPr>
        <w:t xml:space="preserve"> skupiny</w:t>
      </w:r>
      <w:r w:rsidR="003D2413">
        <w:rPr>
          <w:color w:val="404040" w:themeColor="background1" w:themeShade="40"/>
          <w:szCs w:val="20"/>
        </w:rPr>
        <w:t>.</w:t>
      </w:r>
      <w:r>
        <w:rPr>
          <w:color w:val="404040" w:themeColor="background1" w:themeShade="40"/>
          <w:szCs w:val="20"/>
        </w:rPr>
        <w:t xml:space="preserve"> TWG CSV sdružují různé zúčastněné strany za účelem diskusí, analýz a sdílení informací o společných tématech, jež často vedou k doporučením ohledně provádění a programování programů rozvoje venkova.</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Odkaz</w:t>
      </w:r>
      <w:r>
        <w:rPr>
          <w:i/>
          <w:color w:val="404040" w:themeColor="background1" w:themeShade="40"/>
          <w:sz w:val="16"/>
          <w:szCs w:val="16"/>
        </w:rPr>
        <w:t xml:space="preserve">: Příručka o celostátních sítích pro venkov: </w:t>
      </w:r>
      <w:hyperlink r:id="rId132" w:history="1">
        <w:r>
          <w:rPr>
            <w:rStyle w:val="Hyperlink"/>
            <w:i/>
            <w:szCs w:val="16"/>
          </w:rPr>
          <w:t>http://enrd.ec.europa.eu/enrd-static/app_templates/enrd_assets/pdf/guidebook/nrn_handbook_webversion.pdf</w:t>
        </w:r>
      </w:hyperlink>
    </w:p>
    <w:p w:rsidR="00417C67" w:rsidRPr="009125CD" w:rsidRDefault="00417C67" w:rsidP="00417C67">
      <w:pPr>
        <w:rPr>
          <w:rFonts w:eastAsia="Arial" w:cs="Arial"/>
          <w:b/>
          <w:color w:val="57825E"/>
          <w:szCs w:val="20"/>
        </w:rPr>
      </w:pPr>
      <w:r>
        <w:rPr>
          <w:b/>
          <w:color w:val="57825E"/>
          <w:szCs w:val="20"/>
        </w:rPr>
        <w:t xml:space="preserve">Výsledek inovace </w:t>
      </w:r>
    </w:p>
    <w:p w:rsidR="00417C67" w:rsidRDefault="00417C67" w:rsidP="00417C67">
      <w:pPr>
        <w:rPr>
          <w:rFonts w:cs="Arial"/>
          <w:color w:val="404040" w:themeColor="background1" w:themeShade="40"/>
          <w:szCs w:val="20"/>
        </w:rPr>
      </w:pPr>
      <w:r>
        <w:rPr>
          <w:color w:val="404040" w:themeColor="background1" w:themeShade="40"/>
          <w:szCs w:val="20"/>
        </w:rPr>
        <w:t>Výsledky inovace vyplývají z podpůrných výsledků (např. nové postupy, zvýšený příjem, přijetí udržitelnějších zemědělských postupů).</w:t>
      </w:r>
    </w:p>
    <w:p w:rsidR="00417C67" w:rsidRPr="009125CD" w:rsidRDefault="00417C67" w:rsidP="00417C67">
      <w:pPr>
        <w:rPr>
          <w:rFonts w:cs="Arial"/>
          <w:color w:val="404040" w:themeColor="background1" w:themeShade="40"/>
          <w:szCs w:val="20"/>
        </w:rPr>
      </w:pPr>
      <w:r>
        <w:rPr>
          <w:i/>
          <w:color w:val="404040" w:themeColor="background1" w:themeShade="40"/>
          <w:sz w:val="16"/>
          <w:szCs w:val="16"/>
          <w:u w:val="single"/>
        </w:rPr>
        <w:t>Odkaz</w:t>
      </w:r>
      <w:r>
        <w:rPr>
          <w:i/>
          <w:color w:val="404040" w:themeColor="background1" w:themeShade="40"/>
          <w:sz w:val="16"/>
          <w:szCs w:val="16"/>
        </w:rPr>
        <w:t>: TWG-4, strana 11.</w:t>
      </w:r>
    </w:p>
    <w:p w:rsidR="00417C67" w:rsidRPr="00C6274D" w:rsidRDefault="00417C67" w:rsidP="0025413B">
      <w:pPr>
        <w:rPr>
          <w:rFonts w:cs="Arial"/>
          <w:color w:val="404040" w:themeColor="background1" w:themeShade="40"/>
          <w:szCs w:val="20"/>
        </w:rPr>
        <w:sectPr w:rsidR="00417C67"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E05D08" w:rsidRDefault="00E05D08" w:rsidP="00E05D08">
      <w:pPr>
        <w:spacing w:before="60" w:after="140" w:line="220" w:lineRule="atLeast"/>
        <w:rPr>
          <w:rFonts w:eastAsia="Times New Roman" w:cs="Times New Roman"/>
          <w:sz w:val="18"/>
          <w:szCs w:val="24"/>
          <w:lang w:val="en-US" w:eastAsia="de-DE"/>
        </w:rPr>
        <w:sectPr w:rsidR="00E05D08" w:rsidRPr="00E05D08"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607843"/>
      <w:r>
        <w:lastRenderedPageBreak/>
        <w:t>Určení inovačního potenciálu programu rozvoje venkova: krok za krokem</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Kroky</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Hlavní otázka k zodpovězení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Kde v rámci PRV?</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Příklady</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Rizika spojená s tímto krokem</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Řešení</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Krok 1: Určit souvislosti mezi potřebami v oblasti inovací a opatřením/podopatřením </w:t>
            </w:r>
          </w:p>
        </w:tc>
        <w:tc>
          <w:tcPr>
            <w:tcW w:w="3260" w:type="dxa"/>
          </w:tcPr>
          <w:p w:rsidR="00E05D08" w:rsidRPr="00E05D08" w:rsidRDefault="00AA5817" w:rsidP="00F31494">
            <w:pPr>
              <w:spacing w:after="120"/>
              <w:jc w:val="left"/>
              <w:rPr>
                <w:rFonts w:cs="Arial"/>
                <w:sz w:val="16"/>
                <w:szCs w:val="16"/>
              </w:rPr>
            </w:pPr>
            <w:r>
              <w:rPr>
                <w:sz w:val="16"/>
                <w:szCs w:val="16"/>
              </w:rPr>
              <w:t>Jaké potřeby v oblasti inovací byly zjištěny při posouzení potřeb v souvislosti s daným opatřením/podopatřením?</w:t>
            </w:r>
          </w:p>
          <w:p w:rsidR="00E05D08" w:rsidRPr="00E05D08" w:rsidRDefault="00E05D08" w:rsidP="00F31494">
            <w:pPr>
              <w:spacing w:after="120"/>
              <w:jc w:val="left"/>
              <w:rPr>
                <w:rFonts w:cs="Arial"/>
                <w:sz w:val="16"/>
                <w:szCs w:val="16"/>
              </w:rPr>
            </w:pPr>
            <w:r>
              <w:rPr>
                <w:sz w:val="16"/>
                <w:szCs w:val="16"/>
              </w:rPr>
              <w:t>Jak opatření/podopatření tyto potřeby řeší s ohledem na tři scénáře inovací?</w:t>
            </w:r>
          </w:p>
        </w:tc>
        <w:tc>
          <w:tcPr>
            <w:tcW w:w="2268" w:type="dxa"/>
          </w:tcPr>
          <w:p w:rsidR="00E05D08" w:rsidRPr="00E05D08" w:rsidRDefault="00E05D08" w:rsidP="00F31494">
            <w:pPr>
              <w:jc w:val="left"/>
              <w:rPr>
                <w:rFonts w:cs="Arial"/>
                <w:sz w:val="16"/>
                <w:szCs w:val="16"/>
              </w:rPr>
            </w:pPr>
            <w:r>
              <w:rPr>
                <w:sz w:val="16"/>
                <w:szCs w:val="16"/>
              </w:rPr>
              <w:t>Oddíl 4 – Analýza SWOT a potřeb</w:t>
            </w:r>
          </w:p>
          <w:p w:rsidR="00E05D08" w:rsidRPr="00E05D08" w:rsidRDefault="00E05D08" w:rsidP="00F31494">
            <w:pPr>
              <w:jc w:val="left"/>
              <w:rPr>
                <w:rFonts w:cs="Arial"/>
                <w:sz w:val="16"/>
                <w:szCs w:val="16"/>
              </w:rPr>
            </w:pPr>
            <w:r>
              <w:rPr>
                <w:sz w:val="16"/>
                <w:szCs w:val="16"/>
              </w:rPr>
              <w:t>Oddíl 5 – Popis strategie</w:t>
            </w:r>
          </w:p>
          <w:p w:rsidR="00E05D08" w:rsidRPr="00E05D08" w:rsidRDefault="00E05D08" w:rsidP="00F31494">
            <w:pPr>
              <w:jc w:val="left"/>
              <w:rPr>
                <w:rFonts w:cs="Arial"/>
                <w:sz w:val="16"/>
                <w:szCs w:val="16"/>
              </w:rPr>
            </w:pPr>
            <w:r>
              <w:rPr>
                <w:sz w:val="16"/>
                <w:szCs w:val="16"/>
              </w:rPr>
              <w:t>Oddíl 8 – Popis opatření a podopatření</w:t>
            </w:r>
          </w:p>
        </w:tc>
        <w:tc>
          <w:tcPr>
            <w:tcW w:w="2693" w:type="dxa"/>
          </w:tcPr>
          <w:p w:rsidR="00E05D08" w:rsidRPr="00E05D08" w:rsidRDefault="00E05D08" w:rsidP="00F31494">
            <w:pPr>
              <w:jc w:val="left"/>
              <w:rPr>
                <w:rFonts w:cs="Arial"/>
                <w:sz w:val="16"/>
                <w:szCs w:val="16"/>
              </w:rPr>
            </w:pPr>
            <w:r>
              <w:rPr>
                <w:sz w:val="16"/>
                <w:szCs w:val="16"/>
              </w:rPr>
              <w:t>Potřeba zlepšit systém výzkum+vývoj+inovace. Potřeba zlepšit mechanismy předávání znalostí. Potřeba podpořit inovační kulturu u aktérů v zemědělsko-potravinářském odvětví.</w:t>
            </w:r>
          </w:p>
        </w:tc>
        <w:tc>
          <w:tcPr>
            <w:tcW w:w="2268" w:type="dxa"/>
          </w:tcPr>
          <w:p w:rsidR="00E05D08" w:rsidRPr="00E05D08" w:rsidRDefault="00AA5817" w:rsidP="00EC7C14">
            <w:pPr>
              <w:jc w:val="left"/>
              <w:rPr>
                <w:rFonts w:cs="Arial"/>
                <w:sz w:val="16"/>
                <w:szCs w:val="16"/>
              </w:rPr>
            </w:pPr>
            <w:r>
              <w:rPr>
                <w:sz w:val="16"/>
                <w:szCs w:val="16"/>
              </w:rPr>
              <w:t>Potřeby v oblasti inovací nemusí být v posouzení SWOT a potřeb jasně formulov</w:t>
            </w:r>
            <w:r w:rsidR="00EC7C14">
              <w:rPr>
                <w:sz w:val="16"/>
                <w:szCs w:val="16"/>
              </w:rPr>
              <w:t>á</w:t>
            </w:r>
            <w:r>
              <w:rPr>
                <w:sz w:val="16"/>
                <w:szCs w:val="16"/>
              </w:rPr>
              <w:t>n</w:t>
            </w:r>
            <w:r w:rsidR="00EC7C14">
              <w:rPr>
                <w:sz w:val="16"/>
                <w:szCs w:val="16"/>
              </w:rPr>
              <w:t>y</w:t>
            </w:r>
            <w:r>
              <w:rPr>
                <w:sz w:val="16"/>
                <w:szCs w:val="16"/>
              </w:rPr>
              <w:t xml:space="preserve">. </w:t>
            </w:r>
          </w:p>
        </w:tc>
        <w:tc>
          <w:tcPr>
            <w:tcW w:w="2410" w:type="dxa"/>
          </w:tcPr>
          <w:p w:rsidR="00E05D08" w:rsidRPr="00E05D08" w:rsidRDefault="00E05D08" w:rsidP="00F31494">
            <w:pPr>
              <w:jc w:val="left"/>
              <w:rPr>
                <w:rFonts w:cs="Arial"/>
                <w:sz w:val="16"/>
                <w:szCs w:val="16"/>
              </w:rPr>
            </w:pPr>
            <w:r>
              <w:rPr>
                <w:sz w:val="16"/>
                <w:szCs w:val="16"/>
              </w:rPr>
              <w:t>Přezkoumat posouzení SWOT a potřeb z hlediska potřeb v oblasti inovací.</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Krok 2: Určit části cílů opatření/podopatření týkající se inovací</w:t>
            </w:r>
          </w:p>
        </w:tc>
        <w:tc>
          <w:tcPr>
            <w:tcW w:w="3260" w:type="dxa"/>
          </w:tcPr>
          <w:p w:rsidR="00E05D08" w:rsidRPr="00E05D08" w:rsidRDefault="00E05D08" w:rsidP="00F31494">
            <w:pPr>
              <w:spacing w:after="120"/>
              <w:jc w:val="left"/>
              <w:rPr>
                <w:rFonts w:cs="Arial"/>
                <w:sz w:val="16"/>
                <w:szCs w:val="16"/>
              </w:rPr>
            </w:pPr>
            <w:r>
              <w:rPr>
                <w:sz w:val="16"/>
                <w:szCs w:val="16"/>
              </w:rPr>
              <w:t>Do jaké míry cíle opatření/podopatření řeší potřeby v oblasti inovací?</w:t>
            </w:r>
          </w:p>
          <w:p w:rsidR="00E05D08" w:rsidRPr="00E05D08" w:rsidRDefault="00E05D08" w:rsidP="00DE6914">
            <w:pPr>
              <w:spacing w:after="120"/>
              <w:jc w:val="left"/>
              <w:rPr>
                <w:rFonts w:cs="Arial"/>
                <w:sz w:val="16"/>
                <w:szCs w:val="16"/>
              </w:rPr>
            </w:pPr>
            <w:r>
              <w:rPr>
                <w:sz w:val="16"/>
                <w:szCs w:val="16"/>
              </w:rPr>
              <w:t>Jak jsou zformulov</w:t>
            </w:r>
            <w:r w:rsidR="00DE6914">
              <w:rPr>
                <w:sz w:val="16"/>
                <w:szCs w:val="16"/>
              </w:rPr>
              <w:t>á</w:t>
            </w:r>
            <w:r>
              <w:rPr>
                <w:sz w:val="16"/>
                <w:szCs w:val="16"/>
              </w:rPr>
              <w:t>n</w:t>
            </w:r>
            <w:r w:rsidR="00DE6914">
              <w:rPr>
                <w:sz w:val="16"/>
                <w:szCs w:val="16"/>
              </w:rPr>
              <w:t>y</w:t>
            </w:r>
            <w:r>
              <w:rPr>
                <w:sz w:val="16"/>
                <w:szCs w:val="16"/>
              </w:rPr>
              <w:t xml:space="preserve"> cíle v souvislosti s inovacemi?</w:t>
            </w:r>
          </w:p>
        </w:tc>
        <w:tc>
          <w:tcPr>
            <w:tcW w:w="2268" w:type="dxa"/>
          </w:tcPr>
          <w:p w:rsidR="00E05D08" w:rsidRPr="00E05D08" w:rsidRDefault="00E05D08" w:rsidP="00F31494">
            <w:pPr>
              <w:jc w:val="left"/>
              <w:rPr>
                <w:rFonts w:cs="Arial"/>
                <w:sz w:val="16"/>
                <w:szCs w:val="16"/>
              </w:rPr>
            </w:pPr>
            <w:r>
              <w:rPr>
                <w:sz w:val="16"/>
                <w:szCs w:val="16"/>
              </w:rPr>
              <w:t>Oddíl 5 – Popis strategie</w:t>
            </w:r>
          </w:p>
          <w:p w:rsidR="00E05D08" w:rsidRPr="00E05D08" w:rsidRDefault="00E05D08" w:rsidP="00F31494">
            <w:pPr>
              <w:jc w:val="left"/>
              <w:rPr>
                <w:rFonts w:cs="Arial"/>
                <w:sz w:val="16"/>
                <w:szCs w:val="16"/>
              </w:rPr>
            </w:pPr>
            <w:r>
              <w:rPr>
                <w:sz w:val="16"/>
                <w:szCs w:val="16"/>
              </w:rPr>
              <w:t>Oddíl 8 – Popis opatření a podopatření</w:t>
            </w:r>
          </w:p>
        </w:tc>
        <w:tc>
          <w:tcPr>
            <w:tcW w:w="2693" w:type="dxa"/>
          </w:tcPr>
          <w:p w:rsidR="00E05D08" w:rsidRPr="00E05D08" w:rsidRDefault="00E05D08" w:rsidP="00F31494">
            <w:pPr>
              <w:jc w:val="left"/>
              <w:rPr>
                <w:rFonts w:cs="Arial"/>
                <w:sz w:val="16"/>
                <w:szCs w:val="16"/>
              </w:rPr>
            </w:pPr>
            <w:r>
              <w:rPr>
                <w:sz w:val="16"/>
                <w:szCs w:val="16"/>
              </w:rPr>
              <w:t>Podpořit nové technologie v systémech zavlažování. Zavést nové poznatky v oblasti ochrany a zpracování plodin. Zlepšit hospodářské výsledky ve venkovských podnicích prostřednictvím inovací.</w:t>
            </w:r>
          </w:p>
        </w:tc>
        <w:tc>
          <w:tcPr>
            <w:tcW w:w="2268" w:type="dxa"/>
          </w:tcPr>
          <w:p w:rsidR="00E05D08" w:rsidRPr="00E05D08" w:rsidRDefault="00AA5817" w:rsidP="00F31494">
            <w:pPr>
              <w:jc w:val="left"/>
              <w:rPr>
                <w:rFonts w:cs="Arial"/>
                <w:sz w:val="16"/>
                <w:szCs w:val="16"/>
              </w:rPr>
            </w:pPr>
            <w:r>
              <w:rPr>
                <w:sz w:val="16"/>
                <w:szCs w:val="16"/>
              </w:rPr>
              <w:t>Inovační cíle nejsou v obecném popisu opatření a podopatření patrné.</w:t>
            </w:r>
          </w:p>
        </w:tc>
        <w:tc>
          <w:tcPr>
            <w:tcW w:w="2410" w:type="dxa"/>
          </w:tcPr>
          <w:p w:rsidR="00E05D08" w:rsidRPr="00E05D08" w:rsidRDefault="00E05D08" w:rsidP="00F31494">
            <w:pPr>
              <w:jc w:val="left"/>
              <w:rPr>
                <w:rFonts w:cs="Arial"/>
                <w:sz w:val="16"/>
                <w:szCs w:val="16"/>
              </w:rPr>
            </w:pPr>
            <w:r>
              <w:rPr>
                <w:sz w:val="16"/>
                <w:szCs w:val="16"/>
              </w:rPr>
              <w:t>Přezkoumat všechna podopatření a cíle každého z nich a určit veškeré cíle v oblasti inovací.</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Krok 3: Vymezit kritéria výběru opatření/podopatření týkající se inovací</w:t>
            </w:r>
          </w:p>
        </w:tc>
        <w:tc>
          <w:tcPr>
            <w:tcW w:w="3260" w:type="dxa"/>
          </w:tcPr>
          <w:p w:rsidR="00E05D08" w:rsidRPr="00E05D08" w:rsidRDefault="00E05D08" w:rsidP="00F31494">
            <w:pPr>
              <w:spacing w:after="120"/>
              <w:jc w:val="left"/>
              <w:rPr>
                <w:rFonts w:cs="Arial"/>
                <w:sz w:val="16"/>
                <w:szCs w:val="16"/>
              </w:rPr>
            </w:pPr>
            <w:r>
              <w:rPr>
                <w:sz w:val="16"/>
                <w:szCs w:val="16"/>
              </w:rPr>
              <w:t xml:space="preserve">Do jaké míry kritéria výběru opatření/podopatření projektu </w:t>
            </w:r>
            <w:r w:rsidR="00121134">
              <w:rPr>
                <w:sz w:val="16"/>
                <w:szCs w:val="16"/>
              </w:rPr>
              <w:t>posilují</w:t>
            </w:r>
            <w:r>
              <w:rPr>
                <w:sz w:val="16"/>
                <w:szCs w:val="16"/>
              </w:rPr>
              <w:t xml:space="preserve"> podporu inovací s ohledem na tři scénáře inovací? </w:t>
            </w:r>
          </w:p>
          <w:p w:rsidR="00E05D08" w:rsidRPr="00E05D08" w:rsidRDefault="00E05D08" w:rsidP="00F31494">
            <w:pPr>
              <w:spacing w:after="120"/>
              <w:jc w:val="left"/>
              <w:rPr>
                <w:rFonts w:cs="Arial"/>
                <w:sz w:val="16"/>
                <w:szCs w:val="16"/>
              </w:rPr>
            </w:pPr>
            <w:r>
              <w:rPr>
                <w:sz w:val="16"/>
                <w:szCs w:val="16"/>
              </w:rPr>
              <w:t>Která konkrétní kritéria výběru podporují projekty, jež podporují inovace?</w:t>
            </w:r>
          </w:p>
        </w:tc>
        <w:tc>
          <w:tcPr>
            <w:tcW w:w="2268" w:type="dxa"/>
          </w:tcPr>
          <w:p w:rsidR="00E05D08" w:rsidRPr="00E05D08" w:rsidRDefault="00E05D08" w:rsidP="00F31494">
            <w:pPr>
              <w:jc w:val="left"/>
              <w:rPr>
                <w:rFonts w:cs="Arial"/>
                <w:sz w:val="16"/>
                <w:szCs w:val="16"/>
              </w:rPr>
            </w:pPr>
            <w:r>
              <w:rPr>
                <w:sz w:val="16"/>
                <w:szCs w:val="16"/>
              </w:rPr>
              <w:t>Oddíl 8 – Popis opatření a podopatření</w:t>
            </w:r>
          </w:p>
          <w:p w:rsidR="00E05D08" w:rsidRPr="00E05D08" w:rsidRDefault="00E05D08" w:rsidP="00F31494">
            <w:pPr>
              <w:jc w:val="left"/>
              <w:rPr>
                <w:rFonts w:cs="Arial"/>
                <w:sz w:val="16"/>
                <w:szCs w:val="16"/>
              </w:rPr>
            </w:pPr>
            <w:r>
              <w:rPr>
                <w:sz w:val="16"/>
                <w:szCs w:val="16"/>
              </w:rPr>
              <w:t>Kritéria výběru vytvořená během provádění (zdroj: webová stránka programu, řídící orgán)</w:t>
            </w:r>
          </w:p>
        </w:tc>
        <w:tc>
          <w:tcPr>
            <w:tcW w:w="2693" w:type="dxa"/>
          </w:tcPr>
          <w:p w:rsidR="00E05D08" w:rsidRPr="00E05D08" w:rsidRDefault="00E05D08" w:rsidP="00F31494">
            <w:pPr>
              <w:jc w:val="left"/>
              <w:rPr>
                <w:rFonts w:cs="Arial"/>
                <w:sz w:val="16"/>
                <w:szCs w:val="16"/>
              </w:rPr>
            </w:pPr>
            <w:r>
              <w:rPr>
                <w:sz w:val="16"/>
                <w:szCs w:val="16"/>
              </w:rPr>
              <w:t>Upřednostnění aktérů se zkušenostmi v oblasti inovací. Upřednostnění operací, jež propojují výzkum a praxi. Důraz na složení partnerství (při operacích spolupráce).</w:t>
            </w:r>
          </w:p>
        </w:tc>
        <w:tc>
          <w:tcPr>
            <w:tcW w:w="2268" w:type="dxa"/>
          </w:tcPr>
          <w:p w:rsidR="00E05D08" w:rsidRPr="00E05D08" w:rsidRDefault="00E05D08" w:rsidP="00F31494">
            <w:pPr>
              <w:jc w:val="left"/>
              <w:rPr>
                <w:rFonts w:cs="Arial"/>
                <w:sz w:val="16"/>
                <w:szCs w:val="16"/>
              </w:rPr>
            </w:pPr>
            <w:r>
              <w:rPr>
                <w:sz w:val="16"/>
                <w:szCs w:val="16"/>
              </w:rPr>
              <w:t xml:space="preserve">Popis opatření nestanoví kritéria výběru projektů týkající se inovací nebo používá jen obecnou formulaci, např. „vybraný projekt je inovativní“. </w:t>
            </w:r>
          </w:p>
        </w:tc>
        <w:tc>
          <w:tcPr>
            <w:tcW w:w="2410" w:type="dxa"/>
          </w:tcPr>
          <w:p w:rsidR="00E05D08" w:rsidRPr="00E05D08" w:rsidRDefault="00E05D08" w:rsidP="00F31494">
            <w:pPr>
              <w:jc w:val="left"/>
              <w:rPr>
                <w:rFonts w:cs="Arial"/>
                <w:sz w:val="16"/>
                <w:szCs w:val="16"/>
              </w:rPr>
            </w:pPr>
            <w:r>
              <w:rPr>
                <w:sz w:val="16"/>
                <w:szCs w:val="16"/>
              </w:rPr>
              <w:t>Navrhnout operační kritéria, jež stanoví, za jakých podmínek je projekt vybrán jako inovativní.</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Krok 4: V popisu opatření/podopatření určit inovační zúčastněné strany</w:t>
            </w:r>
          </w:p>
        </w:tc>
        <w:tc>
          <w:tcPr>
            <w:tcW w:w="3260" w:type="dxa"/>
          </w:tcPr>
          <w:p w:rsidR="00E05D08" w:rsidRPr="00E05D08" w:rsidRDefault="00E05D08" w:rsidP="00F31494">
            <w:pPr>
              <w:spacing w:after="120"/>
              <w:jc w:val="left"/>
              <w:rPr>
                <w:rFonts w:cs="Arial"/>
                <w:sz w:val="16"/>
                <w:szCs w:val="16"/>
              </w:rPr>
            </w:pPr>
            <w:r>
              <w:rPr>
                <w:sz w:val="16"/>
                <w:szCs w:val="16"/>
              </w:rPr>
              <w:t>U kterých příjemců se předpokládá, že budou podporovat inovace prostřednictvím tří scénářů inovací?</w:t>
            </w:r>
          </w:p>
          <w:p w:rsidR="00E05D08" w:rsidRPr="00E05D08" w:rsidRDefault="00E05D08" w:rsidP="00F31494">
            <w:pPr>
              <w:spacing w:after="120"/>
              <w:jc w:val="left"/>
              <w:rPr>
                <w:rFonts w:cs="Arial"/>
                <w:sz w:val="16"/>
                <w:szCs w:val="16"/>
              </w:rPr>
            </w:pPr>
            <w:r>
              <w:rPr>
                <w:sz w:val="16"/>
                <w:szCs w:val="16"/>
              </w:rPr>
              <w:t>Které další inovační zúčastněné strany se podílejí na provádění opatření?</w:t>
            </w:r>
          </w:p>
        </w:tc>
        <w:tc>
          <w:tcPr>
            <w:tcW w:w="2268" w:type="dxa"/>
          </w:tcPr>
          <w:p w:rsidR="00E05D08" w:rsidRPr="00E05D08" w:rsidRDefault="00E05D08" w:rsidP="00F31494">
            <w:pPr>
              <w:jc w:val="left"/>
              <w:rPr>
                <w:rFonts w:cs="Arial"/>
                <w:sz w:val="16"/>
                <w:szCs w:val="16"/>
              </w:rPr>
            </w:pPr>
            <w:r>
              <w:rPr>
                <w:sz w:val="16"/>
                <w:szCs w:val="16"/>
              </w:rPr>
              <w:t>Oddíl 8 – Popis opatření a podopatření</w:t>
            </w:r>
          </w:p>
        </w:tc>
        <w:tc>
          <w:tcPr>
            <w:tcW w:w="2693" w:type="dxa"/>
          </w:tcPr>
          <w:p w:rsidR="00E05D08" w:rsidRPr="00E05D08" w:rsidRDefault="00E05D08" w:rsidP="00F31494">
            <w:pPr>
              <w:jc w:val="left"/>
              <w:rPr>
                <w:rFonts w:cs="Arial"/>
                <w:sz w:val="16"/>
                <w:szCs w:val="16"/>
              </w:rPr>
            </w:pPr>
            <w:r>
              <w:rPr>
                <w:sz w:val="16"/>
                <w:szCs w:val="16"/>
              </w:rPr>
              <w:t>Střediska pro výzkum a vývoj</w:t>
            </w:r>
          </w:p>
          <w:p w:rsidR="00E05D08" w:rsidRPr="00E05D08" w:rsidRDefault="00E05D08" w:rsidP="00F31494">
            <w:pPr>
              <w:jc w:val="left"/>
              <w:rPr>
                <w:rFonts w:cs="Arial"/>
                <w:sz w:val="16"/>
                <w:szCs w:val="16"/>
              </w:rPr>
            </w:pPr>
            <w:r>
              <w:rPr>
                <w:sz w:val="16"/>
                <w:szCs w:val="16"/>
              </w:rPr>
              <w:t>Technologické instituty</w:t>
            </w:r>
          </w:p>
          <w:p w:rsidR="00E05D08" w:rsidRPr="00E05D08" w:rsidRDefault="00E05D08" w:rsidP="00F31494">
            <w:pPr>
              <w:jc w:val="left"/>
              <w:rPr>
                <w:rFonts w:cs="Arial"/>
                <w:sz w:val="16"/>
                <w:szCs w:val="16"/>
              </w:rPr>
            </w:pPr>
            <w:r>
              <w:rPr>
                <w:sz w:val="16"/>
                <w:szCs w:val="16"/>
              </w:rPr>
              <w:t>Oddělení pro inovace veřejných institucí</w:t>
            </w:r>
          </w:p>
          <w:p w:rsidR="00E05D08" w:rsidRPr="00E05D08" w:rsidRDefault="00E05D08" w:rsidP="00F31494">
            <w:pPr>
              <w:jc w:val="left"/>
              <w:rPr>
                <w:rFonts w:cs="Arial"/>
                <w:sz w:val="16"/>
                <w:szCs w:val="16"/>
                <w:lang w:val="en-GB"/>
              </w:rPr>
            </w:pPr>
          </w:p>
          <w:p w:rsidR="00E05D08" w:rsidRPr="00E05D08" w:rsidRDefault="00E05D08" w:rsidP="00F31494">
            <w:pPr>
              <w:jc w:val="left"/>
              <w:rPr>
                <w:rFonts w:cs="Arial"/>
                <w:sz w:val="16"/>
                <w:szCs w:val="16"/>
                <w:lang w:val="en-GB"/>
              </w:rPr>
            </w:pPr>
          </w:p>
        </w:tc>
        <w:tc>
          <w:tcPr>
            <w:tcW w:w="2268" w:type="dxa"/>
          </w:tcPr>
          <w:p w:rsidR="00E05D08" w:rsidRPr="00E05D08" w:rsidRDefault="00AA5817" w:rsidP="00F31494">
            <w:pPr>
              <w:jc w:val="left"/>
              <w:rPr>
                <w:rFonts w:cs="Arial"/>
                <w:sz w:val="16"/>
                <w:szCs w:val="16"/>
              </w:rPr>
            </w:pPr>
            <w:r>
              <w:rPr>
                <w:sz w:val="16"/>
                <w:szCs w:val="16"/>
              </w:rPr>
              <w:t>Zúčastněné strany podílející se na inovacích nemusí být v návrhu opatření uvedeny.</w:t>
            </w:r>
          </w:p>
        </w:tc>
        <w:tc>
          <w:tcPr>
            <w:tcW w:w="2410" w:type="dxa"/>
          </w:tcPr>
          <w:p w:rsidR="00E05D08" w:rsidRPr="00E05D08" w:rsidRDefault="00E05D08" w:rsidP="00F31494">
            <w:pPr>
              <w:jc w:val="left"/>
              <w:rPr>
                <w:rFonts w:cs="Arial"/>
                <w:sz w:val="16"/>
                <w:szCs w:val="16"/>
              </w:rPr>
            </w:pPr>
            <w:r>
              <w:rPr>
                <w:sz w:val="16"/>
                <w:szCs w:val="16"/>
              </w:rPr>
              <w:t xml:space="preserve">Hodnotitel by měl přezkoumat, zda zúčastněné strany podílející se na inovacích byly zapojeny do provádění opatření a podopatření.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Krok 5: V popisu opatření/podopatření určit akce, náklady a rozpočty související s inovacemi</w:t>
            </w:r>
          </w:p>
        </w:tc>
        <w:tc>
          <w:tcPr>
            <w:tcW w:w="3260" w:type="dxa"/>
          </w:tcPr>
          <w:p w:rsidR="00E05D08" w:rsidRPr="00E05D08" w:rsidRDefault="00E05D08" w:rsidP="00F31494">
            <w:pPr>
              <w:spacing w:after="120"/>
              <w:jc w:val="left"/>
              <w:rPr>
                <w:rFonts w:cs="Arial"/>
                <w:sz w:val="16"/>
                <w:szCs w:val="16"/>
              </w:rPr>
            </w:pPr>
            <w:r>
              <w:rPr>
                <w:sz w:val="16"/>
                <w:szCs w:val="16"/>
              </w:rPr>
              <w:t xml:space="preserve">Které způsobilé akce a náklady podpoří inovace? </w:t>
            </w:r>
          </w:p>
          <w:p w:rsidR="00E05D08" w:rsidRPr="00E05D08" w:rsidRDefault="00E05D08" w:rsidP="00963A81">
            <w:pPr>
              <w:spacing w:after="120"/>
              <w:jc w:val="left"/>
              <w:rPr>
                <w:rFonts w:cs="Arial"/>
                <w:sz w:val="16"/>
                <w:szCs w:val="16"/>
              </w:rPr>
            </w:pPr>
            <w:r>
              <w:rPr>
                <w:sz w:val="16"/>
                <w:szCs w:val="16"/>
              </w:rPr>
              <w:t>Jaký je rozpočet akcí a nákladů na podporu inovací?</w:t>
            </w:r>
          </w:p>
        </w:tc>
        <w:tc>
          <w:tcPr>
            <w:tcW w:w="2268" w:type="dxa"/>
          </w:tcPr>
          <w:p w:rsidR="00E05D08" w:rsidRPr="00E05D08" w:rsidRDefault="00E05D08" w:rsidP="00F31494">
            <w:pPr>
              <w:jc w:val="left"/>
              <w:rPr>
                <w:rFonts w:cs="Arial"/>
                <w:sz w:val="16"/>
                <w:szCs w:val="16"/>
              </w:rPr>
            </w:pPr>
            <w:r>
              <w:rPr>
                <w:sz w:val="16"/>
                <w:szCs w:val="16"/>
              </w:rPr>
              <w:t>Oddíl 8 – Popis opatření a podopatření</w:t>
            </w:r>
          </w:p>
          <w:p w:rsidR="00E05D08" w:rsidRPr="00E05D08" w:rsidRDefault="00E05D08" w:rsidP="00F31494">
            <w:pPr>
              <w:jc w:val="left"/>
              <w:rPr>
                <w:rFonts w:cs="Arial"/>
                <w:sz w:val="16"/>
                <w:szCs w:val="16"/>
              </w:rPr>
            </w:pPr>
            <w:r>
              <w:rPr>
                <w:sz w:val="16"/>
                <w:szCs w:val="16"/>
              </w:rPr>
              <w:t>Systémy provádění vytvořené během provádění (zdroje: webová stránka programu, řídící orgán)</w:t>
            </w:r>
          </w:p>
          <w:p w:rsidR="00E05D08" w:rsidRPr="00D5760C"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Oddíl 10 Finanční plán – rozpočet na každé opatření </w:t>
            </w:r>
          </w:p>
        </w:tc>
        <w:tc>
          <w:tcPr>
            <w:tcW w:w="2693" w:type="dxa"/>
          </w:tcPr>
          <w:p w:rsidR="00E05D08" w:rsidRPr="00E05D08" w:rsidRDefault="00E05D08" w:rsidP="00F31494">
            <w:pPr>
              <w:jc w:val="left"/>
              <w:rPr>
                <w:rFonts w:cs="Arial"/>
                <w:sz w:val="16"/>
                <w:szCs w:val="16"/>
              </w:rPr>
            </w:pPr>
            <w:r>
              <w:rPr>
                <w:sz w:val="16"/>
                <w:szCs w:val="16"/>
              </w:rPr>
              <w:t xml:space="preserve">Využití zprostředkovatelů inovací při zřizování operačních skupin. Zakládání řídících skupin pro monitorování inovací. Administrativní otázky při intervencích na podporu inovací. Akce ke zvýšení informovanosti o inovacích. </w:t>
            </w:r>
          </w:p>
        </w:tc>
        <w:tc>
          <w:tcPr>
            <w:tcW w:w="2268" w:type="dxa"/>
          </w:tcPr>
          <w:p w:rsidR="00E05D08" w:rsidRPr="00E05D08" w:rsidRDefault="00E05D08" w:rsidP="00F31494">
            <w:pPr>
              <w:jc w:val="left"/>
              <w:rPr>
                <w:rFonts w:cs="Arial"/>
                <w:sz w:val="16"/>
                <w:szCs w:val="16"/>
              </w:rPr>
            </w:pPr>
            <w:r>
              <w:rPr>
                <w:sz w:val="16"/>
                <w:szCs w:val="16"/>
              </w:rPr>
              <w:t>Nedostatek důkazů o nástrojích týkajících se inovací a podpoře inovací.</w:t>
            </w:r>
          </w:p>
        </w:tc>
        <w:tc>
          <w:tcPr>
            <w:tcW w:w="2410" w:type="dxa"/>
          </w:tcPr>
          <w:p w:rsidR="00E05D08" w:rsidRPr="00E05D08" w:rsidRDefault="00E05D08" w:rsidP="0072145A">
            <w:pPr>
              <w:jc w:val="left"/>
              <w:rPr>
                <w:rFonts w:cs="Arial"/>
                <w:sz w:val="16"/>
                <w:szCs w:val="16"/>
              </w:rPr>
            </w:pPr>
            <w:r>
              <w:rPr>
                <w:sz w:val="16"/>
                <w:szCs w:val="16"/>
              </w:rPr>
              <w:t>Analyzovat další informace o provádění opatření a podopatření obsažené ve výroční zprávě o provádění nebo získané od řídících orgánů.</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3"/>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3AA" w:rsidRDefault="005D43AA" w:rsidP="00E05D08">
      <w:pPr>
        <w:spacing w:after="0" w:line="240" w:lineRule="auto"/>
      </w:pPr>
      <w:r>
        <w:separator/>
      </w:r>
    </w:p>
  </w:endnote>
  <w:endnote w:type="continuationSeparator" w:id="0">
    <w:p w:rsidR="005D43AA" w:rsidRDefault="005D43AA"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pPr>
      <w:pStyle w:val="Footer"/>
    </w:pPr>
    <w:r>
      <w:t xml:space="preserve">strana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Pr>
        <w:rStyle w:val="PageNumber"/>
        <w:noProof/>
      </w:rPr>
      <w:t>77</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611706" w:rsidRDefault="005716B0"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5716B0" w:rsidRPr="00611706" w:rsidRDefault="005716B0">
        <w:pPr>
          <w:pStyle w:val="Footer"/>
          <w:rPr>
            <w:sz w:val="18"/>
            <w:szCs w:val="18"/>
          </w:rPr>
        </w:pPr>
      </w:p>
    </w:sdtContent>
  </w:sdt>
  <w:p w:rsidR="005716B0" w:rsidRPr="006D33F1" w:rsidRDefault="005716B0"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431FF5" w:rsidRDefault="005716B0"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150D5B" w:rsidRDefault="005716B0"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5716B0" w:rsidRDefault="005716B0">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8D6A98">
          <w:rPr>
            <w:rStyle w:val="PageNumber"/>
            <w:rFonts w:eastAsiaTheme="majorEastAsia"/>
            <w:noProof/>
            <w:color w:val="373737"/>
            <w:szCs w:val="18"/>
          </w:rPr>
          <w:t>9</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pPr>
      <w:pStyle w:val="Footer"/>
    </w:pPr>
    <w:r>
      <w:t xml:space="preserve">strana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77</w:t>
    </w:r>
    <w:r>
      <w:rPr>
        <w:rStyle w:val="PageNumber"/>
        <w:rFonts w:eastAsiaTheme="majorEastAsia"/>
      </w:rPr>
      <w:fldChar w:fldCharType="end"/>
    </w:r>
    <w:r>
      <w:rPr>
        <w:rStyle w:val="PageNumber"/>
      </w:rPr>
      <w:tab/>
    </w:r>
    <w:r>
      <w:rPr>
        <w:noProof/>
        <w:lang w:val="en-GB"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611706" w:rsidRDefault="005716B0"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8D6A98">
      <w:rPr>
        <w:rStyle w:val="PageNumber"/>
        <w:rFonts w:eastAsiaTheme="majorEastAsia"/>
        <w:noProof/>
        <w:color w:val="373737"/>
        <w:szCs w:val="18"/>
      </w:rPr>
      <w:t>20</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5716B0" w:rsidRDefault="005716B0">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8D6A98">
          <w:rPr>
            <w:noProof/>
            <w:sz w:val="18"/>
            <w:szCs w:val="18"/>
          </w:rPr>
          <w:t>69</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3AA" w:rsidRPr="00CE2990" w:rsidRDefault="005D43AA" w:rsidP="00E05D08">
      <w:pPr>
        <w:spacing w:after="0" w:line="240" w:lineRule="auto"/>
        <w:rPr>
          <w:color w:val="F07E31"/>
        </w:rPr>
      </w:pPr>
      <w:r>
        <w:rPr>
          <w:color w:val="F07E31"/>
        </w:rPr>
        <w:separator/>
      </w:r>
    </w:p>
  </w:footnote>
  <w:footnote w:type="continuationSeparator" w:id="0">
    <w:p w:rsidR="005D43AA" w:rsidRDefault="005D43AA" w:rsidP="00E05D08">
      <w:pPr>
        <w:spacing w:after="0" w:line="240" w:lineRule="auto"/>
      </w:pPr>
      <w:r>
        <w:continuationSeparator/>
      </w:r>
    </w:p>
  </w:footnote>
  <w:footnote w:id="1">
    <w:p w:rsidR="005716B0" w:rsidRPr="00194986" w:rsidRDefault="005716B0" w:rsidP="00E05D08">
      <w:pPr>
        <w:pStyle w:val="FootnoteText"/>
      </w:pPr>
      <w:r>
        <w:rPr>
          <w:rStyle w:val="FootnoteReference"/>
          <w:rFonts w:cs="Arial"/>
        </w:rPr>
        <w:footnoteRef/>
      </w:r>
      <w:r>
        <w:t xml:space="preserve">Dvěma dalšími průřezovými cíli jsou ochrana životního prostředí a zmírňování změny klimatu a přizpůsobení se této změně. </w:t>
      </w:r>
    </w:p>
  </w:footnote>
  <w:footnote w:id="2">
    <w:p w:rsidR="005716B0" w:rsidRPr="00194986" w:rsidRDefault="005716B0" w:rsidP="00E05D08">
      <w:pPr>
        <w:pStyle w:val="FootnoteText"/>
      </w:pPr>
      <w:r>
        <w:rPr>
          <w:rStyle w:val="FootnoteReference"/>
          <w:rFonts w:cs="Arial"/>
        </w:rPr>
        <w:footnoteRef/>
      </w:r>
      <w:r>
        <w:t xml:space="preserve"> </w:t>
      </w:r>
      <w:r>
        <w:t>Čl. 8 odst. 1 písm. c) bod v) nařízení (EU) č. 1305/2013 a bod 5 písm. c) části 1 přílohy I nařízení (EU) č. 808/2014.</w:t>
      </w:r>
    </w:p>
  </w:footnote>
  <w:footnote w:id="3">
    <w:p w:rsidR="005716B0" w:rsidRPr="00B97B27" w:rsidRDefault="005716B0" w:rsidP="00E05D08">
      <w:pPr>
        <w:pStyle w:val="FootnoteText"/>
      </w:pPr>
      <w:r>
        <w:rPr>
          <w:rStyle w:val="FootnoteReference"/>
          <w:rFonts w:cs="Arial"/>
        </w:rPr>
        <w:footnoteRef/>
      </w:r>
      <w:r>
        <w:t xml:space="preserve"> </w:t>
      </w:r>
      <w:r>
        <w:t>Článek 68 nařízení (EU) č. 1305/2013.</w:t>
      </w:r>
    </w:p>
  </w:footnote>
  <w:footnote w:id="4">
    <w:p w:rsidR="005716B0" w:rsidRDefault="005716B0" w:rsidP="00B06B9C">
      <w:pPr>
        <w:pStyle w:val="FootnoteText"/>
      </w:pPr>
      <w:r>
        <w:rPr>
          <w:rStyle w:val="FootnoteReference"/>
        </w:rPr>
        <w:footnoteRef/>
      </w:r>
      <w:r>
        <w:t xml:space="preserve"> </w:t>
      </w:r>
      <w:r>
        <w:rPr>
          <w:rStyle w:val="FootnoteReference"/>
          <w:sz w:val="12"/>
          <w:szCs w:val="12"/>
        </w:rPr>
        <w:footnoteRef/>
      </w:r>
      <w:r>
        <w:t xml:space="preserve"> </w:t>
      </w:r>
      <w:r>
        <w:t>Pokyny pro programování inovací a provádění evropského inovačního programu v oblasti zemědělské produktivity a udržitelnosti</w:t>
      </w:r>
      <w:r>
        <w:cr/>
      </w:r>
      <w:r>
        <w:rPr>
          <w:rStyle w:val="Hyperlink"/>
        </w:rPr>
        <w:t>https://ec.europa.eu/eip/agriculture/sites/agri-eip/files/pb_guidelines_eip_implementation_2014_en.pdf</w:t>
      </w:r>
    </w:p>
    <w:p w:rsidR="005716B0" w:rsidRDefault="005716B0">
      <w:pPr>
        <w:pStyle w:val="FootnoteText"/>
      </w:pPr>
    </w:p>
  </w:footnote>
  <w:footnote w:id="5">
    <w:p w:rsidR="005716B0" w:rsidRPr="00DC008D" w:rsidRDefault="005716B0" w:rsidP="00F74459">
      <w:pPr>
        <w:pStyle w:val="FootnoteText"/>
        <w:rPr>
          <w:rFonts w:eastAsia="Calibri"/>
        </w:rPr>
      </w:pPr>
      <w:r>
        <w:rPr>
          <w:rStyle w:val="FootnoteReference"/>
        </w:rPr>
        <w:footnoteRef/>
      </w:r>
      <w:r>
        <w:t xml:space="preserve"> </w:t>
      </w:r>
      <w:r>
        <w:t>Pokyny pro programování inovací a provádění evropského inovačního programu v oblasti zemědělské produktivity a udržitelnosti</w:t>
      </w:r>
      <w:r>
        <w:cr/>
      </w:r>
      <w:hyperlink r:id="rId1" w:history="1">
        <w:r>
          <w:rPr>
            <w:rStyle w:val="Hyperlink"/>
          </w:rPr>
          <w:t>https://ec.europa.eu/eip/agriculture/sites/agri-eip/files/pb_guidelines_eip_implementation_2014_en.pdf</w:t>
        </w:r>
      </w:hyperlink>
    </w:p>
  </w:footnote>
  <w:footnote w:id="6">
    <w:p w:rsidR="005716B0" w:rsidRPr="008F676D" w:rsidRDefault="005716B0" w:rsidP="00F74459">
      <w:pPr>
        <w:pStyle w:val="FootnoteText"/>
      </w:pPr>
      <w:r>
        <w:rPr>
          <w:rStyle w:val="FootnoteReference"/>
        </w:rPr>
        <w:footnoteRef/>
      </w:r>
      <w:r>
        <w:t xml:space="preserve"> </w:t>
      </w:r>
      <w:r>
        <w:t>Program Horizont 2020 důrazně podporuje koncepci přístupu k výzkumu založenému na více aktérech, který umožňuje, aby se zemědělci, poradci a další odborníci z praxe v partnerstvích s výzkumnými pracovníky podíleli na tvorbě řešení nebo na rozvíjení inovačních příležitostí s cílem zaměřit výzkum a inovace na potřeby zemědělské praxe, viz pracovní program programu Horizont 2020 na období 2018–2020, s. 8–9 o požadavcích na projekty s více aktéry (</w:t>
      </w:r>
      <w:hyperlink r:id="rId2" w:history="1">
        <w:r>
          <w:rPr>
            <w:rStyle w:val="Hyperlink"/>
          </w:rPr>
          <w:t>http://ec.europa.eu/research/participants/data/ref/h2020/wp/2018-2020/main/h2020-wp1820-food_en.pdf</w:t>
        </w:r>
      </w:hyperlink>
      <w:r>
        <w:t xml:space="preserve"> ) a brožura EIP o přístupu založeném na více aktérech (</w:t>
      </w:r>
      <w:hyperlink r:id="rId3" w:history="1">
        <w:r>
          <w:rPr>
            <w:rStyle w:val="Hyperlink"/>
          </w:rPr>
          <w:t>https://ec.europa.eu/eip/agriculture/sites/agri-eip/files/eip-agri_brochure_multi-actor_projects_2017_en_web.pdf</w:t>
        </w:r>
      </w:hyperlink>
      <w:r>
        <w:t>).</w:t>
      </w:r>
    </w:p>
  </w:footnote>
  <w:footnote w:id="7">
    <w:p w:rsidR="005716B0" w:rsidRDefault="005716B0" w:rsidP="00F74459">
      <w:pPr>
        <w:pStyle w:val="FootnoteText"/>
      </w:pPr>
      <w:r>
        <w:rPr>
          <w:rStyle w:val="FootnoteReference"/>
        </w:rPr>
        <w:footnoteRef/>
      </w:r>
      <w:r>
        <w:t xml:space="preserve"> </w:t>
      </w:r>
      <w:r>
        <w:t>Zprávy stálého výboru pro zemědělský výzkum (SCAR) strategické pracovní skupiny (SWG) o znalostních a inovačních systémech v zemědělství (AKIS):</w:t>
      </w:r>
    </w:p>
    <w:p w:rsidR="005716B0" w:rsidRDefault="005716B0" w:rsidP="00F74459">
      <w:pPr>
        <w:pStyle w:val="FootnoteText"/>
      </w:pPr>
      <w:r>
        <w:t>– Znalostní a inovační systémy v zemědělství do roku 2020 – pracovní dokument o propojení inovací a výzkumu</w:t>
      </w:r>
    </w:p>
    <w:p w:rsidR="005716B0" w:rsidRDefault="005716B0" w:rsidP="00F74459">
      <w:pPr>
        <w:pStyle w:val="FootnoteText"/>
      </w:pPr>
      <w:hyperlink r:id="rId4" w:history="1">
        <w:r>
          <w:rPr>
            <w:rStyle w:val="Hyperlink"/>
          </w:rPr>
          <w:t xml:space="preserve">http://www.gppq.fct.pt/h2020/_docs/brochuras/bioeco/agricultural-knowledge-innovation-systems-towards-2020_en.pdf </w:t>
        </w:r>
      </w:hyperlink>
      <w:r>
        <w:t>(o vybudování přístupu založeného na více aktérech)</w:t>
      </w:r>
    </w:p>
    <w:p w:rsidR="005716B0" w:rsidRPr="009C39EE" w:rsidRDefault="005716B0" w:rsidP="00F74459">
      <w:pPr>
        <w:pStyle w:val="FootnoteText"/>
      </w:pPr>
      <w:r>
        <w:t xml:space="preserve">– Znalostní a inovační systémy v zemědělství v budoucnu – Prognostický dokument,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5716B0" w:rsidRPr="00B13D00" w:rsidRDefault="005716B0" w:rsidP="00F74459">
      <w:pPr>
        <w:pStyle w:val="FootnoteText"/>
      </w:pPr>
      <w:r>
        <w:rPr>
          <w:rStyle w:val="FootnoteReference"/>
          <w:color w:val="373737"/>
        </w:rPr>
        <w:footnoteRef/>
      </w:r>
      <w:r>
        <w:t xml:space="preserve"> </w:t>
      </w:r>
      <w:r>
        <w:t xml:space="preserve">Schot a Geels (2008), více o sociálně-technických nikách. </w:t>
      </w:r>
    </w:p>
  </w:footnote>
  <w:footnote w:id="9">
    <w:p w:rsidR="005716B0" w:rsidRPr="00F74459" w:rsidRDefault="005716B0" w:rsidP="00F74459">
      <w:pPr>
        <w:pStyle w:val="FootnoteText"/>
      </w:pPr>
      <w:r>
        <w:rPr>
          <w:szCs w:val="16"/>
          <w:vertAlign w:val="superscript"/>
          <w:lang w:val="en-IE"/>
        </w:rPr>
        <w:footnoteRef/>
      </w:r>
      <w:r>
        <w:t xml:space="preserve"> </w:t>
      </w:r>
      <w:r>
        <w:t xml:space="preserve">Evropská síť pro rozvoj venkova (2013). </w:t>
      </w:r>
      <w:r>
        <w:t>Towards Successful Innovation Brokerage: Insights for the 2007-2013 Rural Development Programmes (Na cestě k úspěšnému zprostředkování inovací: poznatky z programů rozvoje venkova 2007–2013) a Leeuwis C, Schut M, Waters-Bayer A, Mur R, Atta-Krah K a Douthwaite B. 2014. Capacity to innovate from a system CGIAR research program perspective (Inovativní schopnosti z perspektivy výzkumného programu systému CGIAR). Penang, Malaysia: CGIAR Research Program on Aquatic Agricultural Systems (Výzkumný program CGIAR týkající se vodních zemědělských systémů). Označení programu: AAS-2014-29.</w:t>
      </w:r>
    </w:p>
  </w:footnote>
  <w:footnote w:id="10">
    <w:p w:rsidR="005716B0" w:rsidRPr="00F74459" w:rsidRDefault="005716B0" w:rsidP="00F74459">
      <w:pPr>
        <w:pStyle w:val="FootnoteText"/>
      </w:pPr>
      <w:r>
        <w:rPr>
          <w:szCs w:val="16"/>
          <w:vertAlign w:val="superscript"/>
          <w:lang w:val="en-IE"/>
        </w:rPr>
        <w:footnoteRef/>
      </w:r>
      <w:r>
        <w:t xml:space="preserve"> </w:t>
      </w:r>
      <w:r>
        <w:t>Evropská síť pro rozvoj venkova (2013) označuje zprostředkování v oblasti inovací za klíčovou schopnost systému, a sice přítomnost (a činnost) těch aktérů, kteří usilují o změnu a jsou kreativní, aktivní, motivovaní, nestranní, transparentní a mají cit pro inovace.</w:t>
      </w:r>
    </w:p>
  </w:footnote>
  <w:footnote w:id="11">
    <w:p w:rsidR="005716B0" w:rsidRDefault="005716B0" w:rsidP="00F74459">
      <w:pPr>
        <w:pStyle w:val="FootnoteText"/>
      </w:pPr>
      <w:r>
        <w:rPr>
          <w:szCs w:val="16"/>
          <w:vertAlign w:val="superscript"/>
          <w:lang w:val="en-IE"/>
        </w:rPr>
        <w:footnoteRef/>
      </w:r>
      <w:r>
        <w:t xml:space="preserve"> </w:t>
      </w:r>
      <w:r>
        <w:t>Douthwaite a Hoffecker (připravuje se) a Nemes a Augustyn (2017).</w:t>
      </w:r>
    </w:p>
  </w:footnote>
  <w:footnote w:id="12">
    <w:p w:rsidR="005716B0" w:rsidRPr="00B13D00" w:rsidRDefault="005716B0" w:rsidP="00E05D08">
      <w:pPr>
        <w:pStyle w:val="FootnoteText"/>
      </w:pPr>
      <w:r>
        <w:rPr>
          <w:vertAlign w:val="superscript"/>
        </w:rPr>
        <w:footnoteRef/>
      </w:r>
      <w:r>
        <w:t xml:space="preserve"> </w:t>
      </w:r>
      <w:r>
        <w:t xml:space="preserve">Evropská síť pro rozvoj venkova (2013). </w:t>
      </w:r>
      <w:r>
        <w:t>Towards Successful Innovation Brokerage: Insights for the 2007-2013 Rural Development Programmes (Na cestě k úspěšnému zprostředkování inovací: poznatky  z programů rozvoje venkova 2007–2013).</w:t>
      </w:r>
    </w:p>
  </w:footnote>
  <w:footnote w:id="13">
    <w:p w:rsidR="005716B0" w:rsidRDefault="005716B0">
      <w:pPr>
        <w:pStyle w:val="FootnoteText"/>
      </w:pPr>
      <w:r>
        <w:rPr>
          <w:rStyle w:val="FootnoteReference"/>
        </w:rPr>
        <w:footnoteRef/>
      </w:r>
      <w:r>
        <w:t xml:space="preserve"> </w:t>
      </w:r>
      <w:r>
        <w:t xml:space="preserve">EIP AGRI (2016). Pracovní setkání na téma Města a potraviny: spojit spotřebitele s producenty. K dispozici na: </w:t>
      </w:r>
      <w:hyperlink r:id="rId6" w:history="1">
        <w:r>
          <w:rPr>
            <w:rStyle w:val="Hyperlink"/>
          </w:rPr>
          <w:t>https://ec.europa.eu/eip/agriculture/sites/agri-eip/files/eip-agri_factsheet_cities_and_food_en_web.pdf</w:t>
        </w:r>
      </w:hyperlink>
    </w:p>
  </w:footnote>
  <w:footnote w:id="14">
    <w:p w:rsidR="005716B0" w:rsidRPr="00B13D00" w:rsidRDefault="005716B0" w:rsidP="00E05D08">
      <w:pPr>
        <w:pStyle w:val="FootnoteText"/>
      </w:pPr>
      <w:r>
        <w:rPr>
          <w:rStyle w:val="FootnoteReference"/>
        </w:rPr>
        <w:footnoteRef/>
      </w:r>
      <w:r>
        <w:t xml:space="preserve"> </w:t>
      </w:r>
      <w:r>
        <w:t>Senge, P. M., &amp; Sterman, J. D. (1992). Systems thinking and organisational learning: Acting locally and thinking globally in the organisation of the future (Systémově myslet a učit se organizaci: místní působení a globální myšlení při organizaci budoucnosti). European journal of operational research, 59(1), 137-150.</w:t>
      </w:r>
    </w:p>
  </w:footnote>
  <w:footnote w:id="15">
    <w:p w:rsidR="005716B0" w:rsidRPr="00554BBB" w:rsidRDefault="005716B0" w:rsidP="00E05D08">
      <w:pPr>
        <w:pStyle w:val="FootnoteText"/>
      </w:pPr>
      <w:r>
        <w:rPr>
          <w:rStyle w:val="FootnoteReference"/>
        </w:rPr>
        <w:footnoteRef/>
      </w:r>
      <w:r>
        <w:rPr>
          <w:rFonts w:asciiTheme="minorHAnsi" w:hAnsiTheme="minorHAnsi"/>
          <w:color w:val="auto"/>
          <w:sz w:val="22"/>
          <w:szCs w:val="22"/>
        </w:rPr>
        <w:t xml:space="preserve"> </w:t>
      </w:r>
      <w:r>
        <w:t xml:space="preserve">Pawson, </w:t>
      </w:r>
      <w:r>
        <w:t xml:space="preserve">R. (2013). </w:t>
      </w:r>
      <w:r>
        <w:rPr>
          <w:i/>
          <w:iCs/>
        </w:rPr>
        <w:t>The science of evaluation: A realist manifesto</w:t>
      </w:r>
      <w:r>
        <w:t xml:space="preserve"> </w:t>
      </w:r>
      <w:r>
        <w:rPr>
          <w:i/>
        </w:rPr>
        <w:t>(Nauka o hodnocení: realistův manifest).</w:t>
      </w:r>
      <w:r>
        <w:t xml:space="preserve"> London, UK: Sage Publications.</w:t>
      </w:r>
    </w:p>
  </w:footnote>
  <w:footnote w:id="16">
    <w:p w:rsidR="005716B0" w:rsidRPr="00B13D00" w:rsidRDefault="005716B0" w:rsidP="00E05D08">
      <w:pPr>
        <w:pStyle w:val="FootnoteText"/>
      </w:pPr>
      <w:r>
        <w:rPr>
          <w:rStyle w:val="FootnoteReference"/>
        </w:rPr>
        <w:footnoteRef/>
      </w:r>
      <w:r>
        <w:t xml:space="preserve"> </w:t>
      </w:r>
      <w:r>
        <w:t>Horizont 2020 je největší program EU v oblasti výzkumu a inovací, jehož cílem je propojit výzkum a inovace ve všech odvětvích včetně zemědělství a lesnictví jako jeden z prostředků k dosažení inteligentního a udržitelného růstu podporujícího začlenění a vytváření pracovních míst. K zemědělskému výzkumu a inovacím mohou přispívat i mnohé další politiky, které se zaměřují na inovace a rozvoj dovedností (politika soudržnosti, programy COSME, ERASMUS, LIFE+).</w:t>
      </w:r>
    </w:p>
  </w:footnote>
  <w:footnote w:id="17">
    <w:p w:rsidR="005716B0" w:rsidRPr="00B13D00" w:rsidRDefault="005716B0" w:rsidP="00E05D08">
      <w:pPr>
        <w:pStyle w:val="FootnoteText"/>
      </w:pPr>
      <w:r>
        <w:rPr>
          <w:rStyle w:val="FootnoteReference"/>
          <w:rFonts w:cs="Helvetica"/>
          <w:szCs w:val="16"/>
        </w:rPr>
        <w:footnoteRef/>
      </w:r>
      <w:r>
        <w:t xml:space="preserve"> </w:t>
      </w:r>
      <w:r>
        <w:t>Jejém cílem je řešit důležité společenské problémy, jako je změna klimatu a účinné využívání zdrojů, a posilovat články inovačního řetězce (</w:t>
      </w:r>
      <w:hyperlink r:id="rId7" w:history="1">
        <w:r>
          <w:rPr>
            <w:rStyle w:val="Hyperlink"/>
          </w:rPr>
          <w:t>http://ec.europa.eu/europe2020/europe-2020-in-a-nutshell/flagship-initiatives/index_en.htm</w:t>
        </w:r>
      </w:hyperlink>
      <w:r>
        <w:t xml:space="preserve">) </w:t>
      </w:r>
    </w:p>
  </w:footnote>
  <w:footnote w:id="18">
    <w:p w:rsidR="005716B0" w:rsidRPr="00275EE5" w:rsidRDefault="005716B0"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5716B0" w:rsidRPr="00B13D00" w:rsidRDefault="005716B0" w:rsidP="00E05D08">
      <w:pPr>
        <w:pStyle w:val="FootnoteText"/>
      </w:pPr>
      <w:r>
        <w:rPr>
          <w:rStyle w:val="FootnoteReference"/>
        </w:rPr>
        <w:footnoteRef/>
      </w:r>
      <w:r>
        <w:t xml:space="preserve"> </w:t>
      </w:r>
      <w:r>
        <w:t>Článek 5 nařízení (EU) č. 1305/2013.</w:t>
      </w:r>
    </w:p>
  </w:footnote>
  <w:footnote w:id="20">
    <w:p w:rsidR="005716B0" w:rsidRPr="00171202" w:rsidRDefault="005716B0" w:rsidP="00E05D08">
      <w:pPr>
        <w:pStyle w:val="FootnoteText"/>
      </w:pPr>
      <w:r>
        <w:rPr>
          <w:rStyle w:val="FootnoteReference"/>
        </w:rPr>
        <w:footnoteRef/>
      </w:r>
      <w:r>
        <w:t xml:space="preserve"> </w:t>
      </w:r>
      <w:r>
        <w:t>Čl. 8 odst. 1 písm. c) bod v) nařízení (EU) č. 1305/2013.</w:t>
      </w:r>
    </w:p>
  </w:footnote>
  <w:footnote w:id="21">
    <w:p w:rsidR="005716B0" w:rsidRPr="00171202" w:rsidRDefault="005716B0" w:rsidP="00E05D08">
      <w:pPr>
        <w:pStyle w:val="FootnoteText"/>
      </w:pPr>
      <w:r>
        <w:rPr>
          <w:rStyle w:val="FootnoteReference"/>
          <w:i/>
        </w:rPr>
        <w:footnoteRef/>
      </w:r>
      <w:r>
        <w:t xml:space="preserve"> </w:t>
      </w:r>
      <w:r>
        <w:t>Čl. 8 odst. 1 písm. b) nařízení (EU) č. 1305/2013.</w:t>
      </w:r>
    </w:p>
  </w:footnote>
  <w:footnote w:id="22">
    <w:p w:rsidR="005716B0" w:rsidRPr="00171202" w:rsidRDefault="005716B0" w:rsidP="00E05D08">
      <w:pPr>
        <w:pStyle w:val="FootnoteText"/>
      </w:pPr>
      <w:r>
        <w:rPr>
          <w:rStyle w:val="FootnoteReference"/>
          <w:i/>
        </w:rPr>
        <w:footnoteRef/>
      </w:r>
      <w:r>
        <w:t xml:space="preserve"> </w:t>
      </w:r>
      <w:r>
        <w:t>Článek 5 nařízení (EU) č. 1305/2013.</w:t>
      </w:r>
    </w:p>
  </w:footnote>
  <w:footnote w:id="23">
    <w:p w:rsidR="005716B0" w:rsidRPr="00D461AB" w:rsidRDefault="005716B0" w:rsidP="00D461AB">
      <w:pPr>
        <w:pStyle w:val="FootnoteText"/>
      </w:pPr>
      <w:r>
        <w:rPr>
          <w:rStyle w:val="FootnoteReference"/>
        </w:rPr>
        <w:footnoteRef/>
      </w:r>
      <w:r>
        <w:t xml:space="preserve"> </w:t>
      </w:r>
      <w:r>
        <w:t>Pokyny pro programování inovací a provádění EIP v oblasti zemědělské produktivity a udržitelnosti, oddíl 8.2, s. 13.</w:t>
      </w:r>
    </w:p>
  </w:footnote>
  <w:footnote w:id="24">
    <w:p w:rsidR="005716B0" w:rsidRPr="00171202" w:rsidRDefault="005716B0" w:rsidP="00E05D08">
      <w:pPr>
        <w:pStyle w:val="FootnoteText"/>
      </w:pPr>
      <w:r>
        <w:rPr>
          <w:rStyle w:val="FootnoteReference"/>
        </w:rPr>
        <w:footnoteRef/>
      </w:r>
      <w:r>
        <w:t xml:space="preserve"> </w:t>
      </w:r>
      <w:r>
        <w:t>Nařízení (EU) č. 1303/2013, část 5 přílohy I nařízení (EU) č. 808/2014 a Pokyny pro programování inovací a provádění EIP v oblasti zemědělské produktivity a udržitelnosti (2014, s. 10).</w:t>
      </w:r>
    </w:p>
  </w:footnote>
  <w:footnote w:id="25">
    <w:p w:rsidR="005716B0" w:rsidRPr="00171202" w:rsidRDefault="005716B0" w:rsidP="00E05D08">
      <w:pPr>
        <w:pStyle w:val="FootnoteText"/>
      </w:pPr>
      <w:r>
        <w:rPr>
          <w:rStyle w:val="FootnoteReference"/>
        </w:rPr>
        <w:footnoteRef/>
      </w:r>
      <w:r>
        <w:t xml:space="preserve"> </w:t>
      </w:r>
      <w:r>
        <w:t>Článek  27 nařízení (EU) č. 1303/2013 a část 5 přílohy I nařízení (EU) č. 808/2014.</w:t>
      </w:r>
    </w:p>
  </w:footnote>
  <w:footnote w:id="26">
    <w:p w:rsidR="005716B0" w:rsidRPr="00171202" w:rsidRDefault="005716B0" w:rsidP="00E05D08">
      <w:pPr>
        <w:pStyle w:val="FootnoteText"/>
      </w:pPr>
      <w:r>
        <w:rPr>
          <w:rStyle w:val="FootnoteReference"/>
        </w:rPr>
        <w:footnoteRef/>
      </w:r>
      <w:r>
        <w:t xml:space="preserve"> </w:t>
      </w:r>
      <w:r>
        <w:t>Články 32 až 34 nařízení (EU) č. 1303/2013 a část 5 přílohy I nařízení (EU) č. 808/2014.</w:t>
      </w:r>
    </w:p>
  </w:footnote>
  <w:footnote w:id="27">
    <w:p w:rsidR="005716B0" w:rsidRPr="00171202" w:rsidRDefault="005716B0" w:rsidP="00E05D08">
      <w:pPr>
        <w:pStyle w:val="FootnoteText"/>
      </w:pPr>
      <w:r>
        <w:rPr>
          <w:rStyle w:val="FootnoteReference"/>
        </w:rPr>
        <w:footnoteRef/>
      </w:r>
      <w:r>
        <w:t xml:space="preserve"> </w:t>
      </w:r>
      <w:r>
        <w:t>Článek 53 nařízení (EU) č. 1305/2013.</w:t>
      </w:r>
    </w:p>
  </w:footnote>
  <w:footnote w:id="28">
    <w:p w:rsidR="005716B0" w:rsidRPr="00171202" w:rsidRDefault="005716B0" w:rsidP="00E05D08">
      <w:pPr>
        <w:pStyle w:val="FootnoteText"/>
      </w:pPr>
      <w:r>
        <w:rPr>
          <w:rStyle w:val="FootnoteReference"/>
        </w:rPr>
        <w:footnoteRef/>
      </w:r>
      <w:r>
        <w:t xml:space="preserve"> </w:t>
      </w:r>
      <w:r>
        <w:t>Čl. 54 odst. 2 písm. d) nařízení (EU) č. 1305/2013.</w:t>
      </w:r>
    </w:p>
  </w:footnote>
  <w:footnote w:id="29">
    <w:p w:rsidR="005716B0" w:rsidRPr="00171202" w:rsidRDefault="005716B0" w:rsidP="00E05D08">
      <w:pPr>
        <w:pStyle w:val="FootnoteText"/>
      </w:pPr>
      <w:r>
        <w:rPr>
          <w:rStyle w:val="FootnoteReference"/>
        </w:rPr>
        <w:footnoteRef/>
      </w:r>
      <w:r>
        <w:t xml:space="preserve"> </w:t>
      </w:r>
      <w:r>
        <w:t>Pokyny pro programování inovací a provádění EIP v oblasti zemědělské produktivity a udržitelnosti (2014, s. 13).</w:t>
      </w:r>
    </w:p>
  </w:footnote>
  <w:footnote w:id="30">
    <w:p w:rsidR="005716B0" w:rsidRPr="00171202" w:rsidRDefault="005716B0" w:rsidP="00E05D08">
      <w:pPr>
        <w:pStyle w:val="FootnoteText"/>
      </w:pPr>
      <w:r>
        <w:rPr>
          <w:rStyle w:val="FootnoteReference"/>
        </w:rPr>
        <w:footnoteRef/>
      </w:r>
      <w:r>
        <w:t xml:space="preserve"> </w:t>
      </w:r>
      <w:r>
        <w:t>Čl.  54 odst. 3 písm. </w:t>
      </w:r>
      <w:r>
        <w:t>b) bod iv) nařízení (EU) č. 1305/2013.</w:t>
      </w:r>
    </w:p>
  </w:footnote>
  <w:footnote w:id="31">
    <w:p w:rsidR="005716B0" w:rsidRPr="00171202" w:rsidRDefault="005716B0" w:rsidP="00E05D08">
      <w:pPr>
        <w:pStyle w:val="FootnoteText"/>
      </w:pPr>
      <w:r>
        <w:rPr>
          <w:rStyle w:val="FootnoteReference"/>
        </w:rPr>
        <w:footnoteRef/>
      </w:r>
      <w:r>
        <w:t xml:space="preserve"> </w:t>
      </w:r>
      <w:r>
        <w:t xml:space="preserve">Bod </w:t>
      </w:r>
      <w:r>
        <w:t>9 podbod 3 písm. a) část 1 přílohy I nařízení (EU) č. 808/2014.</w:t>
      </w:r>
    </w:p>
  </w:footnote>
  <w:footnote w:id="32">
    <w:p w:rsidR="005716B0" w:rsidRPr="00171202" w:rsidRDefault="005716B0" w:rsidP="00E05D08">
      <w:pPr>
        <w:pStyle w:val="FootnoteText"/>
      </w:pPr>
      <w:r>
        <w:rPr>
          <w:rStyle w:val="FootnoteReference"/>
        </w:rPr>
        <w:footnoteRef/>
      </w:r>
      <w:r>
        <w:t xml:space="preserve"> </w:t>
      </w:r>
      <w:r>
        <w:t>Bod 2 přílohy VII nařízení (EU) č. 808/2014.</w:t>
      </w:r>
    </w:p>
  </w:footnote>
  <w:footnote w:id="33">
    <w:p w:rsidR="005716B0" w:rsidRPr="005F1B3E" w:rsidRDefault="005716B0" w:rsidP="00E05D08">
      <w:pPr>
        <w:pStyle w:val="FootnoteText"/>
      </w:pPr>
      <w:r>
        <w:rPr>
          <w:rStyle w:val="FootnoteReference"/>
        </w:rPr>
        <w:footnoteRef/>
      </w:r>
      <w:r>
        <w:t xml:space="preserve"> </w:t>
      </w:r>
      <w:r>
        <w:t>Příloha IV nařízení (EU) č. 808/2014.</w:t>
      </w:r>
    </w:p>
  </w:footnote>
  <w:footnote w:id="34">
    <w:p w:rsidR="005716B0" w:rsidRPr="00E14E11" w:rsidRDefault="005716B0" w:rsidP="00E05D08">
      <w:pPr>
        <w:pStyle w:val="FootnoteText"/>
      </w:pPr>
      <w:r>
        <w:rPr>
          <w:rStyle w:val="FootnoteReference"/>
        </w:rPr>
        <w:footnoteRef/>
      </w:r>
      <w:r>
        <w:t>Viz seminář EIP o znalostních systémech a interaktivních inovacích:</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5716B0" w:rsidRPr="008F676D" w:rsidRDefault="005716B0" w:rsidP="00E05D08">
      <w:pPr>
        <w:pStyle w:val="FootnoteText"/>
      </w:pPr>
      <w:r>
        <w:rPr>
          <w:rStyle w:val="FootnoteReference"/>
        </w:rPr>
        <w:footnoteRef/>
      </w:r>
      <w:r>
        <w:t xml:space="preserve"> </w:t>
      </w:r>
      <w:r>
        <w:t xml:space="preserve">Více informací je uvedeno v pokynech: Posuzování výsledků PRV: jak se připravit na podávání zpráv o hodnocení v roce 2017, </w:t>
      </w:r>
      <w:hyperlink r:id="rId10" w:history="1">
        <w:r>
          <w:rPr>
            <w:rStyle w:val="Hyperlink"/>
          </w:rPr>
          <w:t>https://enrd.ec.europa.eu/evaluation/publications/guidelines-assessment-rdp-results-how-prepare-reporting-evaluation-2017_en</w:t>
        </w:r>
      </w:hyperlink>
    </w:p>
  </w:footnote>
  <w:footnote w:id="36">
    <w:p w:rsidR="005716B0" w:rsidRPr="00401F29" w:rsidRDefault="005716B0" w:rsidP="00E05D08">
      <w:pPr>
        <w:pStyle w:val="FootnoteText"/>
      </w:pPr>
      <w:r>
        <w:rPr>
          <w:rStyle w:val="FootnoteReference"/>
        </w:rPr>
        <w:footnoteRef/>
      </w:r>
      <w:r>
        <w:t xml:space="preserve"> </w:t>
      </w:r>
      <w:r>
        <w:t>Článek 66 nařízení (EU) č. 1305/2013 a článek 15 a příloha VII nařízení (EU) č. 808/2014.</w:t>
      </w:r>
    </w:p>
  </w:footnote>
  <w:footnote w:id="37">
    <w:p w:rsidR="005716B0" w:rsidRPr="00576A73" w:rsidRDefault="005716B0" w:rsidP="00804433">
      <w:pPr>
        <w:pStyle w:val="FootnoteText"/>
      </w:pPr>
      <w:r>
        <w:rPr>
          <w:rStyle w:val="FootnoteReference"/>
        </w:rPr>
        <w:footnoteRef/>
      </w:r>
      <w:r>
        <w:t xml:space="preserve"> </w:t>
      </w:r>
      <w:r>
        <w:t xml:space="preserve">Viz pokyny „Posuzování výsledků PRV: jak se připravit na podávání zpráv o hodnocení v roce 2017“, asistenční služba pro účely hodnocení, září 2016, </w:t>
      </w:r>
      <w:hyperlink r:id="rId11" w:history="1">
        <w:r>
          <w:rPr>
            <w:rStyle w:val="Hyperlink"/>
          </w:rPr>
          <w:t>https://enrd.ec.europa.eu/evaluation/publications/guidelines-assessment-rdp-results-how-prepare-reporting-evaluation-2017_en</w:t>
        </w:r>
      </w:hyperlink>
    </w:p>
  </w:footnote>
  <w:footnote w:id="38">
    <w:p w:rsidR="005716B0" w:rsidRPr="00626C0C" w:rsidRDefault="005716B0" w:rsidP="00583AC8">
      <w:pPr>
        <w:pStyle w:val="FootnoteText"/>
      </w:pPr>
      <w:r>
        <w:rPr>
          <w:rStyle w:val="FootnoteReference"/>
        </w:rPr>
        <w:footnoteRef/>
      </w:r>
      <w:r>
        <w:t xml:space="preserve"> </w:t>
      </w:r>
      <w:r>
        <w:t xml:space="preserve">Odkaz na švédský sekretariát pro hodnocení: </w:t>
      </w:r>
      <w:hyperlink r:id="rId12" w:history="1">
        <w:r>
          <w:rPr>
            <w:rStyle w:val="Hyperlink"/>
          </w:rPr>
          <w:t>https://www.jordbruksverket.se/utvardering</w:t>
        </w:r>
      </w:hyperlink>
    </w:p>
  </w:footnote>
  <w:footnote w:id="39">
    <w:p w:rsidR="005716B0" w:rsidRPr="00171202" w:rsidRDefault="005716B0" w:rsidP="00804433">
      <w:pPr>
        <w:pStyle w:val="FootnoteText"/>
      </w:pPr>
      <w:r>
        <w:rPr>
          <w:rStyle w:val="FootnoteReference"/>
        </w:rPr>
        <w:footnoteRef/>
      </w:r>
      <w:r>
        <w:t xml:space="preserve"> </w:t>
      </w:r>
      <w:r>
        <w:t>Bod 7 přílohy VII nařízení (EU) č. 808/2014.</w:t>
      </w:r>
    </w:p>
  </w:footnote>
  <w:footnote w:id="40">
    <w:p w:rsidR="005716B0" w:rsidRPr="00171202" w:rsidRDefault="005716B0" w:rsidP="00804433">
      <w:pPr>
        <w:pStyle w:val="FootnoteText"/>
      </w:pPr>
      <w:r>
        <w:rPr>
          <w:rStyle w:val="FootnoteReference"/>
        </w:rPr>
        <w:footnoteRef/>
      </w:r>
      <w:r>
        <w:t xml:space="preserve"> </w:t>
      </w:r>
      <w:r>
        <w:t>Body 2, 3 a 4 přílohy IV nařízení (EU) č. 808/2014.</w:t>
      </w:r>
    </w:p>
  </w:footnote>
  <w:footnote w:id="41">
    <w:p w:rsidR="005716B0" w:rsidRPr="00171202" w:rsidRDefault="005716B0" w:rsidP="00E05D08">
      <w:pPr>
        <w:pStyle w:val="FootnoteText"/>
      </w:pPr>
      <w:r>
        <w:rPr>
          <w:rStyle w:val="FootnoteReference"/>
        </w:rPr>
        <w:footnoteRef/>
      </w:r>
      <w:r>
        <w:t xml:space="preserve"> </w:t>
      </w:r>
      <w:r>
        <w:t>Hodnotící kritéria jsou uvedena v pracovním dokumentu: Společné hodnotící otázky pro programy rozvoje venkova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5716B0" w:rsidRPr="00171202" w:rsidRDefault="005716B0" w:rsidP="00E05D08">
      <w:pPr>
        <w:pStyle w:val="FootnoteText"/>
      </w:pPr>
      <w:r>
        <w:rPr>
          <w:rStyle w:val="FootnoteReference"/>
        </w:rPr>
        <w:footnoteRef/>
      </w:r>
      <w:r>
        <w:t xml:space="preserve"> </w:t>
      </w:r>
      <w:r>
        <w:t>Příloha IV nařízení (EU) č. 808/2014.</w:t>
      </w:r>
    </w:p>
  </w:footnote>
  <w:footnote w:id="43">
    <w:p w:rsidR="005716B0" w:rsidRPr="00091F73" w:rsidRDefault="005716B0" w:rsidP="00E05D08">
      <w:pPr>
        <w:pStyle w:val="FootnoteText"/>
      </w:pPr>
      <w:r>
        <w:rPr>
          <w:rStyle w:val="FootnoteReference"/>
        </w:rPr>
        <w:footnoteRef/>
      </w:r>
      <w:r>
        <w:t xml:space="preserve"> </w:t>
      </w:r>
      <w:r>
        <w:t xml:space="preserve">Dodatečná hodnotící kritéria kromě těch, jež jsou popsána v pracovním dokumentu: Společné hodnotící otázky pro programy rozvoje venkova 2014–2020, jsou vypracovávána v členských státech. </w:t>
      </w:r>
    </w:p>
  </w:footnote>
  <w:footnote w:id="44">
    <w:p w:rsidR="005716B0" w:rsidRPr="00091F73" w:rsidRDefault="005716B0" w:rsidP="00E05D08">
      <w:pPr>
        <w:pStyle w:val="FootnoteText"/>
      </w:pPr>
      <w:r>
        <w:rPr>
          <w:rStyle w:val="FootnoteReference"/>
        </w:rPr>
        <w:footnoteRef/>
      </w:r>
      <w:r>
        <w:t xml:space="preserve"> </w:t>
      </w:r>
      <w:r>
        <w:t xml:space="preserve">Dodatečné ukazatele jsou ukazatele vypracované v členských státech kromě společných ukazatelů, pokud společné ukazatele nepostačují k zodpovězení hodnotících otázek, jež jsou uvedeny u hodnotících kritérií. Pro více informací viz pokyny: Posuzování výsledků PRV: jak se připravit na podávání zpráv o hodnocení v roce 2017, </w:t>
      </w:r>
      <w:hyperlink r:id="rId14" w:history="1">
        <w:r>
          <w:rPr>
            <w:rStyle w:val="Hyperlink"/>
          </w:rPr>
          <w:t>https://enrd.ec.europa.eu/evaluation/publications/guidelines-assessment-rdp-results-how-prepare-reporting-evaluation-2017_en</w:t>
        </w:r>
      </w:hyperlink>
    </w:p>
    <w:p w:rsidR="005716B0" w:rsidRPr="00091F73" w:rsidRDefault="005716B0" w:rsidP="00F74459">
      <w:pPr>
        <w:pStyle w:val="FootnoteText"/>
        <w:rPr>
          <w:lang w:val="sk-SK"/>
        </w:rPr>
      </w:pPr>
    </w:p>
  </w:footnote>
  <w:footnote w:id="45">
    <w:p w:rsidR="005716B0" w:rsidRPr="00576A73" w:rsidRDefault="005716B0" w:rsidP="00942266">
      <w:pPr>
        <w:pStyle w:val="FootnoteText"/>
        <w:rPr>
          <w:sz w:val="12"/>
          <w:szCs w:val="12"/>
        </w:rPr>
      </w:pPr>
      <w:r>
        <w:rPr>
          <w:rStyle w:val="FootnoteReference"/>
        </w:rPr>
        <w:footnoteRef/>
      </w:r>
      <w:r>
        <w:t xml:space="preserve"> </w:t>
      </w:r>
      <w:r>
        <w:t>Čl. 15 odst. 4 písm. a) až g).</w:t>
      </w:r>
    </w:p>
    <w:p w:rsidR="005716B0" w:rsidRDefault="005716B0">
      <w:pPr>
        <w:pStyle w:val="FootnoteText"/>
      </w:pPr>
    </w:p>
  </w:footnote>
  <w:footnote w:id="46">
    <w:p w:rsidR="005716B0" w:rsidRPr="00401F29" w:rsidRDefault="005716B0" w:rsidP="00E05D08">
      <w:pPr>
        <w:pStyle w:val="FootnoteText"/>
        <w:rPr>
          <w:rStyle w:val="Hyperlink"/>
        </w:rPr>
      </w:pPr>
      <w:r>
        <w:rPr>
          <w:rStyle w:val="FootnoteReference"/>
        </w:rPr>
        <w:footnoteRef/>
      </w:r>
      <w:r>
        <w:t xml:space="preserve"> </w:t>
      </w:r>
      <w:r>
        <w:t>Viz</w:t>
      </w:r>
      <w:r>
        <w:rPr>
          <w:rStyle w:val="Hyperlink"/>
        </w:rPr>
        <w:t xml:space="preserve"> </w:t>
      </w:r>
      <w:hyperlink r:id="rId15" w:history="1">
        <w:r>
          <w:rPr>
            <w:rStyle w:val="Hyperlink"/>
          </w:rPr>
          <w:t>http://ec.europa.eu/europe2020/targets/eu-targets/index_en.htm</w:t>
        </w:r>
      </w:hyperlink>
    </w:p>
  </w:footnote>
  <w:footnote w:id="47">
    <w:p w:rsidR="005716B0" w:rsidRPr="00401F29" w:rsidRDefault="005716B0" w:rsidP="00C3092C">
      <w:pPr>
        <w:pStyle w:val="FootnoteText"/>
      </w:pPr>
      <w:r>
        <w:rPr>
          <w:vertAlign w:val="superscript"/>
        </w:rPr>
        <w:footnoteRef/>
      </w:r>
      <w:r>
        <w:t xml:space="preserve"> </w:t>
      </w:r>
      <w:r>
        <w:t xml:space="preserve">PD: Společné hodnotící otázky pro programy rozvoje venkova 2014–2020, </w:t>
      </w:r>
      <w:hyperlink r:id="rId16" w:history="1">
        <w:r>
          <w:rPr>
            <w:rStyle w:val="Hyperlink"/>
          </w:rPr>
          <w:t>http://enrd.ec.europa.eu/evaluation/publications/working-document-common-evaluation-questions-rural-development-programmes_en</w:t>
        </w:r>
      </w:hyperlink>
    </w:p>
  </w:footnote>
  <w:footnote w:id="48">
    <w:p w:rsidR="005716B0" w:rsidRPr="00401F29" w:rsidRDefault="005716B0" w:rsidP="00E05D08">
      <w:pPr>
        <w:pStyle w:val="FootnoteText"/>
      </w:pPr>
      <w:r>
        <w:rPr>
          <w:rStyle w:val="FootnoteReference"/>
        </w:rPr>
        <w:footnoteRef/>
      </w:r>
      <w:r>
        <w:t xml:space="preserve"> </w:t>
      </w:r>
      <w:r>
        <w:t>Tyto články jsou v nařízení (EU) č. 1305/2013.</w:t>
      </w:r>
    </w:p>
  </w:footnote>
  <w:footnote w:id="49">
    <w:p w:rsidR="005716B0" w:rsidRPr="00401F29" w:rsidRDefault="005716B0" w:rsidP="00E05D08">
      <w:pPr>
        <w:pStyle w:val="FootnoteText"/>
      </w:pPr>
      <w:r>
        <w:rPr>
          <w:rStyle w:val="FootnoteReference"/>
        </w:rPr>
        <w:footnoteRef/>
      </w:r>
      <w:r>
        <w:t xml:space="preserve"> </w:t>
      </w:r>
      <w:r>
        <w:t>Čl. 15 odst. 4 písm. c) nařízení (EU) č. 1305/2013.</w:t>
      </w:r>
    </w:p>
  </w:footnote>
  <w:footnote w:id="50">
    <w:p w:rsidR="005716B0" w:rsidRPr="00401F29" w:rsidRDefault="005716B0" w:rsidP="00E05D08">
      <w:pPr>
        <w:pStyle w:val="FootnoteText"/>
      </w:pPr>
      <w:r>
        <w:rPr>
          <w:rStyle w:val="FootnoteReference"/>
        </w:rPr>
        <w:footnoteRef/>
      </w:r>
      <w:r>
        <w:t xml:space="preserve"> </w:t>
      </w:r>
      <w:r>
        <w:t>Článek 32 nařízení (EU) č. 1303/2013.</w:t>
      </w:r>
    </w:p>
  </w:footnote>
  <w:footnote w:id="51">
    <w:p w:rsidR="005716B0" w:rsidRPr="005716B0" w:rsidRDefault="005716B0">
      <w:pPr>
        <w:pStyle w:val="FootnoteText"/>
      </w:pPr>
      <w:r>
        <w:rPr>
          <w:rStyle w:val="FootnoteReference"/>
        </w:rPr>
        <w:footnoteRef/>
      </w:r>
      <w:r>
        <w:t xml:space="preserve"> </w:t>
      </w:r>
      <w:r>
        <w:t>Čl. 35 odst. 2 písm. b) nařízení (EU) č. 1305/2013.</w:t>
      </w:r>
    </w:p>
  </w:footnote>
  <w:footnote w:id="52">
    <w:p w:rsidR="005716B0" w:rsidRPr="0026694F" w:rsidRDefault="005716B0" w:rsidP="00E05D08">
      <w:pPr>
        <w:pStyle w:val="FootnoteText"/>
        <w:rPr>
          <w:color w:val="373737"/>
        </w:rPr>
      </w:pPr>
      <w:r>
        <w:rPr>
          <w:rStyle w:val="FootnoteReference"/>
        </w:rPr>
        <w:footnoteRef/>
      </w:r>
      <w:r>
        <w:t xml:space="preserve"> </w:t>
      </w:r>
      <w:r>
        <w:t xml:space="preserve">Článek </w:t>
      </w:r>
      <w:r>
        <w:t>35 nařízení (EU) č. 1305/2013. Pokyny „Opatření spolupráce“ (verze z listopadu 2014) obsahují v příloze I seznam všech podopatření opatření v oblasti spolupráce,</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5716B0" w:rsidRPr="00401F29" w:rsidRDefault="005716B0" w:rsidP="00E05D08">
      <w:pPr>
        <w:pStyle w:val="FootnoteText"/>
      </w:pPr>
      <w:r>
        <w:rPr>
          <w:rStyle w:val="FootnoteReference"/>
        </w:rPr>
        <w:footnoteRef/>
      </w:r>
      <w:r>
        <w:t xml:space="preserve"> </w:t>
      </w:r>
      <w:r>
        <w:t>Čl. 35 odst. 1 nařízení (EU) č. 1305/2013.</w:t>
      </w:r>
    </w:p>
  </w:footnote>
  <w:footnote w:id="54">
    <w:p w:rsidR="005716B0" w:rsidRPr="00AB16BB" w:rsidRDefault="005716B0">
      <w:pPr>
        <w:pStyle w:val="FootnoteText"/>
        <w:rPr>
          <w:sz w:val="12"/>
          <w:szCs w:val="12"/>
        </w:rPr>
      </w:pPr>
      <w:r>
        <w:rPr>
          <w:rStyle w:val="FootnoteReference"/>
          <w:szCs w:val="16"/>
        </w:rPr>
        <w:footnoteRef/>
      </w:r>
      <w:r>
        <w:t xml:space="preserve">Prezentace příkladů programování souvisejících s prioritami P4 a P5 EZFRV. K dispozici na: </w:t>
      </w:r>
      <w:hyperlink r:id="rId18" w:history="1">
        <w:r>
          <w:rPr>
            <w:rStyle w:val="Hyperlink"/>
          </w:rPr>
          <w:t>http://enrd.ec.europa.eu/sites/enrd/files/w10_m16_finland_karlsson.pdf</w:t>
        </w:r>
      </w:hyperlink>
      <w:r>
        <w:rPr>
          <w:sz w:val="12"/>
          <w:szCs w:val="12"/>
        </w:rPr>
        <w:t xml:space="preserve"> </w:t>
      </w:r>
    </w:p>
  </w:footnote>
  <w:footnote w:id="55">
    <w:p w:rsidR="005716B0" w:rsidRPr="00A45935" w:rsidRDefault="005716B0">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5716B0" w:rsidRDefault="005716B0">
      <w:pPr>
        <w:pStyle w:val="FootnoteText"/>
      </w:pPr>
      <w:r>
        <w:rPr>
          <w:rStyle w:val="FootnoteReference"/>
          <w:szCs w:val="16"/>
        </w:rPr>
        <w:footnoteRef/>
      </w:r>
      <w:r>
        <w:t xml:space="preserve"> </w:t>
      </w:r>
      <w:r>
        <w:t xml:space="preserve">Prezentace příkladů programování souvisejících s prioritami P4 a P5 EZFRV. K dispozici na: </w:t>
      </w:r>
      <w:hyperlink r:id="rId20" w:history="1">
        <w:r>
          <w:rPr>
            <w:rStyle w:val="Hyperlink"/>
          </w:rPr>
          <w:t>http://enrd.ec.europa.eu/sites/enrd/files/w10_m16.5_hesse_de_vonkutzleben.pdf</w:t>
        </w:r>
      </w:hyperlink>
    </w:p>
  </w:footnote>
  <w:footnote w:id="57">
    <w:p w:rsidR="005716B0" w:rsidRPr="00401F29" w:rsidRDefault="005716B0" w:rsidP="00E05D08">
      <w:pPr>
        <w:pStyle w:val="FootnoteText"/>
      </w:pPr>
      <w:r>
        <w:rPr>
          <w:rStyle w:val="FootnoteReference"/>
        </w:rPr>
        <w:footnoteRef/>
      </w:r>
      <w:r>
        <w:t xml:space="preserve"> </w:t>
      </w:r>
      <w:r>
        <w:t>Čl. 54 odst. 2 nařízení (EU) č. 1305/2013.</w:t>
      </w:r>
    </w:p>
  </w:footnote>
  <w:footnote w:id="58">
    <w:p w:rsidR="005716B0" w:rsidRPr="002D11C3" w:rsidRDefault="005716B0" w:rsidP="00E05D08">
      <w:pPr>
        <w:pStyle w:val="FootnoteText"/>
      </w:pPr>
      <w:r>
        <w:rPr>
          <w:rStyle w:val="FootnoteReference"/>
        </w:rPr>
        <w:footnoteRef/>
      </w:r>
      <w:r>
        <w:t xml:space="preserve"> </w:t>
      </w:r>
      <w:r>
        <w:t xml:space="preserve">Pokyny, jak zodpovědět společnou hodnotící otázku č. 21, jsou uvedeny také v pokynech „Posuzování výsledků PRV: jak se připravit na podávání zpráv o hodnocení v roce 2017“, příloha 11, v nichž jsou zohledněny všechny cíle související s CSV v souvislosti se zodpovězením této společné hodnotící otázky, </w:t>
      </w:r>
      <w:hyperlink r:id="rId21" w:history="1">
        <w:r>
          <w:rPr>
            <w:rStyle w:val="Hyperlink"/>
          </w:rPr>
          <w:t>https://enrd.ec.europa.eu/evaluation/publications/guidelines-assessment-rdp-results-how-prepare-reporting-evaluation-2017_en</w:t>
        </w:r>
      </w:hyperlink>
      <w:r>
        <w:t>.</w:t>
      </w:r>
    </w:p>
  </w:footnote>
  <w:footnote w:id="59">
    <w:p w:rsidR="005716B0" w:rsidRPr="00401F29" w:rsidRDefault="005716B0" w:rsidP="00E05D08">
      <w:pPr>
        <w:pStyle w:val="FootnoteText"/>
      </w:pPr>
      <w:r>
        <w:rPr>
          <w:rStyle w:val="FootnoteReference"/>
        </w:rPr>
        <w:footnoteRef/>
      </w:r>
      <w:r>
        <w:t xml:space="preserve"> </w:t>
      </w:r>
      <w:r>
        <w:t>Článek 54 nařízení (EU) č. 1305/2013.</w:t>
      </w:r>
    </w:p>
  </w:footnote>
  <w:footnote w:id="60">
    <w:p w:rsidR="005716B0" w:rsidRPr="00401F29" w:rsidRDefault="005716B0" w:rsidP="00E05D08">
      <w:pPr>
        <w:pStyle w:val="FootnoteText"/>
      </w:pPr>
      <w:r>
        <w:rPr>
          <w:rStyle w:val="FootnoteReference"/>
        </w:rPr>
        <w:footnoteRef/>
      </w:r>
      <w:r>
        <w:t xml:space="preserve"> </w:t>
      </w:r>
      <w:r>
        <w:t>Čl. 54 odst. 3 písm. b) nařízení (EU) č. 1305/2013.</w:t>
      </w:r>
    </w:p>
  </w:footnote>
  <w:footnote w:id="61">
    <w:p w:rsidR="005716B0" w:rsidRPr="00401F29" w:rsidRDefault="005716B0" w:rsidP="00E05D08">
      <w:pPr>
        <w:pStyle w:val="FootnoteText"/>
      </w:pPr>
      <w:r>
        <w:rPr>
          <w:rStyle w:val="FootnoteReference"/>
        </w:rPr>
        <w:footnoteRef/>
      </w:r>
      <w:r>
        <w:t xml:space="preserve"> </w:t>
      </w:r>
      <w:r>
        <w:t>Čl. 8 odst. 1 písm. c) bod v) nařízení (EU) č. 1305/2013 a bod 5 písm. c) a e) části 1 přílohy I nařízení (EU) č. 808/2014.</w:t>
      </w:r>
    </w:p>
  </w:footnote>
  <w:footnote w:id="62">
    <w:p w:rsidR="005716B0" w:rsidRPr="00401F29" w:rsidRDefault="005716B0" w:rsidP="00E05D08">
      <w:pPr>
        <w:pStyle w:val="FootnoteText"/>
      </w:pPr>
      <w:r>
        <w:rPr>
          <w:rStyle w:val="FootnoteReference"/>
        </w:rPr>
        <w:footnoteRef/>
      </w:r>
      <w:r>
        <w:t xml:space="preserve"> </w:t>
      </w:r>
      <w:r>
        <w:t>Článek 54 nařízení (EU) č. 1305/2013.</w:t>
      </w:r>
    </w:p>
  </w:footnote>
  <w:footnote w:id="63">
    <w:p w:rsidR="005716B0" w:rsidRPr="00401F29" w:rsidRDefault="005716B0" w:rsidP="00E05D08">
      <w:pPr>
        <w:pStyle w:val="FootnoteText"/>
        <w:rPr>
          <w:rStyle w:val="Hyperlink"/>
        </w:rPr>
      </w:pPr>
      <w:r>
        <w:rPr>
          <w:rStyle w:val="FootnoteReference"/>
        </w:rPr>
        <w:footnoteRef/>
      </w:r>
      <w:r>
        <w:t xml:space="preserve"> </w:t>
      </w:r>
      <w:r>
        <w:t xml:space="preserve">Asistenční služba pro účely hodnocení, pracovní dokument: Společné hodnotící otázky pro programy rozvoje venkova 2014–2020, k dispozici na </w:t>
      </w:r>
      <w:hyperlink r:id="rId22" w:history="1">
        <w:r>
          <w:rPr>
            <w:rStyle w:val="Hyperlink"/>
          </w:rPr>
          <w:t>http://enrd.ec.europa.eu/evaluation/publications/working-document-common-evaluation-questions-rural-development-programmes_en</w:t>
        </w:r>
      </w:hyperlink>
    </w:p>
  </w:footnote>
  <w:footnote w:id="64">
    <w:p w:rsidR="005716B0" w:rsidRPr="00401F29" w:rsidRDefault="005716B0" w:rsidP="00E05D08">
      <w:pPr>
        <w:pStyle w:val="FootnoteText"/>
      </w:pPr>
      <w:r>
        <w:rPr>
          <w:rStyle w:val="FootnoteReference"/>
        </w:rPr>
        <w:footnoteRef/>
      </w:r>
      <w:r>
        <w:t xml:space="preserve"> </w:t>
      </w:r>
      <w:r>
        <w:t>Tamtéž.</w:t>
      </w:r>
    </w:p>
  </w:footnote>
  <w:footnote w:id="65">
    <w:p w:rsidR="005716B0" w:rsidRPr="00401F29" w:rsidRDefault="005716B0" w:rsidP="00E05D08">
      <w:pPr>
        <w:pStyle w:val="FootnoteText"/>
      </w:pPr>
      <w:r>
        <w:rPr>
          <w:rStyle w:val="FootnoteReference"/>
        </w:rPr>
        <w:footnoteRef/>
      </w:r>
      <w:r>
        <w:t xml:space="preserve"> </w:t>
      </w:r>
      <w:r>
        <w:t>Allen a Seaman (2007).</w:t>
      </w:r>
    </w:p>
  </w:footnote>
  <w:footnote w:id="66">
    <w:p w:rsidR="005716B0" w:rsidRPr="00401F29" w:rsidRDefault="005716B0" w:rsidP="00E05D08">
      <w:pPr>
        <w:pStyle w:val="FootnoteText"/>
      </w:pPr>
      <w:r>
        <w:rPr>
          <w:rStyle w:val="FootnoteReference"/>
        </w:rPr>
        <w:footnoteRef/>
      </w:r>
      <w:r>
        <w:t xml:space="preserve"> </w:t>
      </w:r>
      <w:r>
        <w:t xml:space="preserve">Asistenční služba pro účely hodnocení, Pokyny: Hodnocení CSV 2014–2020, 2016, oddíl 3.1.3 a část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5716B0" w:rsidRPr="00401F29" w:rsidRDefault="005716B0" w:rsidP="00E05D08">
      <w:pPr>
        <w:pStyle w:val="FootnoteText"/>
        <w:rPr>
          <w:rStyle w:val="Hyperlink"/>
        </w:rPr>
      </w:pPr>
      <w:r>
        <w:rPr>
          <w:rStyle w:val="FootnoteReference"/>
        </w:rPr>
        <w:footnoteRef/>
      </w:r>
      <w:r>
        <w:t xml:space="preserve"> </w:t>
      </w:r>
      <w:r>
        <w:t xml:space="preserve">Příklad italské CSV: </w:t>
      </w:r>
      <w:hyperlink r:id="rId25" w:history="1">
        <w:r>
          <w:rPr>
            <w:rStyle w:val="Hyperlink"/>
          </w:rPr>
          <w:t>http://www.reterurale.it/flex/cm/pages/ServeBLOB.php/L/IT/IDPagina/16281</w:t>
        </w:r>
      </w:hyperlink>
      <w:r>
        <w:t>.</w:t>
      </w:r>
    </w:p>
    <w:p w:rsidR="005716B0" w:rsidRPr="00F743D3" w:rsidRDefault="005716B0" w:rsidP="00F74459">
      <w:pPr>
        <w:pStyle w:val="FootnoteText"/>
        <w:rPr>
          <w:lang w:val="sk-SK"/>
        </w:rPr>
      </w:pPr>
    </w:p>
  </w:footnote>
  <w:footnote w:id="68">
    <w:p w:rsidR="005716B0" w:rsidRPr="00CE37B0" w:rsidRDefault="005716B0" w:rsidP="00E05D08">
      <w:pPr>
        <w:pStyle w:val="FootnoteText"/>
      </w:pPr>
      <w:r>
        <w:rPr>
          <w:rStyle w:val="FootnoteReference"/>
        </w:rPr>
        <w:footnoteRef/>
      </w:r>
      <w:r>
        <w:t xml:space="preserve"> </w:t>
      </w:r>
      <w:r>
        <w:t xml:space="preserve">EVROPA 2020, Strategie pro inteligentní a udržitelný růstu podporující začlenění, </w:t>
      </w:r>
      <w:hyperlink r:id="rId26" w:history="1">
        <w:r>
          <w:rPr>
            <w:rStyle w:val="Hyperlink"/>
          </w:rPr>
          <w:t>http://eur-lex.europa.eu/legal-content/cs/ALL/?uri=CELEX%3A52010DC2020</w:t>
        </w:r>
      </w:hyperlink>
      <w:r>
        <w:t>.</w:t>
      </w:r>
    </w:p>
  </w:footnote>
  <w:footnote w:id="69">
    <w:p w:rsidR="005716B0" w:rsidRPr="0026694F" w:rsidRDefault="005716B0"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5716B0" w:rsidRPr="008F676D" w:rsidRDefault="005716B0"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5716B0" w:rsidRPr="0026694F" w:rsidRDefault="005716B0"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5716B0" w:rsidRPr="00401F29" w:rsidRDefault="005716B0" w:rsidP="00E05D08">
      <w:pPr>
        <w:pStyle w:val="FootnoteText"/>
      </w:pPr>
      <w:r>
        <w:rPr>
          <w:rStyle w:val="FootnoteReference"/>
          <w:rFonts w:cs="Helvetica"/>
          <w:szCs w:val="18"/>
        </w:rPr>
        <w:footnoteRef/>
      </w:r>
      <w:r>
        <w:rPr>
          <w:color w:val="373737"/>
          <w:szCs w:val="18"/>
        </w:rPr>
        <w:t xml:space="preserve"> </w:t>
      </w:r>
      <w:r>
        <w:t>Rozhodnutí Evropského parlamentu a Rady č. 1608/2003/ES, nařízení (ES) č. 753/2004 a nařízení (EU) č. 995/2012.</w:t>
      </w:r>
    </w:p>
  </w:footnote>
  <w:footnote w:id="73">
    <w:p w:rsidR="005716B0" w:rsidRPr="008F676D" w:rsidRDefault="005716B0"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5716B0" w:rsidRPr="0026694F" w:rsidRDefault="005716B0"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V Německu studie týkající se hodnocení ex ante, která (mimo jiné) zkoumala, nakolik jsou PRV schopny dosáhnout cílů strategie Evropa 2020, ukázala, že přispění PRV ke splnění hlavního cíle ve výši 3 % je hodnoceno jako velmi nízké. V některých spolkových zemích výdaje jen v malé míře přispějí k výdajům na výzkum a vývoj. </w:t>
      </w:r>
    </w:p>
    <w:bookmarkEnd w:id="124"/>
    <w:p w:rsidR="005716B0" w:rsidRPr="00E05D08" w:rsidRDefault="005716B0" w:rsidP="00F74459">
      <w:pPr>
        <w:pStyle w:val="FootnoteText"/>
        <w:rPr>
          <w:rFonts w:ascii="Calibri" w:hAnsi="Calibri"/>
          <w:lang w:val="sk-SK"/>
        </w:rPr>
      </w:pPr>
    </w:p>
  </w:footnote>
  <w:footnote w:id="75">
    <w:p w:rsidR="005716B0" w:rsidRPr="0026694F" w:rsidRDefault="005716B0" w:rsidP="00E05D08">
      <w:pPr>
        <w:pStyle w:val="FootnoteText"/>
        <w:rPr>
          <w:rFonts w:cs="Helvetica"/>
          <w:color w:val="373737"/>
        </w:rPr>
      </w:pPr>
      <w:r>
        <w:rPr>
          <w:rStyle w:val="FootnoteReference"/>
          <w:rFonts w:cs="Helvetica"/>
        </w:rPr>
        <w:footnoteRef/>
      </w:r>
      <w:r>
        <w:t xml:space="preserve"> </w:t>
      </w:r>
      <w:r>
        <w:t xml:space="preserve">Pracovní dokument Společné hodnotící otázky pro programy rozvoje venkova 2014–2020, </w:t>
      </w:r>
      <w:hyperlink r:id="rId31" w:history="1">
        <w:r>
          <w:rPr>
            <w:rStyle w:val="Hyperlink"/>
          </w:rPr>
          <w:t>http://enrd.ec.europa.eu/evaluation/publications/working-document-common-evaluation-questions-rural-development-programmes_en</w:t>
        </w:r>
      </w:hyperlink>
    </w:p>
  </w:footnote>
  <w:footnote w:id="76">
    <w:p w:rsidR="005716B0" w:rsidRPr="00014A2E" w:rsidRDefault="005716B0" w:rsidP="00E05D08">
      <w:pPr>
        <w:pStyle w:val="FootnoteText"/>
      </w:pPr>
      <w:r>
        <w:rPr>
          <w:rStyle w:val="FootnoteReference"/>
        </w:rPr>
        <w:footnoteRef/>
      </w:r>
      <w:r>
        <w:t xml:space="preserve"> </w:t>
      </w:r>
      <w:r>
        <w:t>Čl. 8 odst. 1 písm. c) bod v) nařízení (EU) č. 1305/2013 a bod 5 písm. c) a e) části 1 přílohy I nařízení (EU) č. 808/2014.</w:t>
      </w:r>
    </w:p>
  </w:footnote>
  <w:footnote w:id="77">
    <w:p w:rsidR="005716B0" w:rsidRPr="001D68A9" w:rsidRDefault="005716B0"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5716B0" w:rsidRPr="00401F29" w:rsidRDefault="005716B0" w:rsidP="00E05D08">
      <w:pPr>
        <w:pStyle w:val="FootnoteText"/>
      </w:pPr>
      <w:r>
        <w:rPr>
          <w:rStyle w:val="FootnoteReference"/>
        </w:rPr>
        <w:footnoteRef/>
      </w:r>
      <w:r>
        <w:t xml:space="preserve"> </w:t>
      </w:r>
      <w:r>
        <w:t>Wilson-Grau, 2015. </w:t>
      </w:r>
    </w:p>
  </w:footnote>
  <w:footnote w:id="79">
    <w:p w:rsidR="005716B0" w:rsidRPr="00401F29" w:rsidRDefault="005716B0" w:rsidP="00E05D08">
      <w:pPr>
        <w:pStyle w:val="FootnoteText"/>
      </w:pPr>
      <w:r>
        <w:rPr>
          <w:rStyle w:val="FootnoteReference"/>
        </w:rPr>
        <w:footnoteRef/>
      </w:r>
      <w:r>
        <w:t xml:space="preserve"> </w:t>
      </w:r>
      <w:r>
        <w:t>„Případová studie je metoda pro získání poznatků o určité složité otázce založená na komplexním pochopení této otázky, které bylo získáno na základě obsáhlého popisu a analýzy této otázky jako celku a v jejím kontextu“ (GAO, 1990, s. 15).</w:t>
      </w:r>
    </w:p>
  </w:footnote>
  <w:footnote w:id="80">
    <w:p w:rsidR="005716B0" w:rsidRPr="00401F29" w:rsidRDefault="005716B0" w:rsidP="00E05D08">
      <w:pPr>
        <w:pStyle w:val="FootnoteText"/>
      </w:pPr>
      <w:r>
        <w:rPr>
          <w:rStyle w:val="FootnoteReference"/>
        </w:rPr>
        <w:footnoteRef/>
      </w:r>
      <w:r>
        <w:rPr>
          <w:rStyle w:val="FootnoteReference"/>
        </w:rPr>
        <w:t xml:space="preserve"> </w:t>
      </w:r>
      <w:r>
        <w:t>Sledování procesů (process tracing) je přístup ke zkoumání kauzality v případových studiích, který se zaměřuje na používání záchytných bodů v rámci daného případu (pozorování vycházející z kauzálního procesu) za účelem rozhodnutí mezi alternativními možnými vysvětleními, více najdete na</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též Collier 2011, viz literatura.</w:t>
      </w:r>
    </w:p>
  </w:footnote>
  <w:footnote w:id="81">
    <w:p w:rsidR="005716B0" w:rsidRPr="00401F29" w:rsidRDefault="005716B0" w:rsidP="00E05D08">
      <w:pPr>
        <w:pStyle w:val="FootnoteText"/>
      </w:pPr>
      <w:r>
        <w:rPr>
          <w:rStyle w:val="FootnoteReference"/>
        </w:rPr>
        <w:footnoteRef/>
      </w:r>
      <w:r>
        <w:t xml:space="preserve"> </w:t>
      </w:r>
      <w:r>
        <w:t xml:space="preserve">„Vypracování „historie inovace“ je metoda pro zaznamenávání a reflexi inovačního procesu. Lidé, kteří byli do inovace zapojeni, společně vytvoří podrobný písemný záznam (někdy nazývaný “historie učení“) založený na jejich vzpomínkách a na dostupných dokumentech.“ Více najdete na </w:t>
      </w:r>
      <w:hyperlink r:id="rId34" w:history="1">
        <w:r>
          <w:rPr>
            <w:rStyle w:val="Hyperlink"/>
          </w:rPr>
          <w:t>http://www.betterevaluation.org/en/resources/tools/innovation_history/innovation_timeline</w:t>
        </w:r>
      </w:hyperlink>
      <w:r>
        <w:t xml:space="preserve">, </w:t>
      </w:r>
      <w:r>
        <w:t xml:space="preserve">jakož i v Douthwaite a Ashby, 2005, viz literatura. </w:t>
      </w:r>
    </w:p>
  </w:footnote>
  <w:footnote w:id="82">
    <w:p w:rsidR="005716B0" w:rsidRPr="00A847F8" w:rsidRDefault="005716B0" w:rsidP="00A847F8">
      <w:pPr>
        <w:pStyle w:val="FootnoteText"/>
      </w:pPr>
      <w:r>
        <w:rPr>
          <w:rStyle w:val="FootnoteReference"/>
        </w:rPr>
        <w:footnoteRef/>
      </w:r>
      <w:r>
        <w:t xml:space="preserve"> </w:t>
      </w:r>
      <w:r>
        <w:t xml:space="preserve">Mayne, </w:t>
      </w:r>
      <w:r>
        <w:t>2012, viz literatura.</w:t>
      </w:r>
    </w:p>
  </w:footnote>
  <w:footnote w:id="83">
    <w:p w:rsidR="005716B0" w:rsidRPr="00A847F8" w:rsidRDefault="005716B0" w:rsidP="00A847F8">
      <w:pPr>
        <w:pStyle w:val="FootnoteText"/>
      </w:pPr>
      <w:r>
        <w:rPr>
          <w:rStyle w:val="FootnoteReference"/>
        </w:rPr>
        <w:footnoteRef/>
      </w:r>
      <w:r>
        <w:t xml:space="preserve"> </w:t>
      </w:r>
      <w:r>
        <w:t xml:space="preserve">Hilton, </w:t>
      </w:r>
      <w:r>
        <w:t>1996, viz literatura.</w:t>
      </w:r>
    </w:p>
  </w:footnote>
  <w:footnote w:id="84">
    <w:p w:rsidR="005716B0" w:rsidRDefault="005716B0" w:rsidP="00A847F8">
      <w:pPr>
        <w:pStyle w:val="FootnoteText"/>
      </w:pPr>
      <w:r>
        <w:rPr>
          <w:rStyle w:val="FootnoteReference"/>
        </w:rPr>
        <w:footnoteRef/>
      </w:r>
      <w:r>
        <w:t xml:space="preserve"> </w:t>
      </w:r>
      <w:r>
        <w:t xml:space="preserve">Pawson </w:t>
      </w:r>
      <w:r>
        <w:t>a kol., 2005, viz literatura.</w:t>
      </w:r>
    </w:p>
  </w:footnote>
  <w:footnote w:id="85">
    <w:p w:rsidR="005716B0" w:rsidRDefault="005716B0"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a Allen a Seaman (2007</w:t>
      </w:r>
      <w:r>
        <w:rPr>
          <w:color w:val="373737"/>
          <w:szCs w:val="16"/>
          <w:shd w:val="clear" w:color="auto" w:fill="FFFFFF"/>
        </w:rPr>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rsidP="00400064">
    <w:pPr>
      <w:pStyle w:val="Header"/>
      <w:tabs>
        <w:tab w:val="clear" w:pos="4513"/>
        <w:tab w:val="clear" w:pos="9026"/>
      </w:tabs>
      <w:jc w:val="right"/>
    </w:pPr>
    <w:r>
      <w:t>Pokyny: Hodnocení inovací v rámci programů rozvoje venkova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400064" w:rsidRDefault="005716B0" w:rsidP="0025413B">
    <w:pPr>
      <w:jc w:val="right"/>
      <w:rPr>
        <w:color w:val="F07E31"/>
        <w:sz w:val="18"/>
        <w:szCs w:val="18"/>
      </w:rPr>
    </w:pPr>
    <w:r>
      <w:rPr>
        <w:color w:val="F07E31"/>
        <w:sz w:val="18"/>
        <w:szCs w:val="18"/>
      </w:rPr>
      <w:t>Pokyny: Hodnocení inovací v rámci programů rozvoje venkova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400064" w:rsidRDefault="005716B0" w:rsidP="00400064">
    <w:pPr>
      <w:jc w:val="right"/>
      <w:rPr>
        <w:color w:val="F07E31"/>
        <w:sz w:val="18"/>
        <w:szCs w:val="18"/>
      </w:rPr>
    </w:pPr>
    <w:r>
      <w:rPr>
        <w:color w:val="F07E31"/>
        <w:sz w:val="18"/>
        <w:szCs w:val="18"/>
      </w:rPr>
      <w:t>Pokyny: Hodnocení inovací v rámci programů rozvoje venkova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E4509B" w:rsidRDefault="005716B0" w:rsidP="00D50EF0">
    <w:pPr>
      <w:pStyle w:val="Header"/>
      <w:tabs>
        <w:tab w:val="clear" w:pos="4513"/>
      </w:tabs>
    </w:pPr>
    <w:r>
      <w:tab/>
    </w:r>
    <w:bookmarkStart w:id="4" w:name="_Hlk503344243"/>
    <w:r>
      <w:t>Pokyny: Hodnocení inovací v rámci programů rozvoje venkova</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400064" w:rsidRDefault="005716B0" w:rsidP="00400064">
    <w:pPr>
      <w:jc w:val="right"/>
      <w:rPr>
        <w:color w:val="F07E31"/>
        <w:sz w:val="18"/>
        <w:szCs w:val="18"/>
      </w:rPr>
    </w:pPr>
    <w:r>
      <w:rPr>
        <w:color w:val="F07E31"/>
        <w:sz w:val="18"/>
        <w:szCs w:val="18"/>
      </w:rPr>
      <w:t>Pokyny: Hodnocení inovací v rámci programů rozvoje venkova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C947BA" w:rsidRDefault="005716B0" w:rsidP="00C947BA">
    <w:pPr>
      <w:jc w:val="right"/>
      <w:rPr>
        <w:color w:val="F07E31"/>
        <w:sz w:val="18"/>
        <w:szCs w:val="18"/>
      </w:rPr>
    </w:pPr>
    <w:r>
      <w:rPr>
        <w:color w:val="F07E31"/>
        <w:sz w:val="18"/>
        <w:szCs w:val="18"/>
      </w:rPr>
      <w:t>Pokyny: Hodnocení inovací v rámci programů rozvoje venkova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52778E" w:rsidRDefault="005716B0" w:rsidP="00E16522">
    <w:pPr>
      <w:pStyle w:val="Header"/>
      <w:rPr>
        <w:sz w:val="24"/>
      </w:rPr>
    </w:pPr>
    <w:r>
      <w:tab/>
    </w:r>
  </w:p>
  <w:p w:rsidR="005716B0" w:rsidRPr="0047590C" w:rsidRDefault="005716B0"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Default="005716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6B0" w:rsidRPr="00656719" w:rsidRDefault="005716B0" w:rsidP="00E16522">
    <w:pPr>
      <w:pStyle w:val="Header"/>
    </w:pPr>
    <w:r>
      <w:tab/>
    </w:r>
    <w:r>
      <w:t>Podkladový dokument: Hodnocení inovací v rámci programů rozvoje venkova</w:t>
    </w:r>
  </w:p>
  <w:p w:rsidR="005716B0" w:rsidRPr="00D5760C" w:rsidRDefault="005716B0" w:rsidP="00E16522">
    <w:pPr>
      <w:pStyle w:val="Header"/>
      <w:rPr>
        <w:sz w:val="24"/>
      </w:rPr>
    </w:pPr>
  </w:p>
  <w:p w:rsidR="005716B0" w:rsidRPr="0047590C" w:rsidRDefault="005716B0"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85348062"/>
    <w:lvl w:ilvl="0" w:tplc="0F161B4C">
      <w:start w:val="1"/>
      <w:numFmt w:val="decimal"/>
      <w:pStyle w:val="HHeadingtables"/>
      <w:lvlText w:val="Tabulka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Graf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03B35"/>
    <w:rsid w:val="00014980"/>
    <w:rsid w:val="00015AA7"/>
    <w:rsid w:val="00021844"/>
    <w:rsid w:val="00021A55"/>
    <w:rsid w:val="00022CA7"/>
    <w:rsid w:val="00024983"/>
    <w:rsid w:val="00027AF3"/>
    <w:rsid w:val="000324A5"/>
    <w:rsid w:val="00036912"/>
    <w:rsid w:val="00037CA6"/>
    <w:rsid w:val="000520DE"/>
    <w:rsid w:val="00053109"/>
    <w:rsid w:val="00055039"/>
    <w:rsid w:val="00056C7B"/>
    <w:rsid w:val="000638D1"/>
    <w:rsid w:val="00073BB0"/>
    <w:rsid w:val="0007516A"/>
    <w:rsid w:val="000828C6"/>
    <w:rsid w:val="000A1399"/>
    <w:rsid w:val="000A14B3"/>
    <w:rsid w:val="000A250D"/>
    <w:rsid w:val="000A307F"/>
    <w:rsid w:val="000A43B7"/>
    <w:rsid w:val="000A718F"/>
    <w:rsid w:val="000B1654"/>
    <w:rsid w:val="000B6304"/>
    <w:rsid w:val="000C674A"/>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1134"/>
    <w:rsid w:val="001244F9"/>
    <w:rsid w:val="00125266"/>
    <w:rsid w:val="001275FF"/>
    <w:rsid w:val="00130EA0"/>
    <w:rsid w:val="001319A0"/>
    <w:rsid w:val="001327F5"/>
    <w:rsid w:val="0013321C"/>
    <w:rsid w:val="0013661C"/>
    <w:rsid w:val="001427A5"/>
    <w:rsid w:val="00142A64"/>
    <w:rsid w:val="00151D94"/>
    <w:rsid w:val="001524F5"/>
    <w:rsid w:val="001532DD"/>
    <w:rsid w:val="00155E3F"/>
    <w:rsid w:val="00161D7E"/>
    <w:rsid w:val="00164489"/>
    <w:rsid w:val="00165BF1"/>
    <w:rsid w:val="001744D0"/>
    <w:rsid w:val="00177C4F"/>
    <w:rsid w:val="00183E9B"/>
    <w:rsid w:val="001865CA"/>
    <w:rsid w:val="0018705F"/>
    <w:rsid w:val="001954EB"/>
    <w:rsid w:val="00195CB3"/>
    <w:rsid w:val="001A12C3"/>
    <w:rsid w:val="001A184E"/>
    <w:rsid w:val="001A2952"/>
    <w:rsid w:val="001A2A93"/>
    <w:rsid w:val="001A2DEC"/>
    <w:rsid w:val="001A4204"/>
    <w:rsid w:val="001A6C7C"/>
    <w:rsid w:val="001A7B15"/>
    <w:rsid w:val="001B51D3"/>
    <w:rsid w:val="001B58A1"/>
    <w:rsid w:val="001C039D"/>
    <w:rsid w:val="001C03A3"/>
    <w:rsid w:val="001D287F"/>
    <w:rsid w:val="001D625A"/>
    <w:rsid w:val="001E1B68"/>
    <w:rsid w:val="001E4AE1"/>
    <w:rsid w:val="001F6140"/>
    <w:rsid w:val="001F626E"/>
    <w:rsid w:val="001F6F07"/>
    <w:rsid w:val="001F7296"/>
    <w:rsid w:val="0020060A"/>
    <w:rsid w:val="00206BEA"/>
    <w:rsid w:val="0021105B"/>
    <w:rsid w:val="002126B4"/>
    <w:rsid w:val="002271D9"/>
    <w:rsid w:val="00230C31"/>
    <w:rsid w:val="00232CF1"/>
    <w:rsid w:val="00235D46"/>
    <w:rsid w:val="002371D5"/>
    <w:rsid w:val="00237EDF"/>
    <w:rsid w:val="002403DE"/>
    <w:rsid w:val="00241663"/>
    <w:rsid w:val="00253803"/>
    <w:rsid w:val="0025413B"/>
    <w:rsid w:val="00260B97"/>
    <w:rsid w:val="00265D4B"/>
    <w:rsid w:val="002803D8"/>
    <w:rsid w:val="00282948"/>
    <w:rsid w:val="00283811"/>
    <w:rsid w:val="002964ED"/>
    <w:rsid w:val="002A0EEA"/>
    <w:rsid w:val="002A4A87"/>
    <w:rsid w:val="002B4923"/>
    <w:rsid w:val="002B590B"/>
    <w:rsid w:val="002C2419"/>
    <w:rsid w:val="002C2C15"/>
    <w:rsid w:val="002C3A1C"/>
    <w:rsid w:val="002C4556"/>
    <w:rsid w:val="002D1C8F"/>
    <w:rsid w:val="002D399D"/>
    <w:rsid w:val="002D5D91"/>
    <w:rsid w:val="002E1723"/>
    <w:rsid w:val="002F0ABF"/>
    <w:rsid w:val="002F0F03"/>
    <w:rsid w:val="002F11D9"/>
    <w:rsid w:val="002F520A"/>
    <w:rsid w:val="00300AA0"/>
    <w:rsid w:val="0030377F"/>
    <w:rsid w:val="00304961"/>
    <w:rsid w:val="00304D50"/>
    <w:rsid w:val="003054DA"/>
    <w:rsid w:val="00310F20"/>
    <w:rsid w:val="00310FA9"/>
    <w:rsid w:val="00311624"/>
    <w:rsid w:val="00320AA0"/>
    <w:rsid w:val="00320B7D"/>
    <w:rsid w:val="003224A2"/>
    <w:rsid w:val="00322BBD"/>
    <w:rsid w:val="00324C42"/>
    <w:rsid w:val="00330136"/>
    <w:rsid w:val="0033023F"/>
    <w:rsid w:val="00331223"/>
    <w:rsid w:val="0034028A"/>
    <w:rsid w:val="003411D5"/>
    <w:rsid w:val="0034160A"/>
    <w:rsid w:val="00346923"/>
    <w:rsid w:val="003478C4"/>
    <w:rsid w:val="00347A2C"/>
    <w:rsid w:val="00350B30"/>
    <w:rsid w:val="003529B7"/>
    <w:rsid w:val="00353BFE"/>
    <w:rsid w:val="00364255"/>
    <w:rsid w:val="003737FE"/>
    <w:rsid w:val="00374290"/>
    <w:rsid w:val="003766ED"/>
    <w:rsid w:val="00382BE4"/>
    <w:rsid w:val="00385368"/>
    <w:rsid w:val="00387226"/>
    <w:rsid w:val="003A1316"/>
    <w:rsid w:val="003A5A53"/>
    <w:rsid w:val="003B44A9"/>
    <w:rsid w:val="003B7EB7"/>
    <w:rsid w:val="003C170B"/>
    <w:rsid w:val="003D0C8A"/>
    <w:rsid w:val="003D2413"/>
    <w:rsid w:val="003D242C"/>
    <w:rsid w:val="003D5EED"/>
    <w:rsid w:val="003E0E9E"/>
    <w:rsid w:val="003E1722"/>
    <w:rsid w:val="003E2CE0"/>
    <w:rsid w:val="003E55F2"/>
    <w:rsid w:val="003F416E"/>
    <w:rsid w:val="003F6478"/>
    <w:rsid w:val="003F6AF1"/>
    <w:rsid w:val="00400064"/>
    <w:rsid w:val="00401627"/>
    <w:rsid w:val="00405B0B"/>
    <w:rsid w:val="00406C98"/>
    <w:rsid w:val="00407E1F"/>
    <w:rsid w:val="00412D26"/>
    <w:rsid w:val="00415BD5"/>
    <w:rsid w:val="00417C67"/>
    <w:rsid w:val="0042403E"/>
    <w:rsid w:val="00426618"/>
    <w:rsid w:val="00431FF5"/>
    <w:rsid w:val="0043254D"/>
    <w:rsid w:val="00447906"/>
    <w:rsid w:val="004508D0"/>
    <w:rsid w:val="00451BFA"/>
    <w:rsid w:val="00452B13"/>
    <w:rsid w:val="00471221"/>
    <w:rsid w:val="00472162"/>
    <w:rsid w:val="00480FDA"/>
    <w:rsid w:val="00485923"/>
    <w:rsid w:val="0048755C"/>
    <w:rsid w:val="00490F5A"/>
    <w:rsid w:val="00492E3D"/>
    <w:rsid w:val="00495686"/>
    <w:rsid w:val="00497AC7"/>
    <w:rsid w:val="004A2B05"/>
    <w:rsid w:val="004B5B60"/>
    <w:rsid w:val="004C17C9"/>
    <w:rsid w:val="004C2BB4"/>
    <w:rsid w:val="004C32F7"/>
    <w:rsid w:val="004C7474"/>
    <w:rsid w:val="004D352C"/>
    <w:rsid w:val="004E272E"/>
    <w:rsid w:val="004E38AA"/>
    <w:rsid w:val="004E3DD3"/>
    <w:rsid w:val="004F414C"/>
    <w:rsid w:val="00500604"/>
    <w:rsid w:val="00500D52"/>
    <w:rsid w:val="00501827"/>
    <w:rsid w:val="00501EE4"/>
    <w:rsid w:val="0050721E"/>
    <w:rsid w:val="0051700B"/>
    <w:rsid w:val="00530DA6"/>
    <w:rsid w:val="00533971"/>
    <w:rsid w:val="00535A54"/>
    <w:rsid w:val="005411F9"/>
    <w:rsid w:val="00541A7D"/>
    <w:rsid w:val="00544F2D"/>
    <w:rsid w:val="00545C6C"/>
    <w:rsid w:val="00547012"/>
    <w:rsid w:val="005474FA"/>
    <w:rsid w:val="00547CD7"/>
    <w:rsid w:val="005520BA"/>
    <w:rsid w:val="00554723"/>
    <w:rsid w:val="00556FC4"/>
    <w:rsid w:val="00560E46"/>
    <w:rsid w:val="005626E0"/>
    <w:rsid w:val="005671F4"/>
    <w:rsid w:val="00570507"/>
    <w:rsid w:val="005716B0"/>
    <w:rsid w:val="00576A73"/>
    <w:rsid w:val="00577F55"/>
    <w:rsid w:val="00580A51"/>
    <w:rsid w:val="00582F60"/>
    <w:rsid w:val="00583AC8"/>
    <w:rsid w:val="00591472"/>
    <w:rsid w:val="00591CB3"/>
    <w:rsid w:val="0059228D"/>
    <w:rsid w:val="0059311F"/>
    <w:rsid w:val="00595D16"/>
    <w:rsid w:val="00596A5B"/>
    <w:rsid w:val="00597107"/>
    <w:rsid w:val="005A0605"/>
    <w:rsid w:val="005A0DA2"/>
    <w:rsid w:val="005A31CA"/>
    <w:rsid w:val="005A5457"/>
    <w:rsid w:val="005B3685"/>
    <w:rsid w:val="005D0347"/>
    <w:rsid w:val="005D1942"/>
    <w:rsid w:val="005D43AA"/>
    <w:rsid w:val="005E1D93"/>
    <w:rsid w:val="005F09BC"/>
    <w:rsid w:val="00600BE3"/>
    <w:rsid w:val="0060261A"/>
    <w:rsid w:val="00604B7A"/>
    <w:rsid w:val="00612D54"/>
    <w:rsid w:val="00615785"/>
    <w:rsid w:val="00617D7B"/>
    <w:rsid w:val="00623618"/>
    <w:rsid w:val="006239C7"/>
    <w:rsid w:val="00624393"/>
    <w:rsid w:val="00626C0C"/>
    <w:rsid w:val="00627875"/>
    <w:rsid w:val="006418CA"/>
    <w:rsid w:val="00642394"/>
    <w:rsid w:val="00643DF6"/>
    <w:rsid w:val="00644398"/>
    <w:rsid w:val="006450B6"/>
    <w:rsid w:val="0064682B"/>
    <w:rsid w:val="00647766"/>
    <w:rsid w:val="006501D4"/>
    <w:rsid w:val="00650251"/>
    <w:rsid w:val="0065034B"/>
    <w:rsid w:val="00651F1C"/>
    <w:rsid w:val="00653B72"/>
    <w:rsid w:val="00654F10"/>
    <w:rsid w:val="00656399"/>
    <w:rsid w:val="0066160E"/>
    <w:rsid w:val="0066410A"/>
    <w:rsid w:val="00665417"/>
    <w:rsid w:val="00673E3D"/>
    <w:rsid w:val="00674A4B"/>
    <w:rsid w:val="00676750"/>
    <w:rsid w:val="00676B41"/>
    <w:rsid w:val="006803A8"/>
    <w:rsid w:val="00682C8C"/>
    <w:rsid w:val="0068567C"/>
    <w:rsid w:val="00686A8F"/>
    <w:rsid w:val="006871D2"/>
    <w:rsid w:val="00690E70"/>
    <w:rsid w:val="00695A11"/>
    <w:rsid w:val="00697455"/>
    <w:rsid w:val="006A092E"/>
    <w:rsid w:val="006A32EF"/>
    <w:rsid w:val="006A4AEC"/>
    <w:rsid w:val="006B72BF"/>
    <w:rsid w:val="006C085A"/>
    <w:rsid w:val="006C3408"/>
    <w:rsid w:val="006C5615"/>
    <w:rsid w:val="006C63CD"/>
    <w:rsid w:val="006D0B02"/>
    <w:rsid w:val="006D209F"/>
    <w:rsid w:val="006E0E48"/>
    <w:rsid w:val="006E10A0"/>
    <w:rsid w:val="006E2A31"/>
    <w:rsid w:val="006E592C"/>
    <w:rsid w:val="006E597D"/>
    <w:rsid w:val="006F0B79"/>
    <w:rsid w:val="006F1601"/>
    <w:rsid w:val="006F3FC1"/>
    <w:rsid w:val="006F63C5"/>
    <w:rsid w:val="00700A9D"/>
    <w:rsid w:val="00703AD9"/>
    <w:rsid w:val="00710753"/>
    <w:rsid w:val="0071141A"/>
    <w:rsid w:val="00712357"/>
    <w:rsid w:val="00714CF1"/>
    <w:rsid w:val="00716334"/>
    <w:rsid w:val="00717885"/>
    <w:rsid w:val="0072145A"/>
    <w:rsid w:val="00725801"/>
    <w:rsid w:val="00732CE0"/>
    <w:rsid w:val="00733F60"/>
    <w:rsid w:val="00734B11"/>
    <w:rsid w:val="007372CD"/>
    <w:rsid w:val="007441E3"/>
    <w:rsid w:val="00747710"/>
    <w:rsid w:val="0075069D"/>
    <w:rsid w:val="007565DD"/>
    <w:rsid w:val="00757688"/>
    <w:rsid w:val="007603A8"/>
    <w:rsid w:val="00764D33"/>
    <w:rsid w:val="00767197"/>
    <w:rsid w:val="00767F5C"/>
    <w:rsid w:val="007707EC"/>
    <w:rsid w:val="0077228A"/>
    <w:rsid w:val="00772743"/>
    <w:rsid w:val="0078145A"/>
    <w:rsid w:val="0078182B"/>
    <w:rsid w:val="00782C87"/>
    <w:rsid w:val="0079071D"/>
    <w:rsid w:val="007A450E"/>
    <w:rsid w:val="007A4B16"/>
    <w:rsid w:val="007B0E8B"/>
    <w:rsid w:val="007B1438"/>
    <w:rsid w:val="007B323F"/>
    <w:rsid w:val="007B4A6D"/>
    <w:rsid w:val="007B4D84"/>
    <w:rsid w:val="007C2C6A"/>
    <w:rsid w:val="007C69CD"/>
    <w:rsid w:val="007C7A64"/>
    <w:rsid w:val="007D2A0C"/>
    <w:rsid w:val="007D301C"/>
    <w:rsid w:val="007D62E6"/>
    <w:rsid w:val="007E16DD"/>
    <w:rsid w:val="007E525A"/>
    <w:rsid w:val="007E63EF"/>
    <w:rsid w:val="007E7353"/>
    <w:rsid w:val="007F0B5B"/>
    <w:rsid w:val="007F4DD3"/>
    <w:rsid w:val="00800A02"/>
    <w:rsid w:val="00803501"/>
    <w:rsid w:val="00804314"/>
    <w:rsid w:val="00804433"/>
    <w:rsid w:val="00805EDF"/>
    <w:rsid w:val="00807A63"/>
    <w:rsid w:val="0081188E"/>
    <w:rsid w:val="00812586"/>
    <w:rsid w:val="00814B95"/>
    <w:rsid w:val="008164E6"/>
    <w:rsid w:val="0081791E"/>
    <w:rsid w:val="00826484"/>
    <w:rsid w:val="00842EBB"/>
    <w:rsid w:val="008518F2"/>
    <w:rsid w:val="00857D5C"/>
    <w:rsid w:val="00861161"/>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B52F6"/>
    <w:rsid w:val="008C0B17"/>
    <w:rsid w:val="008C3EAC"/>
    <w:rsid w:val="008C6769"/>
    <w:rsid w:val="008D05D4"/>
    <w:rsid w:val="008D178A"/>
    <w:rsid w:val="008D63A8"/>
    <w:rsid w:val="008D6A98"/>
    <w:rsid w:val="008E4AA6"/>
    <w:rsid w:val="008F1F04"/>
    <w:rsid w:val="008F289A"/>
    <w:rsid w:val="0090245E"/>
    <w:rsid w:val="009044EE"/>
    <w:rsid w:val="009106EA"/>
    <w:rsid w:val="00912430"/>
    <w:rsid w:val="00916AB5"/>
    <w:rsid w:val="00916BE2"/>
    <w:rsid w:val="00920CB9"/>
    <w:rsid w:val="009414CC"/>
    <w:rsid w:val="00942266"/>
    <w:rsid w:val="00942585"/>
    <w:rsid w:val="00946806"/>
    <w:rsid w:val="00946DD8"/>
    <w:rsid w:val="00950857"/>
    <w:rsid w:val="00951524"/>
    <w:rsid w:val="0095292E"/>
    <w:rsid w:val="0095336D"/>
    <w:rsid w:val="009567F6"/>
    <w:rsid w:val="00963A81"/>
    <w:rsid w:val="009648DB"/>
    <w:rsid w:val="00965042"/>
    <w:rsid w:val="00966DF2"/>
    <w:rsid w:val="00967CFD"/>
    <w:rsid w:val="009722AA"/>
    <w:rsid w:val="009837FF"/>
    <w:rsid w:val="009864B9"/>
    <w:rsid w:val="00987055"/>
    <w:rsid w:val="00990BF3"/>
    <w:rsid w:val="009968A7"/>
    <w:rsid w:val="00997571"/>
    <w:rsid w:val="009A02D3"/>
    <w:rsid w:val="009A27E2"/>
    <w:rsid w:val="009A2DAD"/>
    <w:rsid w:val="009A64EA"/>
    <w:rsid w:val="009B603C"/>
    <w:rsid w:val="009C2EC2"/>
    <w:rsid w:val="009C67B5"/>
    <w:rsid w:val="009C70F8"/>
    <w:rsid w:val="009C734C"/>
    <w:rsid w:val="009C743B"/>
    <w:rsid w:val="009D0C0A"/>
    <w:rsid w:val="009D3A3F"/>
    <w:rsid w:val="009D479A"/>
    <w:rsid w:val="009D56E6"/>
    <w:rsid w:val="009E1FAA"/>
    <w:rsid w:val="009F145D"/>
    <w:rsid w:val="009F1589"/>
    <w:rsid w:val="009F5AB5"/>
    <w:rsid w:val="00A008D3"/>
    <w:rsid w:val="00A02BEC"/>
    <w:rsid w:val="00A03892"/>
    <w:rsid w:val="00A04209"/>
    <w:rsid w:val="00A209BF"/>
    <w:rsid w:val="00A20CF6"/>
    <w:rsid w:val="00A2394C"/>
    <w:rsid w:val="00A26055"/>
    <w:rsid w:val="00A304B0"/>
    <w:rsid w:val="00A31D39"/>
    <w:rsid w:val="00A34CEB"/>
    <w:rsid w:val="00A35C6D"/>
    <w:rsid w:val="00A43434"/>
    <w:rsid w:val="00A43EFD"/>
    <w:rsid w:val="00A45935"/>
    <w:rsid w:val="00A51882"/>
    <w:rsid w:val="00A60495"/>
    <w:rsid w:val="00A610F6"/>
    <w:rsid w:val="00A66638"/>
    <w:rsid w:val="00A66F3C"/>
    <w:rsid w:val="00A6785E"/>
    <w:rsid w:val="00A7104E"/>
    <w:rsid w:val="00A71A31"/>
    <w:rsid w:val="00A73847"/>
    <w:rsid w:val="00A73935"/>
    <w:rsid w:val="00A7794C"/>
    <w:rsid w:val="00A77E99"/>
    <w:rsid w:val="00A807A5"/>
    <w:rsid w:val="00A823A8"/>
    <w:rsid w:val="00A847F8"/>
    <w:rsid w:val="00A90171"/>
    <w:rsid w:val="00A92E91"/>
    <w:rsid w:val="00A961A7"/>
    <w:rsid w:val="00AA05DE"/>
    <w:rsid w:val="00AA5817"/>
    <w:rsid w:val="00AA7F79"/>
    <w:rsid w:val="00AB0C52"/>
    <w:rsid w:val="00AB16BB"/>
    <w:rsid w:val="00AB45F8"/>
    <w:rsid w:val="00AB6603"/>
    <w:rsid w:val="00AB74DA"/>
    <w:rsid w:val="00AC1B3E"/>
    <w:rsid w:val="00AC664B"/>
    <w:rsid w:val="00AC75B9"/>
    <w:rsid w:val="00AC7DDF"/>
    <w:rsid w:val="00AD00C7"/>
    <w:rsid w:val="00AD39B9"/>
    <w:rsid w:val="00AD3CD7"/>
    <w:rsid w:val="00AD72DD"/>
    <w:rsid w:val="00AE3E85"/>
    <w:rsid w:val="00AE68CA"/>
    <w:rsid w:val="00AE704F"/>
    <w:rsid w:val="00B05B45"/>
    <w:rsid w:val="00B06B9C"/>
    <w:rsid w:val="00B10B3C"/>
    <w:rsid w:val="00B24679"/>
    <w:rsid w:val="00B311E6"/>
    <w:rsid w:val="00B35581"/>
    <w:rsid w:val="00B36B77"/>
    <w:rsid w:val="00B37E2A"/>
    <w:rsid w:val="00B40DBF"/>
    <w:rsid w:val="00B41573"/>
    <w:rsid w:val="00B421B9"/>
    <w:rsid w:val="00B51B3B"/>
    <w:rsid w:val="00B5530E"/>
    <w:rsid w:val="00B63DE8"/>
    <w:rsid w:val="00B64C7D"/>
    <w:rsid w:val="00B71961"/>
    <w:rsid w:val="00B737D4"/>
    <w:rsid w:val="00B76BA4"/>
    <w:rsid w:val="00B91D56"/>
    <w:rsid w:val="00BA248B"/>
    <w:rsid w:val="00BA2C5D"/>
    <w:rsid w:val="00BA450C"/>
    <w:rsid w:val="00BA4FCD"/>
    <w:rsid w:val="00BA5122"/>
    <w:rsid w:val="00BA6A33"/>
    <w:rsid w:val="00BB0A98"/>
    <w:rsid w:val="00BB551B"/>
    <w:rsid w:val="00BB5E89"/>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172B5"/>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4C2E"/>
    <w:rsid w:val="00C67E9D"/>
    <w:rsid w:val="00C8095B"/>
    <w:rsid w:val="00C84B5B"/>
    <w:rsid w:val="00C947BA"/>
    <w:rsid w:val="00C9522B"/>
    <w:rsid w:val="00C95BD6"/>
    <w:rsid w:val="00C95C14"/>
    <w:rsid w:val="00C95C77"/>
    <w:rsid w:val="00CA12E6"/>
    <w:rsid w:val="00CA28E6"/>
    <w:rsid w:val="00CA3A48"/>
    <w:rsid w:val="00CA6EC8"/>
    <w:rsid w:val="00CB3AD0"/>
    <w:rsid w:val="00CB4818"/>
    <w:rsid w:val="00CB68D9"/>
    <w:rsid w:val="00CC53B5"/>
    <w:rsid w:val="00CD3BC8"/>
    <w:rsid w:val="00CE15EA"/>
    <w:rsid w:val="00CE2990"/>
    <w:rsid w:val="00CF37F0"/>
    <w:rsid w:val="00CF4822"/>
    <w:rsid w:val="00CF6D0E"/>
    <w:rsid w:val="00D010F5"/>
    <w:rsid w:val="00D05E3A"/>
    <w:rsid w:val="00D076E7"/>
    <w:rsid w:val="00D10FA6"/>
    <w:rsid w:val="00D13817"/>
    <w:rsid w:val="00D201A2"/>
    <w:rsid w:val="00D27305"/>
    <w:rsid w:val="00D313E2"/>
    <w:rsid w:val="00D32DA8"/>
    <w:rsid w:val="00D32E53"/>
    <w:rsid w:val="00D35751"/>
    <w:rsid w:val="00D4053E"/>
    <w:rsid w:val="00D461AB"/>
    <w:rsid w:val="00D50380"/>
    <w:rsid w:val="00D50EF0"/>
    <w:rsid w:val="00D55226"/>
    <w:rsid w:val="00D5760C"/>
    <w:rsid w:val="00D57D0A"/>
    <w:rsid w:val="00D612DC"/>
    <w:rsid w:val="00D62992"/>
    <w:rsid w:val="00D62D31"/>
    <w:rsid w:val="00D62ED4"/>
    <w:rsid w:val="00D66182"/>
    <w:rsid w:val="00D66501"/>
    <w:rsid w:val="00D72C4F"/>
    <w:rsid w:val="00D73319"/>
    <w:rsid w:val="00D7340E"/>
    <w:rsid w:val="00D77B96"/>
    <w:rsid w:val="00D815E7"/>
    <w:rsid w:val="00D84198"/>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E6914"/>
    <w:rsid w:val="00DF68E2"/>
    <w:rsid w:val="00E03826"/>
    <w:rsid w:val="00E05D08"/>
    <w:rsid w:val="00E16522"/>
    <w:rsid w:val="00E30E27"/>
    <w:rsid w:val="00E31E8D"/>
    <w:rsid w:val="00E33F37"/>
    <w:rsid w:val="00E34FAC"/>
    <w:rsid w:val="00E36F81"/>
    <w:rsid w:val="00E54013"/>
    <w:rsid w:val="00E54929"/>
    <w:rsid w:val="00E56789"/>
    <w:rsid w:val="00E56A49"/>
    <w:rsid w:val="00E602C8"/>
    <w:rsid w:val="00E634DC"/>
    <w:rsid w:val="00E64309"/>
    <w:rsid w:val="00E71021"/>
    <w:rsid w:val="00E713B8"/>
    <w:rsid w:val="00E72529"/>
    <w:rsid w:val="00E8197A"/>
    <w:rsid w:val="00E849E7"/>
    <w:rsid w:val="00E90946"/>
    <w:rsid w:val="00EA0618"/>
    <w:rsid w:val="00EA0974"/>
    <w:rsid w:val="00EB77F2"/>
    <w:rsid w:val="00EB7915"/>
    <w:rsid w:val="00EC079D"/>
    <w:rsid w:val="00EC468B"/>
    <w:rsid w:val="00EC4AF4"/>
    <w:rsid w:val="00EC5172"/>
    <w:rsid w:val="00EC7477"/>
    <w:rsid w:val="00EC7C14"/>
    <w:rsid w:val="00ED1295"/>
    <w:rsid w:val="00ED1649"/>
    <w:rsid w:val="00ED47C5"/>
    <w:rsid w:val="00ED6DEF"/>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3504"/>
    <w:rsid w:val="00F86C48"/>
    <w:rsid w:val="00F8743F"/>
    <w:rsid w:val="00F9406A"/>
    <w:rsid w:val="00F94F86"/>
    <w:rsid w:val="00FA12EA"/>
    <w:rsid w:val="00FA6691"/>
    <w:rsid w:val="00FB51EF"/>
    <w:rsid w:val="00FB5B14"/>
    <w:rsid w:val="00FB5D43"/>
    <w:rsid w:val="00FC1408"/>
    <w:rsid w:val="00FC1446"/>
    <w:rsid w:val="00FC14FF"/>
    <w:rsid w:val="00FC7364"/>
    <w:rsid w:val="00FE15F9"/>
    <w:rsid w:val="00FF02C1"/>
    <w:rsid w:val="00FF15CC"/>
    <w:rsid w:val="00FF4353"/>
    <w:rsid w:val="00FF5C86"/>
    <w:rsid w:val="00FF6BF2"/>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7FA7"/>
  <w15:docId w15:val="{9070C71E-162A-4E28-8142-1B3307E0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cs-CZ"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cs-CZ"/>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cs-CZ"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gao.gov/products/GAO/PEMD-10.1.9"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enrd.ec.europa.eu/enrd-static/app_templates/enrd_assets/pdf/guidebook/nrn_handbook_webversion.pdf" TargetMode="External"/><Relationship Id="rId84" Type="http://schemas.openxmlformats.org/officeDocument/2006/relationships/hyperlink" Target="http://www.men-d.de/index.php?id=81&amp;tx_ttnews%5btt_news%5d=150&amp;tx_ttnews%5bbackPid%5d=85&amp;cHash=41ecd4ea5c" TargetMode="External"/><Relationship Id="rId89" Type="http://schemas.openxmlformats.org/officeDocument/2006/relationships/hyperlink" Target="http://www.men-d.de/index.php?id=81&amp;tx_ttnews%5btt_news%5d=150&amp;tx_ttnews%5bbackPid%5d=85&amp;cHash=41ecd4ea5c" TargetMode="External"/><Relationship Id="rId112" Type="http://schemas.openxmlformats.org/officeDocument/2006/relationships/hyperlink" Target="https://www.ncbi.nlm.nih.gov/pubmed/16053581" TargetMode="External"/><Relationship Id="rId133" Type="http://schemas.openxmlformats.org/officeDocument/2006/relationships/header" Target="header11.xm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evaluation/publications/guidelines-assessment-rdp-results-how-prepare-reporting-evaluation-2017_en" TargetMode="External"/><Relationship Id="rId79" Type="http://schemas.openxmlformats.org/officeDocument/2006/relationships/hyperlink" Target="http://enrd.ec.europa.eu/enrd-static/evaluation/good-practices-workshops/national-rural-networks/en/national-rural-networks_en.html" TargetMode="External"/><Relationship Id="rId102" Type="http://schemas.openxmlformats.org/officeDocument/2006/relationships/hyperlink" Target="http://asq.org/quality-progress/2007/07/statistics/likert-scales-and-data-analyses.html" TargetMode="External"/><Relationship Id="rId123" Type="http://schemas.openxmlformats.org/officeDocument/2006/relationships/hyperlink" Target="http://journals.sagepub.com/doi/abs/10.1177/1356389012451663" TargetMode="External"/><Relationship Id="rId128" Type="http://schemas.openxmlformats.org/officeDocument/2006/relationships/hyperlink" Target="http://ec.europa.eu/eip/agriculture/sites/agri-eip/files/eip-guidelines-july-2014_en.pdf"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95&amp;tx_ttnews%5bbackPid%5d=85&amp;cHash=08539b2ad7"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c.europa.eu/eip/agriculture/sites/agri-eip/files/16_measure_fiche_art_35_co-operation.pdf" TargetMode="External"/><Relationship Id="rId64" Type="http://schemas.openxmlformats.org/officeDocument/2006/relationships/hyperlink" Target="https://enrd.ec.europa.eu/evaluation/publications/guidelines-evaluation-national-rural-networks-2014-2020_en" TargetMode="External"/><Relationship Id="rId69" Type="http://schemas.openxmlformats.org/officeDocument/2006/relationships/hyperlink" Target="https://enrd.ec.europa.eu/sites/enrd/files/twg-02-nrn-july2016.pdf" TargetMode="External"/><Relationship Id="rId77" Type="http://schemas.openxmlformats.org/officeDocument/2006/relationships/hyperlink" Target="https://ec.europa.eu/eip/agriculture/en/publications/guidelines-programming-innovation-and" TargetMode="External"/><Relationship Id="rId100" Type="http://schemas.openxmlformats.org/officeDocument/2006/relationships/hyperlink" Target="https://enrd.ec.europa.eu/sites/enrd/files/uploaded-files/wp_evaluation_questions_2015.pdf" TargetMode="External"/><Relationship Id="rId105" Type="http://schemas.openxmlformats.org/officeDocument/2006/relationships/hyperlink" Target="https://www.gao.gov/products/GAO/PEMD-10.1.9" TargetMode="External"/><Relationship Id="rId113" Type="http://schemas.openxmlformats.org/officeDocument/2006/relationships/hyperlink" Target="http://betterevaluation.org/plan/approach/outcome_harvesting" TargetMode="External"/><Relationship Id="rId118" Type="http://schemas.openxmlformats.org/officeDocument/2006/relationships/hyperlink" Target="https://www.gao.gov/products/GAO/PEMD-10.1.9" TargetMode="External"/><Relationship Id="rId126" Type="http://schemas.openxmlformats.org/officeDocument/2006/relationships/hyperlink" Target="https://ec.europa.eu/research/innovation-union/pdf/innovation-union-communication_en.pdf" TargetMode="External"/><Relationship Id="rId134"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image" Target="media/image16.emf"/><Relationship Id="rId72" Type="http://schemas.openxmlformats.org/officeDocument/2006/relationships/hyperlink" Target="http://enrd.ec.europa.eu/enrd-static/evaluation/good-practices-workshops/national-rural-networks/en/national-rural-networks_en.html" TargetMode="External"/><Relationship Id="rId80" Type="http://schemas.openxmlformats.org/officeDocument/2006/relationships/hyperlink" Target="https://enrd.ec.europa.eu/sites/enrd/files/uploaded-files/wp_evaluation_questions_2015.pdf" TargetMode="External"/><Relationship Id="rId85" Type="http://schemas.openxmlformats.org/officeDocument/2006/relationships/hyperlink" Target="http://www.men-d.de/index.php?id=81&amp;tx_ttnews%5btt_news%5d=195&amp;tx_ttnews%5bbackPid%5d=85&amp;cHash=08539b2ad7" TargetMode="External"/><Relationship Id="rId93" Type="http://schemas.openxmlformats.org/officeDocument/2006/relationships/header" Target="header9.xml"/><Relationship Id="rId98" Type="http://schemas.openxmlformats.org/officeDocument/2006/relationships/hyperlink" Target="http://www.hnvlink.eu/" TargetMode="External"/><Relationship Id="rId121" Type="http://schemas.openxmlformats.org/officeDocument/2006/relationships/hyperlink" Target="http://journals.sagepub.com/doi/abs/10.1177/135638901245166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s://enrd.ec.europa.eu/evaluation/publications/guidelines-assessment-rdp-results-how-prepare-reporting-evaluation-2017_en" TargetMode="External"/><Relationship Id="rId103" Type="http://schemas.openxmlformats.org/officeDocument/2006/relationships/hyperlink" Target="https://www.cambridge.org/core/journals/ps-political-science-and-politics/article/understanding-process-tracing/183A057AD6A36783E678CB37440346D1"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ageconsearch.umn.edu/bitstream/52515/2/ILAC_Brief05_Histories.pdf" TargetMode="External"/><Relationship Id="rId124" Type="http://schemas.openxmlformats.org/officeDocument/2006/relationships/hyperlink" Target="https://www.ncbi.nlm.nih.gov/pubmed/16053581" TargetMode="External"/><Relationship Id="rId129"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image" Target="media/image17.emf"/><Relationship Id="rId70" Type="http://schemas.openxmlformats.org/officeDocument/2006/relationships/hyperlink" Target="https://ec.europa.eu/eip/agriculture/en/publications/guidelines-programming-innovation-and" TargetMode="External"/><Relationship Id="rId75" Type="http://schemas.openxmlformats.org/officeDocument/2006/relationships/hyperlink" Target="http://enrd.ec.europa.eu/enrd-static/app_templates/enrd_assets/pdf/guidebook/nrn_handbook_webversion.pdf" TargetMode="External"/><Relationship Id="rId83" Type="http://schemas.openxmlformats.org/officeDocument/2006/relationships/hyperlink" Target="http://www.men-d.de/uploads/media/MEN-D_Jahresveranstaltung_2017.pdf" TargetMode="External"/><Relationship Id="rId88" Type="http://schemas.openxmlformats.org/officeDocument/2006/relationships/hyperlink" Target="http://www.men-d.de/uploads/media/MEN-D_Jahresveranstaltung_2017.pdf" TargetMode="External"/><Relationship Id="rId91" Type="http://schemas.openxmlformats.org/officeDocument/2006/relationships/image" Target="media/image18.emf"/><Relationship Id="rId96" Type="http://schemas.openxmlformats.org/officeDocument/2006/relationships/hyperlink" Target="http://www.hnvlink.eu/"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enrd.ec.europa.eu/enrd-static/app_templates/enrd_assets/pdf/guidebook/nrn_handbook_webvers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s://ec.europa.eu/eip/agriculture/sites/agri-eip/files/16_measure_fiche_art_35_co-operation.pdf"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asq.org/quality-progress/2007/07/statistics/likert-scales-and-data-analyses.html" TargetMode="External"/><Relationship Id="rId119" Type="http://schemas.openxmlformats.org/officeDocument/2006/relationships/hyperlink" Target="http://www.tandfonline.com/doi/abs/10.1080/135467896394447" TargetMode="External"/><Relationship Id="rId127" Type="http://schemas.openxmlformats.org/officeDocument/2006/relationships/hyperlink" Target="https://ec.europa.eu/eip/agriculture/sites/agri-eip/files/communication_on_eip_-_en.pdf"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c.europa.eu/eip/agriculture/sites/agri-eip/files/16_measure_fiche_art_35_co-operation.pdf" TargetMode="External"/><Relationship Id="rId65" Type="http://schemas.openxmlformats.org/officeDocument/2006/relationships/header" Target="header7.xm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ur-lex.europa.eu/LexUriServ/LexUriServ.do?uri=COM:2010:2020:FIN:CS:PDF" TargetMode="External"/><Relationship Id="rId86" Type="http://schemas.openxmlformats.org/officeDocument/2006/relationships/hyperlink" Target="http://eur-lex.europa.eu/LexUriServ/LexUriServ.do?uri=COM:2010:2020:FIN:CS:PDF"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www.hnvlink.eu/download/D1.3BAcomplete.pdf" TargetMode="External"/><Relationship Id="rId101" Type="http://schemas.openxmlformats.org/officeDocument/2006/relationships/header" Target="header10.xml"/><Relationship Id="rId122" Type="http://schemas.openxmlformats.org/officeDocument/2006/relationships/hyperlink" Target="http://journals.sagepub.com/doi/abs/10.1177/1356389012451663" TargetMode="External"/><Relationship Id="rId130" Type="http://schemas.openxmlformats.org/officeDocument/2006/relationships/hyperlink" Target="http://ec.europa.eu/eip/agriculture/sites/agri-eip/files/16_measure_fiche_art_35_co-operation.pdf"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journals.sagepub.com/doi/abs/10.1177/1356389012451663"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enrd.ec.europa.eu/news-events/events/enrd-workshop-measure-16-cooperation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nrd.ec.europa.eu/sites/enrd/files/twg-02-nrn-july2016.pdf" TargetMode="External"/><Relationship Id="rId97" Type="http://schemas.openxmlformats.org/officeDocument/2006/relationships/hyperlink" Target="http://www.hnvlink.eu/download/D1.3BAcomplete.pdf" TargetMode="External"/><Relationship Id="rId104" Type="http://schemas.openxmlformats.org/officeDocument/2006/relationships/hyperlink" Target="http://ageconsearch.umn.edu/bitstream/52515/2/ILAC_Brief05_Histories.pdf"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betterevaluation.org/plan/approach/outcome_harvesting"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s://www.cambridge.org/core/journals/ps-political-science-and-politics/article/understanding-process-tracing/183A057AD6A36783E678CB37440346D1" TargetMode="External"/><Relationship Id="rId131" Type="http://schemas.openxmlformats.org/officeDocument/2006/relationships/hyperlink" Target="https://ec.europa.eu/eip/agriculture/en/content/innovation-support-services" TargetMode="External"/><Relationship Id="rId61" Type="http://schemas.openxmlformats.org/officeDocument/2006/relationships/hyperlink" Target="http://enrd.ec.europa.eu/news-events/events/enrd-workshop-measure-16-cooperation_en" TargetMode="External"/><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cs/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07B7-554B-4929-AD81-EDCC05C3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80</Pages>
  <Words>20287</Words>
  <Characters>115639</Characters>
  <Application>Microsoft Office Word</Application>
  <DocSecurity>0</DocSecurity>
  <Lines>963</Lines>
  <Paragraphs>271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135655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2018-03-15T08:15:00Z</cp:lastPrinted>
  <dcterms:created xsi:type="dcterms:W3CDTF">2018-03-20T12:58:00Z</dcterms:created>
  <dcterms:modified xsi:type="dcterms:W3CDTF">2018-03-20T13:14:00Z</dcterms:modified>
</cp:coreProperties>
</file>