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584" w:rsidRDefault="003C3C78">
      <w:pPr>
        <w:pStyle w:val="HStandard"/>
        <w:rPr>
          <w:rFonts w:cs="Arial"/>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0288" behindDoc="0" locked="0" layoutInCell="1" allowOverlap="1" wp14:anchorId="1EA9A677" wp14:editId="6D63F161">
                <wp:simplePos x="0" y="0"/>
                <wp:positionH relativeFrom="column">
                  <wp:posOffset>295275</wp:posOffset>
                </wp:positionH>
                <wp:positionV relativeFrom="paragraph">
                  <wp:posOffset>7129780</wp:posOffset>
                </wp:positionV>
                <wp:extent cx="5124450" cy="9829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3C3C78" w:rsidRDefault="003C3C78" w:rsidP="003C3C78">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1" w:tgtFrame="_blank" w:history="1">
                              <w:r>
                                <w:rPr>
                                  <w:rStyle w:val="Hyperlink"/>
                                  <w:i/>
                                </w:rPr>
                                <w:t>following link</w:t>
                              </w:r>
                            </w:hyperlink>
                            <w:r>
                              <w:rPr>
                                <w:rFonts w:cs="Arial"/>
                                <w:i/>
                              </w:rPr>
                              <w:t xml:space="preserve">.  </w:t>
                            </w:r>
                          </w:p>
                          <w:p w:rsidR="003C3C78" w:rsidRDefault="003C3C78" w:rsidP="003C3C78">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9A677" id="_x0000_t202" coordsize="21600,21600" o:spt="202" path="m,l,21600r21600,l21600,xe">
                <v:stroke joinstyle="miter"/>
                <v:path gradientshapeok="t" o:connecttype="rect"/>
              </v:shapetype>
              <v:shape id="Text Box 217" o:spid="_x0000_s1026" type="#_x0000_t202" style="position:absolute;left:0;text-align:left;margin-left:23.25pt;margin-top:561.4pt;width:403.5pt;height:7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" filled="f">
                <v:textbox>
                  <w:txbxContent>
                    <w:p w:rsidR="003C3C78" w:rsidRDefault="003C3C78" w:rsidP="003C3C78">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Pr>
                            <w:rStyle w:val="Hyperlink"/>
                            <w:i/>
                          </w:rPr>
                          <w:t>following link</w:t>
                        </w:r>
                      </w:hyperlink>
                      <w:r>
                        <w:rPr>
                          <w:rFonts w:cs="Arial"/>
                          <w:i/>
                        </w:rPr>
                        <w:t xml:space="preserve">.  </w:t>
                      </w:r>
                    </w:p>
                    <w:p w:rsidR="003C3C78" w:rsidRDefault="003C3C78" w:rsidP="003C3C78">
                      <w:pPr>
                        <w:rPr>
                          <w:color w:val="212121"/>
                        </w:rPr>
                      </w:pPr>
                    </w:p>
                  </w:txbxContent>
                </v:textbox>
                <w10:wrap type="square"/>
              </v:shape>
            </w:pict>
          </mc:Fallback>
        </mc:AlternateContent>
      </w:r>
      <w:r w:rsidR="00D64125">
        <w:rPr>
          <w:rFonts w:cs="Arial"/>
          <w:noProof/>
          <w:szCs w:val="24"/>
          <w:lang w:val="en-GB" w:eastAsia="en-GB" w:bidi="ar-SA"/>
        </w:rPr>
        <mc:AlternateContent>
          <mc:Choice Requires="wps">
            <w:drawing>
              <wp:anchor distT="0" distB="0" distL="114300" distR="114300" simplePos="0" relativeHeight="251658240" behindDoc="1" locked="0" layoutInCell="1" allowOverlap="1" wp14:anchorId="5E19CCBA" wp14:editId="1ECFF63B">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584" w:rsidRDefault="00D64125">
                            <w:pPr>
                              <w:pStyle w:val="HTitle1"/>
                            </w:pPr>
                            <w:r>
                              <w:t>GUIDELINES</w:t>
                            </w:r>
                          </w:p>
                          <w:p w:rsidR="00143584" w:rsidRDefault="00D64125">
                            <w:pPr>
                              <w:pStyle w:val="HTitle2"/>
                            </w:pPr>
                            <w:r>
                              <w:t xml:space="preserve">ASSESSMENT OF RDP RESULTS: </w:t>
                            </w:r>
                            <w:r>
                              <w:br/>
                              <w:t>HOW TO PREPARE FOR REPORTING ON EVALUATION IN 2017</w:t>
                            </w:r>
                          </w:p>
                          <w:p w:rsidR="00143584" w:rsidRDefault="00143584">
                            <w:pPr>
                              <w:pStyle w:val="HTitle2"/>
                              <w:rPr>
                                <w:szCs w:val="40"/>
                              </w:rPr>
                            </w:pPr>
                          </w:p>
                          <w:p w:rsidR="00143584" w:rsidRDefault="00D64125">
                            <w:pPr>
                              <w:pStyle w:val="HTitle3"/>
                            </w:pPr>
                            <w:r>
                              <w:t>September 2016</w:t>
                            </w:r>
                          </w:p>
                          <w:p w:rsidR="00143584" w:rsidRDefault="00143584">
                            <w:pPr>
                              <w:pStyle w:val="HTitle3"/>
                            </w:pPr>
                          </w:p>
                          <w:p w:rsidR="00143584" w:rsidRDefault="00143584">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CCBA" id="Text Box 5" o:spid="_x0000_s1027" type="#_x0000_t202" style="position:absolute;left:0;text-align:left;margin-left:161pt;margin-top:395.5pt;width:390.4pt;height:30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143584" w:rsidRDefault="00D64125">
                      <w:pPr>
                        <w:pStyle w:val="HTitle1"/>
                      </w:pPr>
                      <w:r>
                        <w:t>GUIDELINES</w:t>
                      </w:r>
                    </w:p>
                    <w:p w:rsidR="00143584" w:rsidRDefault="00D64125">
                      <w:pPr>
                        <w:pStyle w:val="HTitle2"/>
                      </w:pPr>
                      <w:r>
                        <w:t xml:space="preserve">ASSESSMENT OF RDP RESULTS: </w:t>
                      </w:r>
                      <w:r>
                        <w:br/>
                        <w:t>HOW TO PREPARE FOR REPORTING ON EVALUATION IN 2017</w:t>
                      </w:r>
                    </w:p>
                    <w:p w:rsidR="00143584" w:rsidRDefault="00143584">
                      <w:pPr>
                        <w:pStyle w:val="HTitle2"/>
                        <w:rPr>
                          <w:szCs w:val="40"/>
                        </w:rPr>
                      </w:pPr>
                    </w:p>
                    <w:p w:rsidR="00143584" w:rsidRDefault="00D64125">
                      <w:pPr>
                        <w:pStyle w:val="HTitle3"/>
                      </w:pPr>
                      <w:r>
                        <w:t>September 2016</w:t>
                      </w:r>
                    </w:p>
                    <w:p w:rsidR="00143584" w:rsidRDefault="00143584">
                      <w:pPr>
                        <w:pStyle w:val="HTitle3"/>
                      </w:pPr>
                    </w:p>
                    <w:p w:rsidR="00143584" w:rsidRDefault="00143584">
                      <w:pPr>
                        <w:pStyle w:val="HTitle3"/>
                      </w:pPr>
                    </w:p>
                  </w:txbxContent>
                </v:textbox>
                <w10:wrap type="tight" anchorx="page" anchory="page"/>
              </v:shape>
            </w:pict>
          </mc:Fallback>
        </mc:AlternateContent>
      </w:r>
      <w:r w:rsidR="00D64125">
        <w:rPr>
          <w:rFonts w:cs="Arial"/>
          <w:noProof/>
          <w:lang w:val="en-GB" w:eastAsia="en-GB" w:bidi="ar-SA"/>
        </w:rPr>
        <w:drawing>
          <wp:anchor distT="0" distB="0" distL="114300" distR="114300" simplePos="0" relativeHeight="251656192" behindDoc="1" locked="0" layoutInCell="1" allowOverlap="1" wp14:anchorId="2B25F62C" wp14:editId="6A61CD6C">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D64125">
        <w:br w:type="page"/>
      </w:r>
    </w:p>
    <w:p w:rsidR="00143584" w:rsidRDefault="00D64125">
      <w:pPr>
        <w:pStyle w:val="HStandard"/>
        <w:rPr>
          <w:rFonts w:cs="Arial"/>
        </w:rPr>
      </w:pPr>
      <w:r>
        <w:rPr>
          <w:rFonts w:cs="Arial"/>
          <w:noProof/>
          <w:lang w:val="en-GB" w:eastAsia="en-GB" w:bidi="ar-SA"/>
        </w:rPr>
        <w:lastRenderedPageBreak/>
        <mc:AlternateContent>
          <mc:Choice Requires="wps">
            <w:drawing>
              <wp:anchor distT="0" distB="0" distL="114300" distR="114300" simplePos="0" relativeHeight="251658752" behindDoc="0" locked="0" layoutInCell="1" allowOverlap="1">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143584" w:rsidRDefault="00D64125">
                            <w:pPr>
                              <w:pStyle w:val="Hdisclaimer"/>
                            </w:pPr>
                            <w:r>
                              <w:t>Copyright notice</w:t>
                            </w:r>
                          </w:p>
                          <w:p w:rsidR="00143584" w:rsidRDefault="00D64125">
                            <w:pPr>
                              <w:pStyle w:val="Hdisclaimer"/>
                            </w:pPr>
                            <w:r>
                              <w:t>© European Union, 2016</w:t>
                            </w:r>
                          </w:p>
                          <w:p w:rsidR="00143584" w:rsidRDefault="00D64125">
                            <w:pPr>
                              <w:pStyle w:val="Hdisclaimer"/>
                            </w:pPr>
                            <w:r>
                              <w:t>Reproduction is authorised provided the source is acknowledged.</w:t>
                            </w:r>
                          </w:p>
                          <w:p w:rsidR="00143584" w:rsidRDefault="00D64125">
                            <w:pPr>
                              <w:pStyle w:val="Hdisclaimer"/>
                            </w:pPr>
                            <w:r>
                              <w:t>Recommended citation: EUROPEAN COMMISSION – Directorate-General for Agriculture and Rural Development – Unit E.4 (2016): Guidelines. Assessment of RDP results: How to prepare for reporting on evaluation in 2017. Brussels</w:t>
                            </w:r>
                          </w:p>
                          <w:p w:rsidR="00143584" w:rsidRDefault="00D64125">
                            <w:pPr>
                              <w:pStyle w:val="Hdisclaimer"/>
                            </w:pPr>
                            <w:r>
                              <w:t>Disclaimer:</w:t>
                            </w:r>
                          </w:p>
                          <w:p w:rsidR="00143584" w:rsidRDefault="00D64125">
                            <w:pPr>
                              <w:pStyle w:val="Hdisclaimer"/>
                            </w:pPr>
                            <w: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143584" w:rsidRDefault="00D64125">
                            <w:pPr>
                              <w:pStyle w:val="Hdisclaimer"/>
                              <w:tabs>
                                <w:tab w:val="right" w:pos="10065"/>
                              </w:tabs>
                            </w:pPr>
                            <w:r>
                              <w:rPr>
                                <w:noProof/>
                                <w:lang w:val="en-GB" w:eastAsia="en-GB" w:bidi="ar-SA"/>
                              </w:rPr>
                              <w:drawing>
                                <wp:inline distT="0" distB="0" distL="0" distR="0">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43584" w:rsidRDefault="00D64125">
                            <w:pPr>
                              <w:pStyle w:val="Hdisclaimer"/>
                            </w:pPr>
                            <w: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143584" w:rsidRDefault="00D64125">
                            <w:pPr>
                              <w:pStyle w:val="Hdisclaimer"/>
                            </w:pPr>
                            <w: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143584" w:rsidRDefault="00D64125">
                      <w:pPr>
                        <w:pStyle w:val="Hdisclaimer"/>
                      </w:pPr>
                      <w:r>
                        <w:t>Copyright notice</w:t>
                      </w:r>
                    </w:p>
                    <w:p w:rsidR="00143584" w:rsidRDefault="00D64125">
                      <w:pPr>
                        <w:pStyle w:val="Hdisclaimer"/>
                      </w:pPr>
                      <w:r>
                        <w:t>© European Union, 2016</w:t>
                      </w:r>
                    </w:p>
                    <w:p w:rsidR="00143584" w:rsidRDefault="00D64125">
                      <w:pPr>
                        <w:pStyle w:val="Hdisclaimer"/>
                      </w:pPr>
                      <w:r>
                        <w:t>Reproduction is authorised provided the source is acknowledged.</w:t>
                      </w:r>
                    </w:p>
                    <w:p w:rsidR="00143584" w:rsidRDefault="00D64125">
                      <w:pPr>
                        <w:pStyle w:val="Hdisclaimer"/>
                      </w:pPr>
                      <w:r>
                        <w:t>Recommended citation: EUROPEAN COMMISSION – Directorate-General for Agriculture and Rural Development – Unit E.4 (2016): Guidelines. Assessment of RDP results: How to prepare for reporting on evaluation in 2017. Brussels</w:t>
                      </w:r>
                    </w:p>
                    <w:p w:rsidR="00143584" w:rsidRDefault="00D64125">
                      <w:pPr>
                        <w:pStyle w:val="Hdisclaimer"/>
                      </w:pPr>
                      <w:r>
                        <w:t>Disclaimer:</w:t>
                      </w:r>
                    </w:p>
                    <w:p w:rsidR="00143584" w:rsidRDefault="00D64125">
                      <w:pPr>
                        <w:pStyle w:val="Hdisclaimer"/>
                      </w:pPr>
                      <w: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143584" w:rsidRDefault="00D64125">
                      <w:pPr>
                        <w:pStyle w:val="Hdisclaimer"/>
                        <w:tabs>
                          <w:tab w:val="right" w:pos="10065"/>
                        </w:tabs>
                      </w:pPr>
                      <w:r>
                        <w:rPr>
                          <w:noProof/>
                          <w:lang w:val="en-GB" w:eastAsia="en-GB" w:bidi="ar-SA"/>
                        </w:rPr>
                        <w:drawing>
                          <wp:inline distT="0" distB="0" distL="0" distR="0">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43584" w:rsidRDefault="00D64125">
                      <w:pPr>
                        <w:pStyle w:val="Hdisclaimer"/>
                      </w:pPr>
                      <w: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143584" w:rsidRDefault="00D64125">
                      <w:pPr>
                        <w:pStyle w:val="Hdisclaimer"/>
                      </w:pPr>
                      <w:r>
                        <w:t>Additional information about the activities of European Evaluation Helpdesk for Rural Development is available on the Internet through the Europa server (http://enrd.ec.europa.eu).</w:t>
                      </w:r>
                    </w:p>
                  </w:txbxContent>
                </v:textbox>
                <w10:wrap anchorx="margin"/>
              </v:shape>
            </w:pict>
          </mc:Fallback>
        </mc:AlternateContent>
      </w:r>
      <w:r>
        <w:br w:type="page"/>
      </w:r>
    </w:p>
    <w:p w:rsidR="00143584" w:rsidRDefault="00143584">
      <w:pPr>
        <w:pStyle w:val="HStandard"/>
        <w:rPr>
          <w:rFonts w:cs="Arial"/>
        </w:rPr>
      </w:pPr>
    </w:p>
    <w:p w:rsidR="00143584" w:rsidRDefault="00143584">
      <w:pPr>
        <w:pStyle w:val="HStandard"/>
        <w:rPr>
          <w:rFonts w:cs="Arial"/>
        </w:rPr>
      </w:pPr>
    </w:p>
    <w:p w:rsidR="00143584" w:rsidRDefault="00143584">
      <w:pPr>
        <w:pStyle w:val="HStandard"/>
        <w:rPr>
          <w:rFonts w:cs="Arial"/>
        </w:rPr>
      </w:pPr>
    </w:p>
    <w:p w:rsidR="00143584" w:rsidRDefault="00D64125">
      <w:pPr>
        <w:pStyle w:val="HStandard"/>
        <w:rPr>
          <w:rFonts w:cs="Arial"/>
        </w:rPr>
      </w:pPr>
      <w:r>
        <w:rPr>
          <w:rFonts w:cs="Arial"/>
          <w:noProof/>
          <w:lang w:val="en-GB" w:eastAsia="en-GB" w:bidi="ar-SA"/>
        </w:rPr>
        <mc:AlternateContent>
          <mc:Choice Requires="wps">
            <w:drawing>
              <wp:anchor distT="0" distB="0" distL="114300" distR="114300" simplePos="0" relativeHeight="251660800" behindDoc="1" locked="0" layoutInCell="1" allowOverlap="1">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584" w:rsidRDefault="00D64125">
                            <w:pPr>
                              <w:pStyle w:val="HTitle1"/>
                            </w:pPr>
                            <w:r>
                              <w:t>GUIDELINES</w:t>
                            </w:r>
                          </w:p>
                          <w:p w:rsidR="00143584" w:rsidRDefault="00D64125">
                            <w:pPr>
                              <w:pStyle w:val="HTitle2"/>
                            </w:pPr>
                            <w:r>
                              <w:t xml:space="preserve">ASSESSMENT OF RDP RESULTS: </w:t>
                            </w:r>
                            <w:r>
                              <w:br/>
                              <w:t>HOW TO PREPARE FOR REPORTING ON EVALUATION IN 2017</w:t>
                            </w:r>
                          </w:p>
                          <w:p w:rsidR="00143584" w:rsidRDefault="00143584">
                            <w:pPr>
                              <w:pStyle w:val="HTitle2"/>
                              <w:rPr>
                                <w:szCs w:val="40"/>
                              </w:rPr>
                            </w:pPr>
                          </w:p>
                          <w:p w:rsidR="00143584" w:rsidRDefault="00D64125">
                            <w:pPr>
                              <w:pStyle w:val="HTitle3"/>
                            </w:pPr>
                            <w: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143584" w:rsidRDefault="00D64125">
                      <w:pPr>
                        <w:pStyle w:val="HTitle1"/>
                      </w:pPr>
                      <w:r>
                        <w:t>GUIDELINES</w:t>
                      </w:r>
                    </w:p>
                    <w:p w:rsidR="00143584" w:rsidRDefault="00D64125">
                      <w:pPr>
                        <w:pStyle w:val="HTitle2"/>
                      </w:pPr>
                      <w:r>
                        <w:t xml:space="preserve">ASSESSMENT OF RDP RESULTS: </w:t>
                      </w:r>
                      <w:r>
                        <w:br/>
                        <w:t>HOW TO PREPARE FOR REPORTING ON EVALUATION IN 2017</w:t>
                      </w:r>
                    </w:p>
                    <w:p w:rsidR="00143584" w:rsidRDefault="00143584">
                      <w:pPr>
                        <w:pStyle w:val="HTitle2"/>
                        <w:rPr>
                          <w:szCs w:val="40"/>
                        </w:rPr>
                      </w:pPr>
                    </w:p>
                    <w:p w:rsidR="00143584" w:rsidRDefault="00D64125">
                      <w:pPr>
                        <w:pStyle w:val="HTitle3"/>
                      </w:pPr>
                      <w:r>
                        <w:t>September 2016</w:t>
                      </w:r>
                    </w:p>
                  </w:txbxContent>
                </v:textbox>
                <w10:wrap type="tight" anchorx="page" anchory="page"/>
              </v:shape>
            </w:pict>
          </mc:Fallback>
        </mc:AlternateContent>
      </w:r>
    </w:p>
    <w:p w:rsidR="00143584" w:rsidRDefault="00143584">
      <w:pPr>
        <w:pStyle w:val="HStandard"/>
        <w:rPr>
          <w:rFonts w:cs="Arial"/>
        </w:rPr>
        <w:sectPr w:rsidR="00143584">
          <w:pgSz w:w="11906" w:h="16838" w:code="9"/>
          <w:pgMar w:top="1440" w:right="1440" w:bottom="1134" w:left="1440" w:header="284" w:footer="709" w:gutter="0"/>
          <w:cols w:space="708"/>
          <w:titlePg/>
          <w:docGrid w:linePitch="360"/>
        </w:sectPr>
      </w:pPr>
    </w:p>
    <w:p w:rsidR="00143584" w:rsidRDefault="00D64125">
      <w:pPr>
        <w:pStyle w:val="HContent"/>
      </w:pPr>
      <w:r>
        <w:lastRenderedPageBreak/>
        <w:t>Content</w:t>
      </w:r>
    </w:p>
    <w:p w:rsidR="00607FE5" w:rsidRDefault="00D64125">
      <w:pPr>
        <w:pStyle w:val="TOC1"/>
        <w:rPr>
          <w:rFonts w:asciiTheme="minorHAnsi" w:eastAsiaTheme="minorEastAsia" w:hAnsiTheme="minorHAnsi" w:cstheme="minorBidi"/>
          <w:b w:val="0"/>
          <w:color w:val="auto"/>
          <w:sz w:val="22"/>
          <w:szCs w:val="22"/>
          <w:lang w:val="en-GB" w:eastAsia="en-GB" w:bidi="ar-SA"/>
        </w:rPr>
      </w:pPr>
      <w:r>
        <w:rPr>
          <w:rFonts w:cs="Arial"/>
          <w:noProof w:val="0"/>
        </w:rPr>
        <w:fldChar w:fldCharType="begin"/>
      </w:r>
      <w:r>
        <w:rPr>
          <w:rFonts w:cs="Arial"/>
          <w:noProof w:val="0"/>
        </w:rPr>
        <w:instrText xml:space="preserve"> TOC \h \z \t "H_Heading 1;1;H_Heading 2;2;H_Heading 3;3;H_Heading 9;1" </w:instrText>
      </w:r>
      <w:r>
        <w:rPr>
          <w:rFonts w:cs="Arial"/>
          <w:noProof w:val="0"/>
        </w:rPr>
        <w:fldChar w:fldCharType="separate"/>
      </w:r>
      <w:hyperlink w:anchor="_Toc474938215" w:history="1">
        <w:r w:rsidR="00607FE5" w:rsidRPr="002F5BFC">
          <w:rPr>
            <w:rStyle w:val="Hyperlink"/>
          </w:rPr>
          <w:t>INTRODUCTION</w:t>
        </w:r>
        <w:r w:rsidR="00607FE5">
          <w:rPr>
            <w:webHidden/>
          </w:rPr>
          <w:tab/>
        </w:r>
        <w:r w:rsidR="00607FE5">
          <w:rPr>
            <w:webHidden/>
          </w:rPr>
          <w:fldChar w:fldCharType="begin"/>
        </w:r>
        <w:r w:rsidR="00607FE5">
          <w:rPr>
            <w:webHidden/>
          </w:rPr>
          <w:instrText xml:space="preserve"> PAGEREF _Toc474938215 \h </w:instrText>
        </w:r>
        <w:r w:rsidR="00607FE5">
          <w:rPr>
            <w:webHidden/>
          </w:rPr>
        </w:r>
        <w:r w:rsidR="00607FE5">
          <w:rPr>
            <w:webHidden/>
          </w:rPr>
          <w:fldChar w:fldCharType="separate"/>
        </w:r>
        <w:r w:rsidR="00607FE5">
          <w:rPr>
            <w:webHidden/>
          </w:rPr>
          <w:t>4</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16" w:history="1">
        <w:r w:rsidR="00607FE5" w:rsidRPr="002F5BFC">
          <w:rPr>
            <w:rStyle w:val="Hyperlink"/>
            <w:highlight w:val="yellow"/>
          </w:rPr>
          <w:t>ЧАСТ I — ФОКУСИРАНЕ, УПРАВЛЕНИЕ И ДОКЛАДВАНЕ ВЪВ ВРЪЗКА С ОЦЕНКАТА</w:t>
        </w:r>
        <w:r w:rsidR="00607FE5">
          <w:rPr>
            <w:webHidden/>
          </w:rPr>
          <w:tab/>
        </w:r>
        <w:r w:rsidR="00607FE5">
          <w:rPr>
            <w:webHidden/>
          </w:rPr>
          <w:fldChar w:fldCharType="begin"/>
        </w:r>
        <w:r w:rsidR="00607FE5">
          <w:rPr>
            <w:webHidden/>
          </w:rPr>
          <w:instrText xml:space="preserve"> PAGEREF _Toc474938216 \h </w:instrText>
        </w:r>
        <w:r w:rsidR="00607FE5">
          <w:rPr>
            <w:webHidden/>
          </w:rPr>
        </w:r>
        <w:r w:rsidR="00607FE5">
          <w:rPr>
            <w:webHidden/>
          </w:rPr>
          <w:fldChar w:fldCharType="separate"/>
        </w:r>
        <w:r w:rsidR="00607FE5">
          <w:rPr>
            <w:webHidden/>
          </w:rPr>
          <w:t>6</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17" w:history="1">
        <w:r w:rsidR="00607FE5" w:rsidRPr="002F5BFC">
          <w:rPr>
            <w:rStyle w:val="Hyperlink"/>
            <w:rFonts w:cs="Arial"/>
            <w:highlight w:val="yellow"/>
          </w:rPr>
          <w:t>1</w:t>
        </w:r>
        <w:r w:rsidR="00607FE5">
          <w:rPr>
            <w:rFonts w:asciiTheme="minorHAnsi" w:eastAsiaTheme="minorEastAsia" w:hAnsiTheme="minorHAnsi" w:cstheme="minorBidi"/>
            <w:b w:val="0"/>
            <w:color w:val="auto"/>
            <w:sz w:val="22"/>
            <w:szCs w:val="22"/>
            <w:lang w:val="en-GB" w:eastAsia="en-GB" w:bidi="ar-SA"/>
          </w:rPr>
          <w:tab/>
        </w:r>
        <w:r w:rsidR="00607FE5" w:rsidRPr="002F5BFC">
          <w:rPr>
            <w:rStyle w:val="Hyperlink"/>
            <w:highlight w:val="yellow"/>
          </w:rPr>
          <w:t>Изисквания за докладването през 2017 г.</w:t>
        </w:r>
        <w:r w:rsidR="00607FE5">
          <w:rPr>
            <w:webHidden/>
          </w:rPr>
          <w:tab/>
        </w:r>
        <w:r w:rsidR="00607FE5">
          <w:rPr>
            <w:webHidden/>
          </w:rPr>
          <w:fldChar w:fldCharType="begin"/>
        </w:r>
        <w:r w:rsidR="00607FE5">
          <w:rPr>
            <w:webHidden/>
          </w:rPr>
          <w:instrText xml:space="preserve"> PAGEREF _Toc474938217 \h </w:instrText>
        </w:r>
        <w:r w:rsidR="00607FE5">
          <w:rPr>
            <w:webHidden/>
          </w:rPr>
        </w:r>
        <w:r w:rsidR="00607FE5">
          <w:rPr>
            <w:webHidden/>
          </w:rPr>
          <w:fldChar w:fldCharType="separate"/>
        </w:r>
        <w:r w:rsidR="00607FE5">
          <w:rPr>
            <w:webHidden/>
          </w:rPr>
          <w:t>8</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18" w:history="1">
        <w:r w:rsidR="00607FE5" w:rsidRPr="002F5BFC">
          <w:rPr>
            <w:rStyle w:val="Hyperlink"/>
            <w:highlight w:val="yellow"/>
          </w:rPr>
          <w:t>1.1</w:t>
        </w:r>
        <w:r w:rsidR="00607FE5">
          <w:rPr>
            <w:rFonts w:asciiTheme="minorHAnsi" w:eastAsiaTheme="minorEastAsia" w:hAnsiTheme="minorHAnsi" w:cstheme="minorBidi"/>
            <w:color w:val="auto"/>
            <w:sz w:val="22"/>
            <w:lang w:val="en-GB" w:eastAsia="en-GB" w:bidi="ar-SA"/>
          </w:rPr>
          <w:tab/>
        </w:r>
        <w:r w:rsidR="00607FE5" w:rsidRPr="002F5BFC">
          <w:rPr>
            <w:rStyle w:val="Hyperlink"/>
            <w:highlight w:val="yellow"/>
          </w:rPr>
          <w:t>Изисквания за мониторинга и оценката в ГДИ за 2017 г.</w:t>
        </w:r>
        <w:r w:rsidR="00607FE5">
          <w:rPr>
            <w:webHidden/>
          </w:rPr>
          <w:tab/>
        </w:r>
        <w:r w:rsidR="00607FE5">
          <w:rPr>
            <w:webHidden/>
          </w:rPr>
          <w:fldChar w:fldCharType="begin"/>
        </w:r>
        <w:r w:rsidR="00607FE5">
          <w:rPr>
            <w:webHidden/>
          </w:rPr>
          <w:instrText xml:space="preserve"> PAGEREF _Toc474938218 \h </w:instrText>
        </w:r>
        <w:r w:rsidR="00607FE5">
          <w:rPr>
            <w:webHidden/>
          </w:rPr>
        </w:r>
        <w:r w:rsidR="00607FE5">
          <w:rPr>
            <w:webHidden/>
          </w:rPr>
          <w:fldChar w:fldCharType="separate"/>
        </w:r>
        <w:r w:rsidR="00607FE5">
          <w:rPr>
            <w:webHidden/>
          </w:rPr>
          <w:t>8</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19" w:history="1">
        <w:r w:rsidR="00607FE5" w:rsidRPr="002F5BFC">
          <w:rPr>
            <w:rStyle w:val="Hyperlink"/>
            <w:highlight w:val="yellow"/>
          </w:rPr>
          <w:t>1.2</w:t>
        </w:r>
        <w:r w:rsidR="00607FE5">
          <w:rPr>
            <w:rFonts w:asciiTheme="minorHAnsi" w:eastAsiaTheme="minorEastAsia" w:hAnsiTheme="minorHAnsi" w:cstheme="minorBidi"/>
            <w:color w:val="auto"/>
            <w:sz w:val="22"/>
            <w:lang w:val="en-GB" w:eastAsia="en-GB" w:bidi="ar-SA"/>
          </w:rPr>
          <w:tab/>
        </w:r>
        <w:r w:rsidR="00607FE5" w:rsidRPr="002F5BFC">
          <w:rPr>
            <w:rStyle w:val="Hyperlink"/>
            <w:highlight w:val="yellow"/>
          </w:rPr>
          <w:t>Данни, използвани в оценката през 2017 г.</w:t>
        </w:r>
        <w:r w:rsidR="00607FE5">
          <w:rPr>
            <w:webHidden/>
          </w:rPr>
          <w:tab/>
        </w:r>
        <w:r w:rsidR="00607FE5">
          <w:rPr>
            <w:webHidden/>
          </w:rPr>
          <w:fldChar w:fldCharType="begin"/>
        </w:r>
        <w:r w:rsidR="00607FE5">
          <w:rPr>
            <w:webHidden/>
          </w:rPr>
          <w:instrText xml:space="preserve"> PAGEREF _Toc474938219 \h </w:instrText>
        </w:r>
        <w:r w:rsidR="00607FE5">
          <w:rPr>
            <w:webHidden/>
          </w:rPr>
        </w:r>
        <w:r w:rsidR="00607FE5">
          <w:rPr>
            <w:webHidden/>
          </w:rPr>
          <w:fldChar w:fldCharType="separate"/>
        </w:r>
        <w:r w:rsidR="00607FE5">
          <w:rPr>
            <w:webHidden/>
          </w:rPr>
          <w:t>11</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20" w:history="1">
        <w:r w:rsidR="00607FE5" w:rsidRPr="002F5BFC">
          <w:rPr>
            <w:rStyle w:val="Hyperlink"/>
            <w:highlight w:val="yellow"/>
          </w:rPr>
          <w:t>1.3</w:t>
        </w:r>
        <w:r w:rsidR="00607FE5">
          <w:rPr>
            <w:rFonts w:asciiTheme="minorHAnsi" w:eastAsiaTheme="minorEastAsia" w:hAnsiTheme="minorHAnsi" w:cstheme="minorBidi"/>
            <w:color w:val="auto"/>
            <w:sz w:val="22"/>
            <w:lang w:val="en-GB" w:eastAsia="en-GB" w:bidi="ar-SA"/>
          </w:rPr>
          <w:tab/>
        </w:r>
        <w:r w:rsidR="00607FE5" w:rsidRPr="002F5BFC">
          <w:rPr>
            <w:rStyle w:val="Hyperlink"/>
            <w:highlight w:val="yellow"/>
          </w:rPr>
          <w:t>Докладване в случаи на ниска степен на усвояване и малки програми</w:t>
        </w:r>
        <w:r w:rsidR="00607FE5">
          <w:rPr>
            <w:webHidden/>
          </w:rPr>
          <w:tab/>
        </w:r>
        <w:r w:rsidR="00607FE5">
          <w:rPr>
            <w:webHidden/>
          </w:rPr>
          <w:fldChar w:fldCharType="begin"/>
        </w:r>
        <w:r w:rsidR="00607FE5">
          <w:rPr>
            <w:webHidden/>
          </w:rPr>
          <w:instrText xml:space="preserve"> PAGEREF _Toc474938220 \h </w:instrText>
        </w:r>
        <w:r w:rsidR="00607FE5">
          <w:rPr>
            <w:webHidden/>
          </w:rPr>
        </w:r>
        <w:r w:rsidR="00607FE5">
          <w:rPr>
            <w:webHidden/>
          </w:rPr>
          <w:fldChar w:fldCharType="separate"/>
        </w:r>
        <w:r w:rsidR="00607FE5">
          <w:rPr>
            <w:webHidden/>
          </w:rPr>
          <w:t>12</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21" w:history="1">
        <w:r w:rsidR="00607FE5" w:rsidRPr="002F5BFC">
          <w:rPr>
            <w:rStyle w:val="Hyperlink"/>
            <w:highlight w:val="yellow"/>
          </w:rPr>
          <w:t>1.4 Докладване във връзка с оценката на специфичните за ПРСР елементи</w:t>
        </w:r>
        <w:r w:rsidR="00607FE5">
          <w:rPr>
            <w:webHidden/>
          </w:rPr>
          <w:tab/>
        </w:r>
        <w:r w:rsidR="00607FE5">
          <w:rPr>
            <w:webHidden/>
          </w:rPr>
          <w:fldChar w:fldCharType="begin"/>
        </w:r>
        <w:r w:rsidR="00607FE5">
          <w:rPr>
            <w:webHidden/>
          </w:rPr>
          <w:instrText xml:space="preserve"> PAGEREF _Toc474938221 \h </w:instrText>
        </w:r>
        <w:r w:rsidR="00607FE5">
          <w:rPr>
            <w:webHidden/>
          </w:rPr>
        </w:r>
        <w:r w:rsidR="00607FE5">
          <w:rPr>
            <w:webHidden/>
          </w:rPr>
          <w:fldChar w:fldCharType="separate"/>
        </w:r>
        <w:r w:rsidR="00607FE5">
          <w:rPr>
            <w:webHidden/>
          </w:rPr>
          <w:t>13</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22" w:history="1">
        <w:r w:rsidR="00607FE5" w:rsidRPr="002F5BFC">
          <w:rPr>
            <w:rStyle w:val="Hyperlink"/>
            <w:rFonts w:cs="Arial"/>
            <w:highlight w:val="yellow"/>
          </w:rPr>
          <w:t>2</w:t>
        </w:r>
        <w:r w:rsidR="00607FE5">
          <w:rPr>
            <w:rFonts w:asciiTheme="minorHAnsi" w:eastAsiaTheme="minorEastAsia" w:hAnsiTheme="minorHAnsi" w:cstheme="minorBidi"/>
            <w:b w:val="0"/>
            <w:color w:val="auto"/>
            <w:sz w:val="22"/>
            <w:szCs w:val="22"/>
            <w:lang w:val="en-GB" w:eastAsia="en-GB" w:bidi="ar-SA"/>
          </w:rPr>
          <w:tab/>
        </w:r>
        <w:r w:rsidR="00607FE5" w:rsidRPr="002F5BFC">
          <w:rPr>
            <w:rStyle w:val="Hyperlink"/>
            <w:highlight w:val="yellow"/>
          </w:rPr>
          <w:t>Връзки с други изисквания на ЕС за докладване и изисквания за докладване след 2017 г.</w:t>
        </w:r>
        <w:r w:rsidR="00607FE5">
          <w:rPr>
            <w:webHidden/>
          </w:rPr>
          <w:tab/>
        </w:r>
        <w:r w:rsidR="00607FE5">
          <w:rPr>
            <w:webHidden/>
          </w:rPr>
          <w:fldChar w:fldCharType="begin"/>
        </w:r>
        <w:r w:rsidR="00607FE5">
          <w:rPr>
            <w:webHidden/>
          </w:rPr>
          <w:instrText xml:space="preserve"> PAGEREF _Toc474938222 \h </w:instrText>
        </w:r>
        <w:r w:rsidR="00607FE5">
          <w:rPr>
            <w:webHidden/>
          </w:rPr>
        </w:r>
        <w:r w:rsidR="00607FE5">
          <w:rPr>
            <w:webHidden/>
          </w:rPr>
          <w:fldChar w:fldCharType="separate"/>
        </w:r>
        <w:r w:rsidR="00607FE5">
          <w:rPr>
            <w:webHidden/>
          </w:rPr>
          <w:t>16</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23" w:history="1">
        <w:r w:rsidR="00607FE5" w:rsidRPr="002F5BFC">
          <w:rPr>
            <w:rStyle w:val="Hyperlink"/>
            <w:rFonts w:cs="Arial"/>
            <w:highlight w:val="yellow"/>
          </w:rPr>
          <w:t>2.1</w:t>
        </w:r>
        <w:r w:rsidR="00607FE5">
          <w:rPr>
            <w:rFonts w:asciiTheme="minorHAnsi" w:eastAsiaTheme="minorEastAsia" w:hAnsiTheme="minorHAnsi" w:cstheme="minorBidi"/>
            <w:color w:val="auto"/>
            <w:sz w:val="22"/>
            <w:lang w:val="en-GB" w:eastAsia="en-GB" w:bidi="ar-SA"/>
          </w:rPr>
          <w:tab/>
        </w:r>
        <w:r w:rsidR="00607FE5" w:rsidRPr="002F5BFC">
          <w:rPr>
            <w:rStyle w:val="Hyperlink"/>
            <w:highlight w:val="yellow"/>
          </w:rPr>
          <w:t>Връзки и полезни взаимодействия между ГДИ за 2017 г. и други изисквания на ЕС за докладване</w:t>
        </w:r>
        <w:r w:rsidR="00607FE5">
          <w:rPr>
            <w:webHidden/>
          </w:rPr>
          <w:tab/>
        </w:r>
        <w:r w:rsidR="00607FE5">
          <w:rPr>
            <w:webHidden/>
          </w:rPr>
          <w:fldChar w:fldCharType="begin"/>
        </w:r>
        <w:r w:rsidR="00607FE5">
          <w:rPr>
            <w:webHidden/>
          </w:rPr>
          <w:instrText xml:space="preserve"> PAGEREF _Toc474938223 \h </w:instrText>
        </w:r>
        <w:r w:rsidR="00607FE5">
          <w:rPr>
            <w:webHidden/>
          </w:rPr>
        </w:r>
        <w:r w:rsidR="00607FE5">
          <w:rPr>
            <w:webHidden/>
          </w:rPr>
          <w:fldChar w:fldCharType="separate"/>
        </w:r>
        <w:r w:rsidR="00607FE5">
          <w:rPr>
            <w:webHidden/>
          </w:rPr>
          <w:t>16</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24" w:history="1">
        <w:r w:rsidR="00607FE5" w:rsidRPr="002F5BFC">
          <w:rPr>
            <w:rStyle w:val="Hyperlink"/>
            <w:rFonts w:cs="Arial"/>
            <w:highlight w:val="yellow"/>
          </w:rPr>
          <w:t>2.2</w:t>
        </w:r>
        <w:r w:rsidR="00607FE5">
          <w:rPr>
            <w:rFonts w:asciiTheme="minorHAnsi" w:eastAsiaTheme="minorEastAsia" w:hAnsiTheme="minorHAnsi" w:cstheme="minorBidi"/>
            <w:color w:val="auto"/>
            <w:sz w:val="22"/>
            <w:lang w:val="en-GB" w:eastAsia="en-GB" w:bidi="ar-SA"/>
          </w:rPr>
          <w:tab/>
        </w:r>
        <w:r w:rsidR="00607FE5" w:rsidRPr="002F5BFC">
          <w:rPr>
            <w:rStyle w:val="Hyperlink"/>
            <w:highlight w:val="yellow"/>
          </w:rPr>
          <w:t>Връзки между докладването през 2017 г. и общите изисквания за докладване във връзка с развитието на селските райони през периода 2014—2020 г.</w:t>
        </w:r>
        <w:r w:rsidR="00607FE5">
          <w:rPr>
            <w:webHidden/>
          </w:rPr>
          <w:tab/>
        </w:r>
        <w:r w:rsidR="00607FE5">
          <w:rPr>
            <w:webHidden/>
          </w:rPr>
          <w:fldChar w:fldCharType="begin"/>
        </w:r>
        <w:r w:rsidR="00607FE5">
          <w:rPr>
            <w:webHidden/>
          </w:rPr>
          <w:instrText xml:space="preserve"> PAGEREF _Toc474938224 \h </w:instrText>
        </w:r>
        <w:r w:rsidR="00607FE5">
          <w:rPr>
            <w:webHidden/>
          </w:rPr>
        </w:r>
        <w:r w:rsidR="00607FE5">
          <w:rPr>
            <w:webHidden/>
          </w:rPr>
          <w:fldChar w:fldCharType="separate"/>
        </w:r>
        <w:r w:rsidR="00607FE5">
          <w:rPr>
            <w:webHidden/>
          </w:rPr>
          <w:t>20</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25" w:history="1">
        <w:r w:rsidR="00607FE5" w:rsidRPr="002F5BFC">
          <w:rPr>
            <w:rStyle w:val="Hyperlink"/>
            <w:rFonts w:cs="Arial"/>
            <w:highlight w:val="yellow"/>
          </w:rPr>
          <w:t>3</w:t>
        </w:r>
        <w:r w:rsidR="00607FE5">
          <w:rPr>
            <w:rFonts w:asciiTheme="minorHAnsi" w:eastAsiaTheme="minorEastAsia" w:hAnsiTheme="minorHAnsi" w:cstheme="minorBidi"/>
            <w:b w:val="0"/>
            <w:color w:val="auto"/>
            <w:sz w:val="22"/>
            <w:szCs w:val="22"/>
            <w:lang w:val="en-GB" w:eastAsia="en-GB" w:bidi="ar-SA"/>
          </w:rPr>
          <w:tab/>
        </w:r>
        <w:r w:rsidR="00607FE5" w:rsidRPr="002F5BFC">
          <w:rPr>
            <w:rStyle w:val="Hyperlink"/>
            <w:highlight w:val="yellow"/>
          </w:rPr>
          <w:t>Осигуряване на висококачествена оценка през 2017 г.</w:t>
        </w:r>
        <w:r w:rsidR="00607FE5">
          <w:rPr>
            <w:webHidden/>
          </w:rPr>
          <w:tab/>
        </w:r>
        <w:r w:rsidR="00607FE5">
          <w:rPr>
            <w:webHidden/>
          </w:rPr>
          <w:fldChar w:fldCharType="begin"/>
        </w:r>
        <w:r w:rsidR="00607FE5">
          <w:rPr>
            <w:webHidden/>
          </w:rPr>
          <w:instrText xml:space="preserve"> PAGEREF _Toc474938225 \h </w:instrText>
        </w:r>
        <w:r w:rsidR="00607FE5">
          <w:rPr>
            <w:webHidden/>
          </w:rPr>
        </w:r>
        <w:r w:rsidR="00607FE5">
          <w:rPr>
            <w:webHidden/>
          </w:rPr>
          <w:fldChar w:fldCharType="separate"/>
        </w:r>
        <w:r w:rsidR="00607FE5">
          <w:rPr>
            <w:webHidden/>
          </w:rPr>
          <w:t>21</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26" w:history="1">
        <w:r w:rsidR="00607FE5" w:rsidRPr="002F5BFC">
          <w:rPr>
            <w:rStyle w:val="Hyperlink"/>
            <w:rFonts w:cs="Arial"/>
            <w:highlight w:val="yellow"/>
          </w:rPr>
          <w:t>3.1</w:t>
        </w:r>
        <w:r w:rsidR="00607FE5">
          <w:rPr>
            <w:rFonts w:asciiTheme="minorHAnsi" w:eastAsiaTheme="minorEastAsia" w:hAnsiTheme="minorHAnsi" w:cstheme="minorBidi"/>
            <w:color w:val="auto"/>
            <w:sz w:val="22"/>
            <w:lang w:val="en-GB" w:eastAsia="en-GB" w:bidi="ar-SA"/>
          </w:rPr>
          <w:tab/>
        </w:r>
        <w:r w:rsidR="00607FE5" w:rsidRPr="002F5BFC">
          <w:rPr>
            <w:rStyle w:val="Hyperlink"/>
            <w:highlight w:val="yellow"/>
          </w:rPr>
          <w:t>Внимателно планиране и подготовка за оценката</w:t>
        </w:r>
        <w:r w:rsidR="00607FE5">
          <w:rPr>
            <w:webHidden/>
          </w:rPr>
          <w:tab/>
        </w:r>
        <w:r w:rsidR="00607FE5">
          <w:rPr>
            <w:webHidden/>
          </w:rPr>
          <w:fldChar w:fldCharType="begin"/>
        </w:r>
        <w:r w:rsidR="00607FE5">
          <w:rPr>
            <w:webHidden/>
          </w:rPr>
          <w:instrText xml:space="preserve"> PAGEREF _Toc474938226 \h </w:instrText>
        </w:r>
        <w:r w:rsidR="00607FE5">
          <w:rPr>
            <w:webHidden/>
          </w:rPr>
        </w:r>
        <w:r w:rsidR="00607FE5">
          <w:rPr>
            <w:webHidden/>
          </w:rPr>
          <w:fldChar w:fldCharType="separate"/>
        </w:r>
        <w:r w:rsidR="00607FE5">
          <w:rPr>
            <w:webHidden/>
          </w:rPr>
          <w:t>21</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27" w:history="1">
        <w:r w:rsidR="00607FE5" w:rsidRPr="002F5BFC">
          <w:rPr>
            <w:rStyle w:val="Hyperlink"/>
            <w:rFonts w:cs="Arial"/>
            <w:highlight w:val="yellow"/>
          </w:rPr>
          <w:t>3.2</w:t>
        </w:r>
        <w:r w:rsidR="00607FE5">
          <w:rPr>
            <w:rFonts w:asciiTheme="minorHAnsi" w:eastAsiaTheme="minorEastAsia" w:hAnsiTheme="minorHAnsi" w:cstheme="minorBidi"/>
            <w:color w:val="auto"/>
            <w:sz w:val="22"/>
            <w:lang w:val="en-GB" w:eastAsia="en-GB" w:bidi="ar-SA"/>
          </w:rPr>
          <w:tab/>
        </w:r>
        <w:r w:rsidR="00607FE5" w:rsidRPr="002F5BFC">
          <w:rPr>
            <w:rStyle w:val="Hyperlink"/>
            <w:highlight w:val="yellow"/>
          </w:rPr>
          <w:t>Осигуряване на качеството и контрол на качеството в процеса на оценка</w:t>
        </w:r>
        <w:r w:rsidR="00607FE5">
          <w:rPr>
            <w:webHidden/>
          </w:rPr>
          <w:tab/>
        </w:r>
        <w:r w:rsidR="00607FE5">
          <w:rPr>
            <w:webHidden/>
          </w:rPr>
          <w:fldChar w:fldCharType="begin"/>
        </w:r>
        <w:r w:rsidR="00607FE5">
          <w:rPr>
            <w:webHidden/>
          </w:rPr>
          <w:instrText xml:space="preserve"> PAGEREF _Toc474938227 \h </w:instrText>
        </w:r>
        <w:r w:rsidR="00607FE5">
          <w:rPr>
            <w:webHidden/>
          </w:rPr>
        </w:r>
        <w:r w:rsidR="00607FE5">
          <w:rPr>
            <w:webHidden/>
          </w:rPr>
          <w:fldChar w:fldCharType="separate"/>
        </w:r>
        <w:r w:rsidR="00607FE5">
          <w:rPr>
            <w:webHidden/>
          </w:rPr>
          <w:t>21</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28" w:history="1">
        <w:r w:rsidR="00607FE5" w:rsidRPr="002F5BFC">
          <w:rPr>
            <w:rStyle w:val="Hyperlink"/>
            <w:rFonts w:cs="Arial"/>
            <w:highlight w:val="yellow"/>
          </w:rPr>
          <w:t>4</w:t>
        </w:r>
        <w:r w:rsidR="00607FE5">
          <w:rPr>
            <w:rFonts w:asciiTheme="minorHAnsi" w:eastAsiaTheme="minorEastAsia" w:hAnsiTheme="minorHAnsi" w:cstheme="minorBidi"/>
            <w:b w:val="0"/>
            <w:color w:val="auto"/>
            <w:sz w:val="22"/>
            <w:szCs w:val="22"/>
            <w:lang w:val="en-GB" w:eastAsia="en-GB" w:bidi="ar-SA"/>
          </w:rPr>
          <w:tab/>
        </w:r>
        <w:r w:rsidR="00607FE5" w:rsidRPr="002F5BFC">
          <w:rPr>
            <w:rStyle w:val="Hyperlink"/>
            <w:highlight w:val="yellow"/>
          </w:rPr>
          <w:t>Разпространение, комуникация и пОСЛЕДВАЩИ ДЕЙСТВИЯ ВЪВ ВРЪЗКА С резултатите от оценката</w:t>
        </w:r>
        <w:r w:rsidR="00607FE5">
          <w:rPr>
            <w:webHidden/>
          </w:rPr>
          <w:tab/>
        </w:r>
        <w:r w:rsidR="00607FE5">
          <w:rPr>
            <w:webHidden/>
          </w:rPr>
          <w:fldChar w:fldCharType="begin"/>
        </w:r>
        <w:r w:rsidR="00607FE5">
          <w:rPr>
            <w:webHidden/>
          </w:rPr>
          <w:instrText xml:space="preserve"> PAGEREF _Toc474938228 \h </w:instrText>
        </w:r>
        <w:r w:rsidR="00607FE5">
          <w:rPr>
            <w:webHidden/>
          </w:rPr>
        </w:r>
        <w:r w:rsidR="00607FE5">
          <w:rPr>
            <w:webHidden/>
          </w:rPr>
          <w:fldChar w:fldCharType="separate"/>
        </w:r>
        <w:r w:rsidR="00607FE5">
          <w:rPr>
            <w:webHidden/>
          </w:rPr>
          <w:t>24</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29" w:history="1">
        <w:r w:rsidR="00607FE5" w:rsidRPr="002F5BFC">
          <w:rPr>
            <w:rStyle w:val="Hyperlink"/>
            <w:highlight w:val="yellow"/>
          </w:rPr>
          <w:t>4.1</w:t>
        </w:r>
        <w:r w:rsidR="00607FE5">
          <w:rPr>
            <w:rFonts w:asciiTheme="minorHAnsi" w:eastAsiaTheme="minorEastAsia" w:hAnsiTheme="minorHAnsi" w:cstheme="minorBidi"/>
            <w:color w:val="auto"/>
            <w:sz w:val="22"/>
            <w:lang w:val="en-GB" w:eastAsia="en-GB" w:bidi="ar-SA"/>
          </w:rPr>
          <w:tab/>
        </w:r>
        <w:r w:rsidR="00607FE5" w:rsidRPr="002F5BFC">
          <w:rPr>
            <w:rStyle w:val="Hyperlink"/>
            <w:highlight w:val="yellow"/>
          </w:rPr>
          <w:t>Разпространение и комуникация във връзка с оценката през 2017 г.</w:t>
        </w:r>
        <w:r w:rsidR="00607FE5">
          <w:rPr>
            <w:webHidden/>
          </w:rPr>
          <w:tab/>
        </w:r>
        <w:r w:rsidR="00607FE5">
          <w:rPr>
            <w:webHidden/>
          </w:rPr>
          <w:fldChar w:fldCharType="begin"/>
        </w:r>
        <w:r w:rsidR="00607FE5">
          <w:rPr>
            <w:webHidden/>
          </w:rPr>
          <w:instrText xml:space="preserve"> PAGEREF _Toc474938229 \h </w:instrText>
        </w:r>
        <w:r w:rsidR="00607FE5">
          <w:rPr>
            <w:webHidden/>
          </w:rPr>
        </w:r>
        <w:r w:rsidR="00607FE5">
          <w:rPr>
            <w:webHidden/>
          </w:rPr>
          <w:fldChar w:fldCharType="separate"/>
        </w:r>
        <w:r w:rsidR="00607FE5">
          <w:rPr>
            <w:webHidden/>
          </w:rPr>
          <w:t>24</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30" w:history="1">
        <w:r w:rsidR="00607FE5" w:rsidRPr="002F5BFC">
          <w:rPr>
            <w:rStyle w:val="Hyperlink"/>
            <w:highlight w:val="yellow"/>
          </w:rPr>
          <w:t>4.2</w:t>
        </w:r>
        <w:r w:rsidR="00607FE5">
          <w:rPr>
            <w:rFonts w:asciiTheme="minorHAnsi" w:eastAsiaTheme="minorEastAsia" w:hAnsiTheme="minorHAnsi" w:cstheme="minorBidi"/>
            <w:color w:val="auto"/>
            <w:sz w:val="22"/>
            <w:lang w:val="en-GB" w:eastAsia="en-GB" w:bidi="ar-SA"/>
          </w:rPr>
          <w:tab/>
        </w:r>
        <w:r w:rsidR="00607FE5" w:rsidRPr="002F5BFC">
          <w:rPr>
            <w:rStyle w:val="Hyperlink"/>
            <w:highlight w:val="yellow"/>
          </w:rPr>
          <w:t>Последващи действия във връзка с констатациите от оценката</w:t>
        </w:r>
        <w:r w:rsidR="00607FE5">
          <w:rPr>
            <w:webHidden/>
          </w:rPr>
          <w:tab/>
        </w:r>
        <w:r w:rsidR="00607FE5">
          <w:rPr>
            <w:webHidden/>
          </w:rPr>
          <w:fldChar w:fldCharType="begin"/>
        </w:r>
        <w:r w:rsidR="00607FE5">
          <w:rPr>
            <w:webHidden/>
          </w:rPr>
          <w:instrText xml:space="preserve"> PAGEREF _Toc474938230 \h </w:instrText>
        </w:r>
        <w:r w:rsidR="00607FE5">
          <w:rPr>
            <w:webHidden/>
          </w:rPr>
        </w:r>
        <w:r w:rsidR="00607FE5">
          <w:rPr>
            <w:webHidden/>
          </w:rPr>
          <w:fldChar w:fldCharType="separate"/>
        </w:r>
        <w:r w:rsidR="00607FE5">
          <w:rPr>
            <w:webHidden/>
          </w:rPr>
          <w:t>24</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31" w:history="1">
        <w:r w:rsidR="00607FE5" w:rsidRPr="002F5BFC">
          <w:rPr>
            <w:rStyle w:val="Hyperlink"/>
          </w:rPr>
          <w:t>PART II SETTING UP THE SYSTEM TO ANSWER EVALUATION QUESTIONS AND ASSESSING RDP ACHIEVEMENTS</w:t>
        </w:r>
        <w:r w:rsidR="00607FE5">
          <w:rPr>
            <w:webHidden/>
          </w:rPr>
          <w:tab/>
        </w:r>
        <w:r w:rsidR="00607FE5">
          <w:rPr>
            <w:webHidden/>
          </w:rPr>
          <w:fldChar w:fldCharType="begin"/>
        </w:r>
        <w:r w:rsidR="00607FE5">
          <w:rPr>
            <w:webHidden/>
          </w:rPr>
          <w:instrText xml:space="preserve"> PAGEREF _Toc474938231 \h </w:instrText>
        </w:r>
        <w:r w:rsidR="00607FE5">
          <w:rPr>
            <w:webHidden/>
          </w:rPr>
        </w:r>
        <w:r w:rsidR="00607FE5">
          <w:rPr>
            <w:webHidden/>
          </w:rPr>
          <w:fldChar w:fldCharType="separate"/>
        </w:r>
        <w:r w:rsidR="00607FE5">
          <w:rPr>
            <w:webHidden/>
          </w:rPr>
          <w:t>26</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32" w:history="1">
        <w:r w:rsidR="00607FE5" w:rsidRPr="002F5BFC">
          <w:rPr>
            <w:rStyle w:val="Hyperlink"/>
            <w:rFonts w:cs="Arial"/>
            <w:highlight w:val="yellow"/>
          </w:rPr>
          <w:t>5</w:t>
        </w:r>
        <w:r w:rsidR="00607FE5">
          <w:rPr>
            <w:rFonts w:asciiTheme="minorHAnsi" w:eastAsiaTheme="minorEastAsia" w:hAnsiTheme="minorHAnsi" w:cstheme="minorBidi"/>
            <w:b w:val="0"/>
            <w:color w:val="auto"/>
            <w:sz w:val="22"/>
            <w:szCs w:val="22"/>
            <w:lang w:val="en-GB" w:eastAsia="en-GB" w:bidi="ar-SA"/>
          </w:rPr>
          <w:tab/>
        </w:r>
        <w:r w:rsidR="00607FE5" w:rsidRPr="002F5BFC">
          <w:rPr>
            <w:rStyle w:val="Hyperlink"/>
            <w:highlight w:val="yellow"/>
          </w:rPr>
          <w:t>ПОДГОТОВКА ЗА ОЦЕНКАТА</w:t>
        </w:r>
        <w:r w:rsidR="00607FE5">
          <w:rPr>
            <w:webHidden/>
          </w:rPr>
          <w:tab/>
        </w:r>
        <w:r w:rsidR="00607FE5">
          <w:rPr>
            <w:webHidden/>
          </w:rPr>
          <w:fldChar w:fldCharType="begin"/>
        </w:r>
        <w:r w:rsidR="00607FE5">
          <w:rPr>
            <w:webHidden/>
          </w:rPr>
          <w:instrText xml:space="preserve"> PAGEREF _Toc474938232 \h </w:instrText>
        </w:r>
        <w:r w:rsidR="00607FE5">
          <w:rPr>
            <w:webHidden/>
          </w:rPr>
        </w:r>
        <w:r w:rsidR="00607FE5">
          <w:rPr>
            <w:webHidden/>
          </w:rPr>
          <w:fldChar w:fldCharType="separate"/>
        </w:r>
        <w:r w:rsidR="00607FE5">
          <w:rPr>
            <w:webHidden/>
          </w:rPr>
          <w:t>28</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33" w:history="1">
        <w:r w:rsidR="00607FE5" w:rsidRPr="002F5BFC">
          <w:rPr>
            <w:rStyle w:val="Hyperlink"/>
            <w:rFonts w:cs="Arial"/>
            <w:highlight w:val="yellow"/>
          </w:rPr>
          <w:t>5.1</w:t>
        </w:r>
        <w:r w:rsidR="00607FE5">
          <w:rPr>
            <w:rFonts w:asciiTheme="minorHAnsi" w:eastAsiaTheme="minorEastAsia" w:hAnsiTheme="minorHAnsi" w:cstheme="minorBidi"/>
            <w:color w:val="auto"/>
            <w:sz w:val="22"/>
            <w:lang w:val="en-GB" w:eastAsia="en-GB" w:bidi="ar-SA"/>
          </w:rPr>
          <w:tab/>
        </w:r>
        <w:r w:rsidR="00607FE5" w:rsidRPr="002F5BFC">
          <w:rPr>
            <w:rStyle w:val="Hyperlink"/>
            <w:highlight w:val="yellow"/>
          </w:rPr>
          <w:t>Преразглеждане на интервенционната логика на ПРСР</w:t>
        </w:r>
        <w:r w:rsidR="00607FE5">
          <w:rPr>
            <w:webHidden/>
          </w:rPr>
          <w:tab/>
        </w:r>
        <w:r w:rsidR="00607FE5">
          <w:rPr>
            <w:webHidden/>
          </w:rPr>
          <w:fldChar w:fldCharType="begin"/>
        </w:r>
        <w:r w:rsidR="00607FE5">
          <w:rPr>
            <w:webHidden/>
          </w:rPr>
          <w:instrText xml:space="preserve"> PAGEREF _Toc474938233 \h </w:instrText>
        </w:r>
        <w:r w:rsidR="00607FE5">
          <w:rPr>
            <w:webHidden/>
          </w:rPr>
        </w:r>
        <w:r w:rsidR="00607FE5">
          <w:rPr>
            <w:webHidden/>
          </w:rPr>
          <w:fldChar w:fldCharType="separate"/>
        </w:r>
        <w:r w:rsidR="00607FE5">
          <w:rPr>
            <w:webHidden/>
          </w:rPr>
          <w:t>29</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34" w:history="1">
        <w:r w:rsidR="00607FE5" w:rsidRPr="002F5BFC">
          <w:rPr>
            <w:rStyle w:val="Hyperlink"/>
            <w:rFonts w:cs="Arial"/>
            <w:highlight w:val="yellow"/>
          </w:rPr>
          <w:t>5.2</w:t>
        </w:r>
        <w:r w:rsidR="00607FE5">
          <w:rPr>
            <w:rFonts w:asciiTheme="minorHAnsi" w:eastAsiaTheme="minorEastAsia" w:hAnsiTheme="minorHAnsi" w:cstheme="minorBidi"/>
            <w:color w:val="auto"/>
            <w:sz w:val="22"/>
            <w:lang w:val="en-GB" w:eastAsia="en-GB" w:bidi="ar-SA"/>
          </w:rPr>
          <w:tab/>
        </w:r>
        <w:r w:rsidR="00607FE5" w:rsidRPr="002F5BFC">
          <w:rPr>
            <w:rStyle w:val="Hyperlink"/>
            <w:highlight w:val="yellow"/>
          </w:rPr>
          <w:t>Връзка между интервенционната логика и елементите на оценката</w:t>
        </w:r>
        <w:r w:rsidR="00607FE5">
          <w:rPr>
            <w:webHidden/>
          </w:rPr>
          <w:tab/>
        </w:r>
        <w:r w:rsidR="00607FE5">
          <w:rPr>
            <w:webHidden/>
          </w:rPr>
          <w:fldChar w:fldCharType="begin"/>
        </w:r>
        <w:r w:rsidR="00607FE5">
          <w:rPr>
            <w:webHidden/>
          </w:rPr>
          <w:instrText xml:space="preserve"> PAGEREF _Toc474938234 \h </w:instrText>
        </w:r>
        <w:r w:rsidR="00607FE5">
          <w:rPr>
            <w:webHidden/>
          </w:rPr>
        </w:r>
        <w:r w:rsidR="00607FE5">
          <w:rPr>
            <w:webHidden/>
          </w:rPr>
          <w:fldChar w:fldCharType="separate"/>
        </w:r>
        <w:r w:rsidR="00607FE5">
          <w:rPr>
            <w:webHidden/>
          </w:rPr>
          <w:t>35</w:t>
        </w:r>
        <w:r w:rsidR="00607FE5">
          <w:rPr>
            <w:webHidden/>
          </w:rPr>
          <w:fldChar w:fldCharType="end"/>
        </w:r>
      </w:hyperlink>
    </w:p>
    <w:p w:rsidR="00607FE5" w:rsidRDefault="005E336E">
      <w:pPr>
        <w:pStyle w:val="TOC3"/>
        <w:rPr>
          <w:rFonts w:asciiTheme="minorHAnsi" w:eastAsiaTheme="minorEastAsia" w:hAnsiTheme="minorHAnsi" w:cstheme="minorBidi"/>
          <w:color w:val="auto"/>
          <w:sz w:val="22"/>
          <w:szCs w:val="22"/>
          <w:lang w:val="en-GB" w:eastAsia="en-GB" w:bidi="ar-SA"/>
        </w:rPr>
      </w:pPr>
      <w:hyperlink w:anchor="_Toc474938235" w:history="1">
        <w:r w:rsidR="00607FE5" w:rsidRPr="002F5BFC">
          <w:rPr>
            <w:rStyle w:val="Hyperlink"/>
            <w:rFonts w:cs="Arial"/>
            <w:highlight w:val="yellow"/>
          </w:rPr>
          <w:t>5.2.1</w:t>
        </w:r>
        <w:r w:rsidR="00607FE5">
          <w:rPr>
            <w:rFonts w:asciiTheme="minorHAnsi" w:eastAsiaTheme="minorEastAsia" w:hAnsiTheme="minorHAnsi" w:cstheme="minorBidi"/>
            <w:color w:val="auto"/>
            <w:sz w:val="22"/>
            <w:szCs w:val="22"/>
            <w:lang w:val="en-GB" w:eastAsia="en-GB" w:bidi="ar-SA"/>
          </w:rPr>
          <w:tab/>
        </w:r>
        <w:r w:rsidR="00607FE5" w:rsidRPr="002F5BFC">
          <w:rPr>
            <w:rStyle w:val="Hyperlink"/>
            <w:highlight w:val="yellow"/>
          </w:rPr>
          <w:t>Дефиниране на елементите на оценката: въпроси за оценка, критерии за преценката, показатели</w:t>
        </w:r>
        <w:r w:rsidR="00607FE5">
          <w:rPr>
            <w:webHidden/>
          </w:rPr>
          <w:tab/>
        </w:r>
        <w:r w:rsidR="00607FE5">
          <w:rPr>
            <w:webHidden/>
          </w:rPr>
          <w:fldChar w:fldCharType="begin"/>
        </w:r>
        <w:r w:rsidR="00607FE5">
          <w:rPr>
            <w:webHidden/>
          </w:rPr>
          <w:instrText xml:space="preserve"> PAGEREF _Toc474938235 \h </w:instrText>
        </w:r>
        <w:r w:rsidR="00607FE5">
          <w:rPr>
            <w:webHidden/>
          </w:rPr>
        </w:r>
        <w:r w:rsidR="00607FE5">
          <w:rPr>
            <w:webHidden/>
          </w:rPr>
          <w:fldChar w:fldCharType="separate"/>
        </w:r>
        <w:r w:rsidR="00607FE5">
          <w:rPr>
            <w:webHidden/>
          </w:rPr>
          <w:t>35</w:t>
        </w:r>
        <w:r w:rsidR="00607FE5">
          <w:rPr>
            <w:webHidden/>
          </w:rPr>
          <w:fldChar w:fldCharType="end"/>
        </w:r>
      </w:hyperlink>
    </w:p>
    <w:p w:rsidR="00607FE5" w:rsidRDefault="005E336E">
      <w:pPr>
        <w:pStyle w:val="TOC3"/>
        <w:rPr>
          <w:rFonts w:asciiTheme="minorHAnsi" w:eastAsiaTheme="minorEastAsia" w:hAnsiTheme="minorHAnsi" w:cstheme="minorBidi"/>
          <w:color w:val="auto"/>
          <w:sz w:val="22"/>
          <w:szCs w:val="22"/>
          <w:lang w:val="en-GB" w:eastAsia="en-GB" w:bidi="ar-SA"/>
        </w:rPr>
      </w:pPr>
      <w:hyperlink w:anchor="_Toc474938236" w:history="1">
        <w:r w:rsidR="00607FE5" w:rsidRPr="002F5BFC">
          <w:rPr>
            <w:rStyle w:val="Hyperlink"/>
            <w:rFonts w:cs="Arial"/>
            <w:highlight w:val="yellow"/>
          </w:rPr>
          <w:t>5.2.2</w:t>
        </w:r>
        <w:r w:rsidR="00607FE5">
          <w:rPr>
            <w:rFonts w:asciiTheme="minorHAnsi" w:eastAsiaTheme="minorEastAsia" w:hAnsiTheme="minorHAnsi" w:cstheme="minorBidi"/>
            <w:color w:val="auto"/>
            <w:sz w:val="22"/>
            <w:szCs w:val="22"/>
            <w:lang w:val="en-GB" w:eastAsia="en-GB" w:bidi="ar-SA"/>
          </w:rPr>
          <w:tab/>
        </w:r>
        <w:r w:rsidR="00607FE5" w:rsidRPr="002F5BFC">
          <w:rPr>
            <w:rStyle w:val="Hyperlink"/>
            <w:highlight w:val="yellow"/>
          </w:rPr>
          <w:t>Проверка на съгласуваността на въпросите за оценка и показателите с интервенционната логика на ПРСР</w:t>
        </w:r>
        <w:r w:rsidR="00607FE5">
          <w:rPr>
            <w:webHidden/>
          </w:rPr>
          <w:tab/>
        </w:r>
        <w:r w:rsidR="00607FE5">
          <w:rPr>
            <w:webHidden/>
          </w:rPr>
          <w:fldChar w:fldCharType="begin"/>
        </w:r>
        <w:r w:rsidR="00607FE5">
          <w:rPr>
            <w:webHidden/>
          </w:rPr>
          <w:instrText xml:space="preserve"> PAGEREF _Toc474938236 \h </w:instrText>
        </w:r>
        <w:r w:rsidR="00607FE5">
          <w:rPr>
            <w:webHidden/>
          </w:rPr>
        </w:r>
        <w:r w:rsidR="00607FE5">
          <w:rPr>
            <w:webHidden/>
          </w:rPr>
          <w:fldChar w:fldCharType="separate"/>
        </w:r>
        <w:r w:rsidR="00607FE5">
          <w:rPr>
            <w:webHidden/>
          </w:rPr>
          <w:t>40</w:t>
        </w:r>
        <w:r w:rsidR="00607FE5">
          <w:rPr>
            <w:webHidden/>
          </w:rPr>
          <w:fldChar w:fldCharType="end"/>
        </w:r>
      </w:hyperlink>
    </w:p>
    <w:p w:rsidR="00607FE5" w:rsidRDefault="005E336E">
      <w:pPr>
        <w:pStyle w:val="TOC3"/>
        <w:rPr>
          <w:rFonts w:asciiTheme="minorHAnsi" w:eastAsiaTheme="minorEastAsia" w:hAnsiTheme="minorHAnsi" w:cstheme="minorBidi"/>
          <w:color w:val="auto"/>
          <w:sz w:val="22"/>
          <w:szCs w:val="22"/>
          <w:lang w:val="en-GB" w:eastAsia="en-GB" w:bidi="ar-SA"/>
        </w:rPr>
      </w:pPr>
      <w:hyperlink w:anchor="_Toc474938237" w:history="1">
        <w:r w:rsidR="00607FE5" w:rsidRPr="002F5BFC">
          <w:rPr>
            <w:rStyle w:val="Hyperlink"/>
            <w:rFonts w:cs="Arial"/>
            <w:highlight w:val="yellow"/>
          </w:rPr>
          <w:t>5.2.3</w:t>
        </w:r>
        <w:r w:rsidR="00607FE5">
          <w:rPr>
            <w:rFonts w:asciiTheme="minorHAnsi" w:eastAsiaTheme="minorEastAsia" w:hAnsiTheme="minorHAnsi" w:cstheme="minorBidi"/>
            <w:color w:val="auto"/>
            <w:sz w:val="22"/>
            <w:szCs w:val="22"/>
            <w:lang w:val="en-GB" w:eastAsia="en-GB" w:bidi="ar-SA"/>
          </w:rPr>
          <w:tab/>
        </w:r>
        <w:r w:rsidR="00607FE5" w:rsidRPr="002F5BFC">
          <w:rPr>
            <w:rStyle w:val="Hyperlink"/>
            <w:highlight w:val="yellow"/>
          </w:rPr>
          <w:t>Разработване на специфични за ПРСР елементи на оценката</w:t>
        </w:r>
        <w:r w:rsidR="00607FE5">
          <w:rPr>
            <w:webHidden/>
          </w:rPr>
          <w:tab/>
        </w:r>
        <w:r w:rsidR="00607FE5">
          <w:rPr>
            <w:webHidden/>
          </w:rPr>
          <w:fldChar w:fldCharType="begin"/>
        </w:r>
        <w:r w:rsidR="00607FE5">
          <w:rPr>
            <w:webHidden/>
          </w:rPr>
          <w:instrText xml:space="preserve"> PAGEREF _Toc474938237 \h </w:instrText>
        </w:r>
        <w:r w:rsidR="00607FE5">
          <w:rPr>
            <w:webHidden/>
          </w:rPr>
        </w:r>
        <w:r w:rsidR="00607FE5">
          <w:rPr>
            <w:webHidden/>
          </w:rPr>
          <w:fldChar w:fldCharType="separate"/>
        </w:r>
        <w:r w:rsidR="00607FE5">
          <w:rPr>
            <w:webHidden/>
          </w:rPr>
          <w:t>44</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38" w:history="1">
        <w:r w:rsidR="00607FE5" w:rsidRPr="002F5BFC">
          <w:rPr>
            <w:rStyle w:val="Hyperlink"/>
            <w:rFonts w:cs="Arial"/>
          </w:rPr>
          <w:t>6</w:t>
        </w:r>
        <w:r w:rsidR="00607FE5">
          <w:rPr>
            <w:rFonts w:asciiTheme="minorHAnsi" w:eastAsiaTheme="minorEastAsia" w:hAnsiTheme="minorHAnsi" w:cstheme="minorBidi"/>
            <w:b w:val="0"/>
            <w:color w:val="auto"/>
            <w:sz w:val="22"/>
            <w:szCs w:val="22"/>
            <w:lang w:val="en-GB" w:eastAsia="en-GB" w:bidi="ar-SA"/>
          </w:rPr>
          <w:tab/>
        </w:r>
        <w:r w:rsidR="00607FE5" w:rsidRPr="002F5BFC">
          <w:rPr>
            <w:rStyle w:val="Hyperlink"/>
          </w:rPr>
          <w:t>STRUCTURING THE EVALUATION</w:t>
        </w:r>
        <w:r w:rsidR="00607FE5">
          <w:rPr>
            <w:webHidden/>
          </w:rPr>
          <w:tab/>
        </w:r>
        <w:r w:rsidR="00607FE5">
          <w:rPr>
            <w:webHidden/>
          </w:rPr>
          <w:fldChar w:fldCharType="begin"/>
        </w:r>
        <w:r w:rsidR="00607FE5">
          <w:rPr>
            <w:webHidden/>
          </w:rPr>
          <w:instrText xml:space="preserve"> PAGEREF _Toc474938238 \h </w:instrText>
        </w:r>
        <w:r w:rsidR="00607FE5">
          <w:rPr>
            <w:webHidden/>
          </w:rPr>
        </w:r>
        <w:r w:rsidR="00607FE5">
          <w:rPr>
            <w:webHidden/>
          </w:rPr>
          <w:fldChar w:fldCharType="separate"/>
        </w:r>
        <w:r w:rsidR="00607FE5">
          <w:rPr>
            <w:webHidden/>
          </w:rPr>
          <w:t>52</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39" w:history="1">
        <w:r w:rsidR="00607FE5" w:rsidRPr="002F5BFC">
          <w:rPr>
            <w:rStyle w:val="Hyperlink"/>
            <w:rFonts w:cs="Arial"/>
          </w:rPr>
          <w:t>6.1</w:t>
        </w:r>
        <w:r w:rsidR="00607FE5">
          <w:rPr>
            <w:rFonts w:asciiTheme="minorHAnsi" w:eastAsiaTheme="minorEastAsia" w:hAnsiTheme="minorHAnsi" w:cstheme="minorBidi"/>
            <w:color w:val="auto"/>
            <w:sz w:val="22"/>
            <w:lang w:val="en-GB" w:eastAsia="en-GB" w:bidi="ar-SA"/>
          </w:rPr>
          <w:tab/>
        </w:r>
        <w:r w:rsidR="00607FE5" w:rsidRPr="002F5BFC">
          <w:rPr>
            <w:rStyle w:val="Hyperlink"/>
          </w:rPr>
          <w:t>Set up a consistent evaluation approach</w:t>
        </w:r>
        <w:r w:rsidR="00607FE5">
          <w:rPr>
            <w:webHidden/>
          </w:rPr>
          <w:tab/>
        </w:r>
        <w:r w:rsidR="00607FE5">
          <w:rPr>
            <w:webHidden/>
          </w:rPr>
          <w:fldChar w:fldCharType="begin"/>
        </w:r>
        <w:r w:rsidR="00607FE5">
          <w:rPr>
            <w:webHidden/>
          </w:rPr>
          <w:instrText xml:space="preserve"> PAGEREF _Toc474938239 \h </w:instrText>
        </w:r>
        <w:r w:rsidR="00607FE5">
          <w:rPr>
            <w:webHidden/>
          </w:rPr>
        </w:r>
        <w:r w:rsidR="00607FE5">
          <w:rPr>
            <w:webHidden/>
          </w:rPr>
          <w:fldChar w:fldCharType="separate"/>
        </w:r>
        <w:r w:rsidR="00607FE5">
          <w:rPr>
            <w:webHidden/>
          </w:rPr>
          <w:t>52</w:t>
        </w:r>
        <w:r w:rsidR="00607FE5">
          <w:rPr>
            <w:webHidden/>
          </w:rPr>
          <w:fldChar w:fldCharType="end"/>
        </w:r>
      </w:hyperlink>
    </w:p>
    <w:p w:rsidR="00607FE5" w:rsidRDefault="005E336E">
      <w:pPr>
        <w:pStyle w:val="TOC3"/>
        <w:rPr>
          <w:rFonts w:asciiTheme="minorHAnsi" w:eastAsiaTheme="minorEastAsia" w:hAnsiTheme="minorHAnsi" w:cstheme="minorBidi"/>
          <w:color w:val="auto"/>
          <w:sz w:val="22"/>
          <w:szCs w:val="22"/>
          <w:lang w:val="en-GB" w:eastAsia="en-GB" w:bidi="ar-SA"/>
        </w:rPr>
      </w:pPr>
      <w:hyperlink w:anchor="_Toc474938240" w:history="1">
        <w:r w:rsidR="00607FE5" w:rsidRPr="002F5BFC">
          <w:rPr>
            <w:rStyle w:val="Hyperlink"/>
            <w:rFonts w:cs="Arial"/>
          </w:rPr>
          <w:t>6.1.1</w:t>
        </w:r>
        <w:r w:rsidR="00607FE5">
          <w:rPr>
            <w:rFonts w:asciiTheme="minorHAnsi" w:eastAsiaTheme="minorEastAsia" w:hAnsiTheme="minorHAnsi" w:cstheme="minorBidi"/>
            <w:color w:val="auto"/>
            <w:sz w:val="22"/>
            <w:szCs w:val="22"/>
            <w:lang w:val="en-GB" w:eastAsia="en-GB" w:bidi="ar-SA"/>
          </w:rPr>
          <w:tab/>
        </w:r>
        <w:r w:rsidR="00607FE5" w:rsidRPr="002F5BFC">
          <w:rPr>
            <w:rStyle w:val="Hyperlink"/>
          </w:rPr>
          <w:t>Selection of a suitable evaluation approach for the evaluation of RDP results in 2017</w:t>
        </w:r>
        <w:r w:rsidR="00607FE5">
          <w:rPr>
            <w:webHidden/>
          </w:rPr>
          <w:tab/>
        </w:r>
        <w:r w:rsidR="00607FE5">
          <w:rPr>
            <w:webHidden/>
          </w:rPr>
          <w:fldChar w:fldCharType="begin"/>
        </w:r>
        <w:r w:rsidR="00607FE5">
          <w:rPr>
            <w:webHidden/>
          </w:rPr>
          <w:instrText xml:space="preserve"> PAGEREF _Toc474938240 \h </w:instrText>
        </w:r>
        <w:r w:rsidR="00607FE5">
          <w:rPr>
            <w:webHidden/>
          </w:rPr>
        </w:r>
        <w:r w:rsidR="00607FE5">
          <w:rPr>
            <w:webHidden/>
          </w:rPr>
          <w:fldChar w:fldCharType="separate"/>
        </w:r>
        <w:r w:rsidR="00607FE5">
          <w:rPr>
            <w:webHidden/>
          </w:rPr>
          <w:t>52</w:t>
        </w:r>
        <w:r w:rsidR="00607FE5">
          <w:rPr>
            <w:webHidden/>
          </w:rPr>
          <w:fldChar w:fldCharType="end"/>
        </w:r>
      </w:hyperlink>
    </w:p>
    <w:p w:rsidR="00607FE5" w:rsidRDefault="005E336E">
      <w:pPr>
        <w:pStyle w:val="TOC3"/>
        <w:rPr>
          <w:rFonts w:asciiTheme="minorHAnsi" w:eastAsiaTheme="minorEastAsia" w:hAnsiTheme="minorHAnsi" w:cstheme="minorBidi"/>
          <w:color w:val="auto"/>
          <w:sz w:val="22"/>
          <w:szCs w:val="22"/>
          <w:lang w:val="en-GB" w:eastAsia="en-GB" w:bidi="ar-SA"/>
        </w:rPr>
      </w:pPr>
      <w:hyperlink w:anchor="_Toc474938241" w:history="1">
        <w:r w:rsidR="00607FE5" w:rsidRPr="002F5BFC">
          <w:rPr>
            <w:rStyle w:val="Hyperlink"/>
            <w:rFonts w:cs="Arial"/>
          </w:rPr>
          <w:t>6.1.2</w:t>
        </w:r>
        <w:r w:rsidR="00607FE5">
          <w:rPr>
            <w:rFonts w:asciiTheme="minorHAnsi" w:eastAsiaTheme="minorEastAsia" w:hAnsiTheme="minorHAnsi" w:cstheme="minorBidi"/>
            <w:color w:val="auto"/>
            <w:sz w:val="22"/>
            <w:szCs w:val="22"/>
            <w:lang w:val="en-GB" w:eastAsia="en-GB" w:bidi="ar-SA"/>
          </w:rPr>
          <w:tab/>
        </w:r>
        <w:r w:rsidR="00607FE5" w:rsidRPr="002F5BFC">
          <w:rPr>
            <w:rStyle w:val="Hyperlink"/>
          </w:rPr>
          <w:t>Select evaluation methods and their combinations</w:t>
        </w:r>
        <w:r w:rsidR="00607FE5">
          <w:rPr>
            <w:webHidden/>
          </w:rPr>
          <w:tab/>
        </w:r>
        <w:r w:rsidR="00607FE5">
          <w:rPr>
            <w:webHidden/>
          </w:rPr>
          <w:fldChar w:fldCharType="begin"/>
        </w:r>
        <w:r w:rsidR="00607FE5">
          <w:rPr>
            <w:webHidden/>
          </w:rPr>
          <w:instrText xml:space="preserve"> PAGEREF _Toc474938241 \h </w:instrText>
        </w:r>
        <w:r w:rsidR="00607FE5">
          <w:rPr>
            <w:webHidden/>
          </w:rPr>
        </w:r>
        <w:r w:rsidR="00607FE5">
          <w:rPr>
            <w:webHidden/>
          </w:rPr>
          <w:fldChar w:fldCharType="separate"/>
        </w:r>
        <w:r w:rsidR="00607FE5">
          <w:rPr>
            <w:webHidden/>
          </w:rPr>
          <w:t>55</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42" w:history="1">
        <w:r w:rsidR="00607FE5" w:rsidRPr="002F5BFC">
          <w:rPr>
            <w:rStyle w:val="Hyperlink"/>
            <w:rFonts w:cs="Arial"/>
          </w:rPr>
          <w:t>6.2</w:t>
        </w:r>
        <w:r w:rsidR="00607FE5">
          <w:rPr>
            <w:rFonts w:asciiTheme="minorHAnsi" w:eastAsiaTheme="minorEastAsia" w:hAnsiTheme="minorHAnsi" w:cstheme="minorBidi"/>
            <w:color w:val="auto"/>
            <w:sz w:val="22"/>
            <w:lang w:val="en-GB" w:eastAsia="en-GB" w:bidi="ar-SA"/>
          </w:rPr>
          <w:tab/>
        </w:r>
        <w:r w:rsidR="00607FE5" w:rsidRPr="002F5BFC">
          <w:rPr>
            <w:rStyle w:val="Hyperlink"/>
          </w:rPr>
          <w:t>Establish the evidence for evaluation</w:t>
        </w:r>
        <w:r w:rsidR="00607FE5">
          <w:rPr>
            <w:webHidden/>
          </w:rPr>
          <w:tab/>
        </w:r>
        <w:r w:rsidR="00607FE5">
          <w:rPr>
            <w:webHidden/>
          </w:rPr>
          <w:fldChar w:fldCharType="begin"/>
        </w:r>
        <w:r w:rsidR="00607FE5">
          <w:rPr>
            <w:webHidden/>
          </w:rPr>
          <w:instrText xml:space="preserve"> PAGEREF _Toc474938242 \h </w:instrText>
        </w:r>
        <w:r w:rsidR="00607FE5">
          <w:rPr>
            <w:webHidden/>
          </w:rPr>
        </w:r>
        <w:r w:rsidR="00607FE5">
          <w:rPr>
            <w:webHidden/>
          </w:rPr>
          <w:fldChar w:fldCharType="separate"/>
        </w:r>
        <w:r w:rsidR="00607FE5">
          <w:rPr>
            <w:webHidden/>
          </w:rPr>
          <w:t>59</w:t>
        </w:r>
        <w:r w:rsidR="00607FE5">
          <w:rPr>
            <w:webHidden/>
          </w:rPr>
          <w:fldChar w:fldCharType="end"/>
        </w:r>
      </w:hyperlink>
    </w:p>
    <w:p w:rsidR="00607FE5" w:rsidRDefault="005E336E">
      <w:pPr>
        <w:pStyle w:val="TOC3"/>
        <w:rPr>
          <w:rFonts w:asciiTheme="minorHAnsi" w:eastAsiaTheme="minorEastAsia" w:hAnsiTheme="minorHAnsi" w:cstheme="minorBidi"/>
          <w:color w:val="auto"/>
          <w:sz w:val="22"/>
          <w:szCs w:val="22"/>
          <w:lang w:val="en-GB" w:eastAsia="en-GB" w:bidi="ar-SA"/>
        </w:rPr>
      </w:pPr>
      <w:hyperlink w:anchor="_Toc474938243" w:history="1">
        <w:r w:rsidR="00607FE5" w:rsidRPr="002F5BFC">
          <w:rPr>
            <w:rStyle w:val="Hyperlink"/>
            <w:rFonts w:cs="Arial"/>
          </w:rPr>
          <w:t>6.2.1</w:t>
        </w:r>
        <w:r w:rsidR="00607FE5">
          <w:rPr>
            <w:rFonts w:asciiTheme="minorHAnsi" w:eastAsiaTheme="minorEastAsia" w:hAnsiTheme="minorHAnsi" w:cstheme="minorBidi"/>
            <w:color w:val="auto"/>
            <w:sz w:val="22"/>
            <w:szCs w:val="22"/>
            <w:lang w:val="en-GB" w:eastAsia="en-GB" w:bidi="ar-SA"/>
          </w:rPr>
          <w:tab/>
        </w:r>
        <w:r w:rsidR="00607FE5" w:rsidRPr="002F5BFC">
          <w:rPr>
            <w:rStyle w:val="Hyperlink"/>
          </w:rPr>
          <w:t>Review data requirements for the chosen methods</w:t>
        </w:r>
        <w:r w:rsidR="00607FE5">
          <w:rPr>
            <w:webHidden/>
          </w:rPr>
          <w:tab/>
        </w:r>
        <w:r w:rsidR="00607FE5">
          <w:rPr>
            <w:webHidden/>
          </w:rPr>
          <w:fldChar w:fldCharType="begin"/>
        </w:r>
        <w:r w:rsidR="00607FE5">
          <w:rPr>
            <w:webHidden/>
          </w:rPr>
          <w:instrText xml:space="preserve"> PAGEREF _Toc474938243 \h </w:instrText>
        </w:r>
        <w:r w:rsidR="00607FE5">
          <w:rPr>
            <w:webHidden/>
          </w:rPr>
        </w:r>
        <w:r w:rsidR="00607FE5">
          <w:rPr>
            <w:webHidden/>
          </w:rPr>
          <w:fldChar w:fldCharType="separate"/>
        </w:r>
        <w:r w:rsidR="00607FE5">
          <w:rPr>
            <w:webHidden/>
          </w:rPr>
          <w:t>59</w:t>
        </w:r>
        <w:r w:rsidR="00607FE5">
          <w:rPr>
            <w:webHidden/>
          </w:rPr>
          <w:fldChar w:fldCharType="end"/>
        </w:r>
      </w:hyperlink>
    </w:p>
    <w:p w:rsidR="00607FE5" w:rsidRDefault="005E336E">
      <w:pPr>
        <w:pStyle w:val="TOC3"/>
        <w:rPr>
          <w:rFonts w:asciiTheme="minorHAnsi" w:eastAsiaTheme="minorEastAsia" w:hAnsiTheme="minorHAnsi" w:cstheme="minorBidi"/>
          <w:color w:val="auto"/>
          <w:sz w:val="22"/>
          <w:szCs w:val="22"/>
          <w:lang w:val="en-GB" w:eastAsia="en-GB" w:bidi="ar-SA"/>
        </w:rPr>
      </w:pPr>
      <w:hyperlink w:anchor="_Toc474938244" w:history="1">
        <w:r w:rsidR="00607FE5" w:rsidRPr="002F5BFC">
          <w:rPr>
            <w:rStyle w:val="Hyperlink"/>
            <w:rFonts w:cs="Arial"/>
          </w:rPr>
          <w:t>6.2.2</w:t>
        </w:r>
        <w:r w:rsidR="00607FE5">
          <w:rPr>
            <w:rFonts w:asciiTheme="minorHAnsi" w:eastAsiaTheme="minorEastAsia" w:hAnsiTheme="minorHAnsi" w:cstheme="minorBidi"/>
            <w:color w:val="auto"/>
            <w:sz w:val="22"/>
            <w:szCs w:val="22"/>
            <w:lang w:val="en-GB" w:eastAsia="en-GB" w:bidi="ar-SA"/>
          </w:rPr>
          <w:tab/>
        </w:r>
        <w:r w:rsidR="00607FE5" w:rsidRPr="002F5BFC">
          <w:rPr>
            <w:rStyle w:val="Hyperlink"/>
          </w:rPr>
          <w:t>Manage and collect data for evaluation</w:t>
        </w:r>
        <w:r w:rsidR="00607FE5">
          <w:rPr>
            <w:webHidden/>
          </w:rPr>
          <w:tab/>
        </w:r>
        <w:r w:rsidR="00607FE5">
          <w:rPr>
            <w:webHidden/>
          </w:rPr>
          <w:fldChar w:fldCharType="begin"/>
        </w:r>
        <w:r w:rsidR="00607FE5">
          <w:rPr>
            <w:webHidden/>
          </w:rPr>
          <w:instrText xml:space="preserve"> PAGEREF _Toc474938244 \h </w:instrText>
        </w:r>
        <w:r w:rsidR="00607FE5">
          <w:rPr>
            <w:webHidden/>
          </w:rPr>
        </w:r>
        <w:r w:rsidR="00607FE5">
          <w:rPr>
            <w:webHidden/>
          </w:rPr>
          <w:fldChar w:fldCharType="separate"/>
        </w:r>
        <w:r w:rsidR="00607FE5">
          <w:rPr>
            <w:webHidden/>
          </w:rPr>
          <w:t>66</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45" w:history="1">
        <w:r w:rsidR="00607FE5" w:rsidRPr="002F5BFC">
          <w:rPr>
            <w:rStyle w:val="Hyperlink"/>
            <w:rFonts w:cs="Arial"/>
          </w:rPr>
          <w:t>7</w:t>
        </w:r>
        <w:r w:rsidR="00607FE5">
          <w:rPr>
            <w:rFonts w:asciiTheme="minorHAnsi" w:eastAsiaTheme="minorEastAsia" w:hAnsiTheme="minorHAnsi" w:cstheme="minorBidi"/>
            <w:b w:val="0"/>
            <w:color w:val="auto"/>
            <w:sz w:val="22"/>
            <w:szCs w:val="22"/>
            <w:lang w:val="en-GB" w:eastAsia="en-GB" w:bidi="ar-SA"/>
          </w:rPr>
          <w:tab/>
        </w:r>
        <w:r w:rsidR="00607FE5" w:rsidRPr="002F5BFC">
          <w:rPr>
            <w:rStyle w:val="Hyperlink"/>
          </w:rPr>
          <w:t>CONDUCTING THE EVALUATION</w:t>
        </w:r>
        <w:r w:rsidR="00607FE5">
          <w:rPr>
            <w:webHidden/>
          </w:rPr>
          <w:tab/>
        </w:r>
        <w:r w:rsidR="00607FE5">
          <w:rPr>
            <w:webHidden/>
          </w:rPr>
          <w:fldChar w:fldCharType="begin"/>
        </w:r>
        <w:r w:rsidR="00607FE5">
          <w:rPr>
            <w:webHidden/>
          </w:rPr>
          <w:instrText xml:space="preserve"> PAGEREF _Toc474938245 \h </w:instrText>
        </w:r>
        <w:r w:rsidR="00607FE5">
          <w:rPr>
            <w:webHidden/>
          </w:rPr>
        </w:r>
        <w:r w:rsidR="00607FE5">
          <w:rPr>
            <w:webHidden/>
          </w:rPr>
          <w:fldChar w:fldCharType="separate"/>
        </w:r>
        <w:r w:rsidR="00607FE5">
          <w:rPr>
            <w:webHidden/>
          </w:rPr>
          <w:t>71</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46" w:history="1">
        <w:r w:rsidR="00607FE5" w:rsidRPr="002F5BFC">
          <w:rPr>
            <w:rStyle w:val="Hyperlink"/>
          </w:rPr>
          <w:t>7.1</w:t>
        </w:r>
        <w:r w:rsidR="00607FE5">
          <w:rPr>
            <w:rFonts w:asciiTheme="minorHAnsi" w:eastAsiaTheme="minorEastAsia" w:hAnsiTheme="minorHAnsi" w:cstheme="minorBidi"/>
            <w:color w:val="auto"/>
            <w:sz w:val="22"/>
            <w:lang w:val="en-GB" w:eastAsia="en-GB" w:bidi="ar-SA"/>
          </w:rPr>
          <w:tab/>
        </w:r>
        <w:r w:rsidR="00607FE5" w:rsidRPr="002F5BFC">
          <w:rPr>
            <w:rStyle w:val="Hyperlink"/>
          </w:rPr>
          <w:t>Observing</w:t>
        </w:r>
        <w:r w:rsidR="00607FE5">
          <w:rPr>
            <w:webHidden/>
          </w:rPr>
          <w:tab/>
        </w:r>
        <w:r w:rsidR="00607FE5">
          <w:rPr>
            <w:webHidden/>
          </w:rPr>
          <w:fldChar w:fldCharType="begin"/>
        </w:r>
        <w:r w:rsidR="00607FE5">
          <w:rPr>
            <w:webHidden/>
          </w:rPr>
          <w:instrText xml:space="preserve"> PAGEREF _Toc474938246 \h </w:instrText>
        </w:r>
        <w:r w:rsidR="00607FE5">
          <w:rPr>
            <w:webHidden/>
          </w:rPr>
        </w:r>
        <w:r w:rsidR="00607FE5">
          <w:rPr>
            <w:webHidden/>
          </w:rPr>
          <w:fldChar w:fldCharType="separate"/>
        </w:r>
        <w:r w:rsidR="00607FE5">
          <w:rPr>
            <w:webHidden/>
          </w:rPr>
          <w:t>71</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47" w:history="1">
        <w:r w:rsidR="00607FE5" w:rsidRPr="002F5BFC">
          <w:rPr>
            <w:rStyle w:val="Hyperlink"/>
          </w:rPr>
          <w:t>7.2</w:t>
        </w:r>
        <w:r w:rsidR="00607FE5">
          <w:rPr>
            <w:rFonts w:asciiTheme="minorHAnsi" w:eastAsiaTheme="minorEastAsia" w:hAnsiTheme="minorHAnsi" w:cstheme="minorBidi"/>
            <w:color w:val="auto"/>
            <w:sz w:val="22"/>
            <w:lang w:val="en-GB" w:eastAsia="en-GB" w:bidi="ar-SA"/>
          </w:rPr>
          <w:tab/>
        </w:r>
        <w:r w:rsidR="00607FE5" w:rsidRPr="002F5BFC">
          <w:rPr>
            <w:rStyle w:val="Hyperlink"/>
          </w:rPr>
          <w:t>Analysing</w:t>
        </w:r>
        <w:r w:rsidR="00607FE5">
          <w:rPr>
            <w:webHidden/>
          </w:rPr>
          <w:tab/>
        </w:r>
        <w:r w:rsidR="00607FE5">
          <w:rPr>
            <w:webHidden/>
          </w:rPr>
          <w:fldChar w:fldCharType="begin"/>
        </w:r>
        <w:r w:rsidR="00607FE5">
          <w:rPr>
            <w:webHidden/>
          </w:rPr>
          <w:instrText xml:space="preserve"> PAGEREF _Toc474938247 \h </w:instrText>
        </w:r>
        <w:r w:rsidR="00607FE5">
          <w:rPr>
            <w:webHidden/>
          </w:rPr>
        </w:r>
        <w:r w:rsidR="00607FE5">
          <w:rPr>
            <w:webHidden/>
          </w:rPr>
          <w:fldChar w:fldCharType="separate"/>
        </w:r>
        <w:r w:rsidR="00607FE5">
          <w:rPr>
            <w:webHidden/>
          </w:rPr>
          <w:t>73</w:t>
        </w:r>
        <w:r w:rsidR="00607FE5">
          <w:rPr>
            <w:webHidden/>
          </w:rPr>
          <w:fldChar w:fldCharType="end"/>
        </w:r>
      </w:hyperlink>
    </w:p>
    <w:p w:rsidR="00607FE5" w:rsidRDefault="005E336E">
      <w:pPr>
        <w:pStyle w:val="TOC2"/>
        <w:rPr>
          <w:rFonts w:asciiTheme="minorHAnsi" w:eastAsiaTheme="minorEastAsia" w:hAnsiTheme="minorHAnsi" w:cstheme="minorBidi"/>
          <w:color w:val="auto"/>
          <w:sz w:val="22"/>
          <w:lang w:val="en-GB" w:eastAsia="en-GB" w:bidi="ar-SA"/>
        </w:rPr>
      </w:pPr>
      <w:hyperlink w:anchor="_Toc474938248" w:history="1">
        <w:r w:rsidR="00607FE5" w:rsidRPr="002F5BFC">
          <w:rPr>
            <w:rStyle w:val="Hyperlink"/>
          </w:rPr>
          <w:t>7.3</w:t>
        </w:r>
        <w:r w:rsidR="00607FE5">
          <w:rPr>
            <w:rFonts w:asciiTheme="minorHAnsi" w:eastAsiaTheme="minorEastAsia" w:hAnsiTheme="minorHAnsi" w:cstheme="minorBidi"/>
            <w:color w:val="auto"/>
            <w:sz w:val="22"/>
            <w:lang w:val="en-GB" w:eastAsia="en-GB" w:bidi="ar-SA"/>
          </w:rPr>
          <w:tab/>
        </w:r>
        <w:r w:rsidR="00607FE5" w:rsidRPr="002F5BFC">
          <w:rPr>
            <w:rStyle w:val="Hyperlink"/>
          </w:rPr>
          <w:t>Judging</w:t>
        </w:r>
        <w:r w:rsidR="00607FE5">
          <w:rPr>
            <w:webHidden/>
          </w:rPr>
          <w:tab/>
        </w:r>
        <w:r w:rsidR="00607FE5">
          <w:rPr>
            <w:webHidden/>
          </w:rPr>
          <w:fldChar w:fldCharType="begin"/>
        </w:r>
        <w:r w:rsidR="00607FE5">
          <w:rPr>
            <w:webHidden/>
          </w:rPr>
          <w:instrText xml:space="preserve"> PAGEREF _Toc474938248 \h </w:instrText>
        </w:r>
        <w:r w:rsidR="00607FE5">
          <w:rPr>
            <w:webHidden/>
          </w:rPr>
        </w:r>
        <w:r w:rsidR="00607FE5">
          <w:rPr>
            <w:webHidden/>
          </w:rPr>
          <w:fldChar w:fldCharType="separate"/>
        </w:r>
        <w:r w:rsidR="00607FE5">
          <w:rPr>
            <w:webHidden/>
          </w:rPr>
          <w:t>78</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49" w:history="1">
        <w:r w:rsidR="00607FE5" w:rsidRPr="002F5BFC">
          <w:rPr>
            <w:rStyle w:val="Hyperlink"/>
          </w:rPr>
          <w:t>PART III - Приложения</w:t>
        </w:r>
        <w:r w:rsidR="00607FE5">
          <w:rPr>
            <w:webHidden/>
          </w:rPr>
          <w:tab/>
        </w:r>
        <w:r w:rsidR="00607FE5">
          <w:rPr>
            <w:webHidden/>
          </w:rPr>
          <w:fldChar w:fldCharType="begin"/>
        </w:r>
        <w:r w:rsidR="00607FE5">
          <w:rPr>
            <w:webHidden/>
          </w:rPr>
          <w:instrText xml:space="preserve"> PAGEREF _Toc474938249 \h </w:instrText>
        </w:r>
        <w:r w:rsidR="00607FE5">
          <w:rPr>
            <w:webHidden/>
          </w:rPr>
        </w:r>
        <w:r w:rsidR="00607FE5">
          <w:rPr>
            <w:webHidden/>
          </w:rPr>
          <w:fldChar w:fldCharType="separate"/>
        </w:r>
        <w:r w:rsidR="00607FE5">
          <w:rPr>
            <w:webHidden/>
          </w:rPr>
          <w:t>80</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50" w:history="1">
        <w:r w:rsidR="00607FE5" w:rsidRPr="002F5BFC">
          <w:rPr>
            <w:rStyle w:val="Hyperlink"/>
            <w:highlight w:val="yellow"/>
          </w:rPr>
          <w:t>Приложение 1 — Предложен образец от SFC за точка 7 от ГДИ, който подлежи на представяне през 2017 г.</w:t>
        </w:r>
        <w:r w:rsidR="00607FE5">
          <w:rPr>
            <w:webHidden/>
          </w:rPr>
          <w:tab/>
        </w:r>
        <w:r w:rsidR="00607FE5">
          <w:rPr>
            <w:webHidden/>
          </w:rPr>
          <w:fldChar w:fldCharType="begin"/>
        </w:r>
        <w:r w:rsidR="00607FE5">
          <w:rPr>
            <w:webHidden/>
          </w:rPr>
          <w:instrText xml:space="preserve"> PAGEREF _Toc474938250 \h </w:instrText>
        </w:r>
        <w:r w:rsidR="00607FE5">
          <w:rPr>
            <w:webHidden/>
          </w:rPr>
        </w:r>
        <w:r w:rsidR="00607FE5">
          <w:rPr>
            <w:webHidden/>
          </w:rPr>
          <w:fldChar w:fldCharType="separate"/>
        </w:r>
        <w:r w:rsidR="00607FE5">
          <w:rPr>
            <w:webHidden/>
          </w:rPr>
          <w:t>81</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51" w:history="1">
        <w:r w:rsidR="00607FE5" w:rsidRPr="002F5BFC">
          <w:rPr>
            <w:rStyle w:val="Hyperlink"/>
          </w:rPr>
          <w:t>Annex 2 - Elements of the CMES and their use in evaluation</w:t>
        </w:r>
        <w:r w:rsidR="00607FE5">
          <w:rPr>
            <w:webHidden/>
          </w:rPr>
          <w:tab/>
        </w:r>
        <w:r w:rsidR="00607FE5">
          <w:rPr>
            <w:webHidden/>
          </w:rPr>
          <w:fldChar w:fldCharType="begin"/>
        </w:r>
        <w:r w:rsidR="00607FE5">
          <w:rPr>
            <w:webHidden/>
          </w:rPr>
          <w:instrText xml:space="preserve"> PAGEREF _Toc474938251 \h </w:instrText>
        </w:r>
        <w:r w:rsidR="00607FE5">
          <w:rPr>
            <w:webHidden/>
          </w:rPr>
        </w:r>
        <w:r w:rsidR="00607FE5">
          <w:rPr>
            <w:webHidden/>
          </w:rPr>
          <w:fldChar w:fldCharType="separate"/>
        </w:r>
        <w:r w:rsidR="00607FE5">
          <w:rPr>
            <w:webHidden/>
          </w:rPr>
          <w:t>108</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52" w:history="1">
        <w:r w:rsidR="00607FE5" w:rsidRPr="002F5BFC">
          <w:rPr>
            <w:rStyle w:val="Hyperlink"/>
          </w:rPr>
          <w:t>Annex 3 - Overview of reporting requirements for the RDP implementation and the evaluation in the programming period 2014-2020</w:t>
        </w:r>
        <w:r w:rsidR="00607FE5">
          <w:rPr>
            <w:webHidden/>
          </w:rPr>
          <w:tab/>
        </w:r>
        <w:r w:rsidR="00607FE5">
          <w:rPr>
            <w:webHidden/>
          </w:rPr>
          <w:fldChar w:fldCharType="begin"/>
        </w:r>
        <w:r w:rsidR="00607FE5">
          <w:rPr>
            <w:webHidden/>
          </w:rPr>
          <w:instrText xml:space="preserve"> PAGEREF _Toc474938252 \h </w:instrText>
        </w:r>
        <w:r w:rsidR="00607FE5">
          <w:rPr>
            <w:webHidden/>
          </w:rPr>
        </w:r>
        <w:r w:rsidR="00607FE5">
          <w:rPr>
            <w:webHidden/>
          </w:rPr>
          <w:fldChar w:fldCharType="separate"/>
        </w:r>
        <w:r w:rsidR="00607FE5">
          <w:rPr>
            <w:webHidden/>
          </w:rPr>
          <w:t>111</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53" w:history="1">
        <w:r w:rsidR="00607FE5" w:rsidRPr="002F5BFC">
          <w:rPr>
            <w:rStyle w:val="Hyperlink"/>
          </w:rPr>
          <w:t>Annex 4 – Working Steps in Setting up the System to Answer the evaluation questions in 2017</w:t>
        </w:r>
        <w:r w:rsidR="00607FE5">
          <w:rPr>
            <w:webHidden/>
          </w:rPr>
          <w:tab/>
        </w:r>
        <w:r w:rsidR="00607FE5">
          <w:rPr>
            <w:webHidden/>
          </w:rPr>
          <w:fldChar w:fldCharType="begin"/>
        </w:r>
        <w:r w:rsidR="00607FE5">
          <w:rPr>
            <w:webHidden/>
          </w:rPr>
          <w:instrText xml:space="preserve"> PAGEREF _Toc474938253 \h </w:instrText>
        </w:r>
        <w:r w:rsidR="00607FE5">
          <w:rPr>
            <w:webHidden/>
          </w:rPr>
        </w:r>
        <w:r w:rsidR="00607FE5">
          <w:rPr>
            <w:webHidden/>
          </w:rPr>
          <w:fldChar w:fldCharType="separate"/>
        </w:r>
        <w:r w:rsidR="00607FE5">
          <w:rPr>
            <w:webHidden/>
          </w:rPr>
          <w:t>114</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54" w:history="1">
        <w:r w:rsidR="00607FE5" w:rsidRPr="002F5BFC">
          <w:rPr>
            <w:rStyle w:val="Hyperlink"/>
            <w:highlight w:val="yellow"/>
          </w:rPr>
          <w:t>Приложение 5 — Контролен списък за оценяване на качеството на доклада за оценка</w:t>
        </w:r>
        <w:r w:rsidR="00607FE5">
          <w:rPr>
            <w:webHidden/>
          </w:rPr>
          <w:tab/>
        </w:r>
        <w:r w:rsidR="00607FE5">
          <w:rPr>
            <w:webHidden/>
          </w:rPr>
          <w:fldChar w:fldCharType="begin"/>
        </w:r>
        <w:r w:rsidR="00607FE5">
          <w:rPr>
            <w:webHidden/>
          </w:rPr>
          <w:instrText xml:space="preserve"> PAGEREF _Toc474938254 \h </w:instrText>
        </w:r>
        <w:r w:rsidR="00607FE5">
          <w:rPr>
            <w:webHidden/>
          </w:rPr>
        </w:r>
        <w:r w:rsidR="00607FE5">
          <w:rPr>
            <w:webHidden/>
          </w:rPr>
          <w:fldChar w:fldCharType="separate"/>
        </w:r>
        <w:r w:rsidR="00607FE5">
          <w:rPr>
            <w:webHidden/>
          </w:rPr>
          <w:t>119</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55" w:history="1">
        <w:r w:rsidR="00607FE5" w:rsidRPr="002F5BFC">
          <w:rPr>
            <w:rStyle w:val="Hyperlink"/>
          </w:rPr>
          <w:t>Annex 6 - The role of rural development stakeholders in the dissemination and communication of the evaluation results</w:t>
        </w:r>
        <w:r w:rsidR="00607FE5">
          <w:rPr>
            <w:webHidden/>
          </w:rPr>
          <w:tab/>
        </w:r>
        <w:r w:rsidR="00607FE5">
          <w:rPr>
            <w:webHidden/>
          </w:rPr>
          <w:fldChar w:fldCharType="begin"/>
        </w:r>
        <w:r w:rsidR="00607FE5">
          <w:rPr>
            <w:webHidden/>
          </w:rPr>
          <w:instrText xml:space="preserve"> PAGEREF _Toc474938255 \h </w:instrText>
        </w:r>
        <w:r w:rsidR="00607FE5">
          <w:rPr>
            <w:webHidden/>
          </w:rPr>
        </w:r>
        <w:r w:rsidR="00607FE5">
          <w:rPr>
            <w:webHidden/>
          </w:rPr>
          <w:fldChar w:fldCharType="separate"/>
        </w:r>
        <w:r w:rsidR="00607FE5">
          <w:rPr>
            <w:webHidden/>
          </w:rPr>
          <w:t>121</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56" w:history="1">
        <w:r w:rsidR="00607FE5" w:rsidRPr="002F5BFC">
          <w:rPr>
            <w:rStyle w:val="Hyperlink"/>
          </w:rPr>
          <w:t>Annex 7 - Minimum requirements and good practices for the reporting on the evaluation in the AIR</w:t>
        </w:r>
        <w:r w:rsidR="00607FE5">
          <w:rPr>
            <w:webHidden/>
          </w:rPr>
          <w:tab/>
        </w:r>
        <w:r w:rsidR="00607FE5">
          <w:rPr>
            <w:webHidden/>
          </w:rPr>
          <w:fldChar w:fldCharType="begin"/>
        </w:r>
        <w:r w:rsidR="00607FE5">
          <w:rPr>
            <w:webHidden/>
          </w:rPr>
          <w:instrText xml:space="preserve"> PAGEREF _Toc474938256 \h </w:instrText>
        </w:r>
        <w:r w:rsidR="00607FE5">
          <w:rPr>
            <w:webHidden/>
          </w:rPr>
        </w:r>
        <w:r w:rsidR="00607FE5">
          <w:rPr>
            <w:webHidden/>
          </w:rPr>
          <w:fldChar w:fldCharType="separate"/>
        </w:r>
        <w:r w:rsidR="00607FE5">
          <w:rPr>
            <w:webHidden/>
          </w:rPr>
          <w:t>122</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57" w:history="1">
        <w:r w:rsidR="00607FE5" w:rsidRPr="002F5BFC">
          <w:rPr>
            <w:rStyle w:val="Hyperlink"/>
          </w:rPr>
          <w:t>Annex 8 - Timing for preparing and implementing the system to answer the CEQ and answering CEQs</w:t>
        </w:r>
        <w:r w:rsidR="00607FE5">
          <w:rPr>
            <w:webHidden/>
          </w:rPr>
          <w:tab/>
        </w:r>
        <w:r w:rsidR="00607FE5">
          <w:rPr>
            <w:webHidden/>
          </w:rPr>
          <w:fldChar w:fldCharType="begin"/>
        </w:r>
        <w:r w:rsidR="00607FE5">
          <w:rPr>
            <w:webHidden/>
          </w:rPr>
          <w:instrText xml:space="preserve"> PAGEREF _Toc474938257 \h </w:instrText>
        </w:r>
        <w:r w:rsidR="00607FE5">
          <w:rPr>
            <w:webHidden/>
          </w:rPr>
        </w:r>
        <w:r w:rsidR="00607FE5">
          <w:rPr>
            <w:webHidden/>
          </w:rPr>
          <w:fldChar w:fldCharType="separate"/>
        </w:r>
        <w:r w:rsidR="00607FE5">
          <w:rPr>
            <w:webHidden/>
          </w:rPr>
          <w:t>124</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58" w:history="1">
        <w:r w:rsidR="00607FE5" w:rsidRPr="002F5BFC">
          <w:rPr>
            <w:rStyle w:val="Hyperlink"/>
          </w:rPr>
          <w:t>Annex 9 – Criteria for the selection of the evaluation approach</w:t>
        </w:r>
        <w:r w:rsidR="00607FE5">
          <w:rPr>
            <w:webHidden/>
          </w:rPr>
          <w:tab/>
        </w:r>
        <w:r w:rsidR="00607FE5">
          <w:rPr>
            <w:webHidden/>
          </w:rPr>
          <w:fldChar w:fldCharType="begin"/>
        </w:r>
        <w:r w:rsidR="00607FE5">
          <w:rPr>
            <w:webHidden/>
          </w:rPr>
          <w:instrText xml:space="preserve"> PAGEREF _Toc474938258 \h </w:instrText>
        </w:r>
        <w:r w:rsidR="00607FE5">
          <w:rPr>
            <w:webHidden/>
          </w:rPr>
        </w:r>
        <w:r w:rsidR="00607FE5">
          <w:rPr>
            <w:webHidden/>
          </w:rPr>
          <w:fldChar w:fldCharType="separate"/>
        </w:r>
        <w:r w:rsidR="00607FE5">
          <w:rPr>
            <w:webHidden/>
          </w:rPr>
          <w:t>126</w:t>
        </w:r>
        <w:r w:rsidR="00607FE5">
          <w:rPr>
            <w:webHidden/>
          </w:rPr>
          <w:fldChar w:fldCharType="end"/>
        </w:r>
      </w:hyperlink>
    </w:p>
    <w:p w:rsidR="00607FE5" w:rsidRDefault="005E336E">
      <w:pPr>
        <w:pStyle w:val="TOC1"/>
        <w:rPr>
          <w:rFonts w:asciiTheme="minorHAnsi" w:eastAsiaTheme="minorEastAsia" w:hAnsiTheme="minorHAnsi" w:cstheme="minorBidi"/>
          <w:b w:val="0"/>
          <w:color w:val="auto"/>
          <w:sz w:val="22"/>
          <w:szCs w:val="22"/>
          <w:lang w:val="en-GB" w:eastAsia="en-GB" w:bidi="ar-SA"/>
        </w:rPr>
      </w:pPr>
      <w:hyperlink w:anchor="_Toc474938259" w:history="1">
        <w:r w:rsidR="00607FE5" w:rsidRPr="002F5BFC">
          <w:rPr>
            <w:rStyle w:val="Hyperlink"/>
          </w:rPr>
          <w:t>Annex 10 - Tools for qualitative appraisal of RDP operations´ primary and secondary contributions to focus areas and synergies between measures, between FAs and between RD priorities</w:t>
        </w:r>
        <w:r w:rsidR="00607FE5">
          <w:rPr>
            <w:webHidden/>
          </w:rPr>
          <w:tab/>
        </w:r>
        <w:r w:rsidR="00607FE5">
          <w:rPr>
            <w:webHidden/>
          </w:rPr>
          <w:fldChar w:fldCharType="begin"/>
        </w:r>
        <w:r w:rsidR="00607FE5">
          <w:rPr>
            <w:webHidden/>
          </w:rPr>
          <w:instrText xml:space="preserve"> PAGEREF _Toc474938259 \h </w:instrText>
        </w:r>
        <w:r w:rsidR="00607FE5">
          <w:rPr>
            <w:webHidden/>
          </w:rPr>
        </w:r>
        <w:r w:rsidR="00607FE5">
          <w:rPr>
            <w:webHidden/>
          </w:rPr>
          <w:fldChar w:fldCharType="separate"/>
        </w:r>
        <w:r w:rsidR="00607FE5">
          <w:rPr>
            <w:webHidden/>
          </w:rPr>
          <w:t>127</w:t>
        </w:r>
        <w:r w:rsidR="00607FE5">
          <w:rPr>
            <w:webHidden/>
          </w:rPr>
          <w:fldChar w:fldCharType="end"/>
        </w:r>
      </w:hyperlink>
    </w:p>
    <w:p w:rsidR="00143584" w:rsidRDefault="00D64125">
      <w:pPr>
        <w:pStyle w:val="TOC1"/>
        <w:rPr>
          <w:rFonts w:asciiTheme="minorHAnsi" w:eastAsiaTheme="minorEastAsia" w:hAnsiTheme="minorHAnsi" w:cstheme="minorBidi"/>
          <w:b w:val="0"/>
          <w:color w:val="auto"/>
          <w:sz w:val="22"/>
          <w:szCs w:val="22"/>
        </w:rPr>
      </w:pPr>
      <w:r>
        <w:rPr>
          <w:rFonts w:cs="Arial"/>
          <w:b w:val="0"/>
          <w:noProof w:val="0"/>
          <w:color w:val="373737" w:themeColor="background1" w:themeShade="40"/>
        </w:rPr>
        <w:fldChar w:fldCharType="end"/>
      </w:r>
    </w:p>
    <w:p w:rsidR="00143584" w:rsidRDefault="00D64125">
      <w:pPr>
        <w:pStyle w:val="HContent"/>
        <w:pageBreakBefore w:val="0"/>
      </w:pPr>
      <w:r>
        <w:t>Tables, Figures and Tools</w:t>
      </w:r>
    </w:p>
    <w:p w:rsidR="00A021FD" w:rsidRDefault="00D64125">
      <w:pPr>
        <w:pStyle w:val="TOC2"/>
        <w:rPr>
          <w:rFonts w:asciiTheme="minorHAnsi" w:eastAsiaTheme="minorEastAsia" w:hAnsiTheme="minorHAnsi" w:cstheme="minorBidi"/>
          <w:color w:val="auto"/>
          <w:sz w:val="22"/>
          <w:lang w:val="en-GB" w:eastAsia="en-GB" w:bidi="ar-SA"/>
        </w:rPr>
      </w:pPr>
      <w:r>
        <w:rPr>
          <w:rFonts w:cs="Arial"/>
          <w:noProof w:val="0"/>
          <w:color w:val="161616" w:themeColor="background1" w:themeShade="1A"/>
        </w:rPr>
        <w:fldChar w:fldCharType="begin"/>
      </w:r>
      <w:r>
        <w:rPr>
          <w:rFonts w:cs="Arial"/>
          <w:noProof w:val="0"/>
          <w:color w:val="161616" w:themeColor="background1" w:themeShade="1A"/>
        </w:rPr>
        <w:instrText xml:space="preserve"> TOC \h \z \t "H_Heading_tables;2" </w:instrText>
      </w:r>
      <w:r>
        <w:rPr>
          <w:rFonts w:cs="Arial"/>
          <w:noProof w:val="0"/>
          <w:color w:val="161616" w:themeColor="background1" w:themeShade="1A"/>
        </w:rPr>
        <w:fldChar w:fldCharType="separate"/>
      </w:r>
      <w:hyperlink w:anchor="_Toc474937833" w:history="1">
        <w:r w:rsidR="00A021FD" w:rsidRPr="00580524">
          <w:rPr>
            <w:rStyle w:val="Hyperlink"/>
            <w:rFonts w:cs="Arial"/>
            <w:highlight w:val="yellow"/>
          </w:rPr>
          <w:t>Table 1.</w:t>
        </w:r>
        <w:r w:rsidR="00A021FD" w:rsidRPr="00580524">
          <w:rPr>
            <w:rStyle w:val="Hyperlink"/>
            <w:highlight w:val="yellow"/>
          </w:rPr>
          <w:t xml:space="preserve"> Връзки между ГДИ за 2017 г. и други изисквания на ЕС за докладване</w:t>
        </w:r>
        <w:r w:rsidR="00A021FD">
          <w:rPr>
            <w:webHidden/>
          </w:rPr>
          <w:tab/>
        </w:r>
        <w:r w:rsidR="00A021FD">
          <w:rPr>
            <w:webHidden/>
          </w:rPr>
          <w:fldChar w:fldCharType="begin"/>
        </w:r>
        <w:r w:rsidR="00A021FD">
          <w:rPr>
            <w:webHidden/>
          </w:rPr>
          <w:instrText xml:space="preserve"> PAGEREF _Toc474937833 \h </w:instrText>
        </w:r>
        <w:r w:rsidR="00A021FD">
          <w:rPr>
            <w:webHidden/>
          </w:rPr>
        </w:r>
        <w:r w:rsidR="00A021FD">
          <w:rPr>
            <w:webHidden/>
          </w:rPr>
          <w:fldChar w:fldCharType="separate"/>
        </w:r>
        <w:r w:rsidR="00A021FD">
          <w:rPr>
            <w:webHidden/>
          </w:rPr>
          <w:t>18</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34" w:history="1">
        <w:r w:rsidR="00A021FD" w:rsidRPr="00580524">
          <w:rPr>
            <w:rStyle w:val="Hyperlink"/>
            <w:rFonts w:cs="Arial"/>
            <w:highlight w:val="yellow"/>
          </w:rPr>
          <w:t>Table 2.</w:t>
        </w:r>
        <w:r w:rsidR="00A021FD" w:rsidRPr="00580524">
          <w:rPr>
            <w:rStyle w:val="Hyperlink"/>
            <w:highlight w:val="yellow"/>
          </w:rPr>
          <w:t xml:space="preserve"> Пример за критерии за преценка за ОВО и СПВО, свързани с област с поставен акцент</w:t>
        </w:r>
        <w:r w:rsidR="00A021FD">
          <w:rPr>
            <w:webHidden/>
          </w:rPr>
          <w:tab/>
        </w:r>
        <w:r w:rsidR="00A021FD">
          <w:rPr>
            <w:webHidden/>
          </w:rPr>
          <w:fldChar w:fldCharType="begin"/>
        </w:r>
        <w:r w:rsidR="00A021FD">
          <w:rPr>
            <w:webHidden/>
          </w:rPr>
          <w:instrText xml:space="preserve"> PAGEREF _Toc474937834 \h </w:instrText>
        </w:r>
        <w:r w:rsidR="00A021FD">
          <w:rPr>
            <w:webHidden/>
          </w:rPr>
        </w:r>
        <w:r w:rsidR="00A021FD">
          <w:rPr>
            <w:webHidden/>
          </w:rPr>
          <w:fldChar w:fldCharType="separate"/>
        </w:r>
        <w:r w:rsidR="00A021FD">
          <w:rPr>
            <w:webHidden/>
          </w:rPr>
          <w:t>36</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35" w:history="1">
        <w:r w:rsidR="00A021FD" w:rsidRPr="00580524">
          <w:rPr>
            <w:rStyle w:val="Hyperlink"/>
            <w:rFonts w:cs="Arial"/>
          </w:rPr>
          <w:t>Table 3.</w:t>
        </w:r>
        <w:r w:rsidR="00A021FD" w:rsidRPr="00580524">
          <w:rPr>
            <w:rStyle w:val="Hyperlink"/>
          </w:rPr>
          <w:t xml:space="preserve"> Evaluation task and data needs in 2017</w:t>
        </w:r>
        <w:r w:rsidR="00A021FD">
          <w:rPr>
            <w:webHidden/>
          </w:rPr>
          <w:tab/>
        </w:r>
        <w:r w:rsidR="00A021FD">
          <w:rPr>
            <w:webHidden/>
          </w:rPr>
          <w:fldChar w:fldCharType="begin"/>
        </w:r>
        <w:r w:rsidR="00A021FD">
          <w:rPr>
            <w:webHidden/>
          </w:rPr>
          <w:instrText xml:space="preserve"> PAGEREF _Toc474937835 \h </w:instrText>
        </w:r>
        <w:r w:rsidR="00A021FD">
          <w:rPr>
            <w:webHidden/>
          </w:rPr>
        </w:r>
        <w:r w:rsidR="00A021FD">
          <w:rPr>
            <w:webHidden/>
          </w:rPr>
          <w:fldChar w:fldCharType="separate"/>
        </w:r>
        <w:r w:rsidR="00A021FD">
          <w:rPr>
            <w:webHidden/>
          </w:rPr>
          <w:t>60</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36" w:history="1">
        <w:r w:rsidR="00A021FD" w:rsidRPr="00580524">
          <w:rPr>
            <w:rStyle w:val="Hyperlink"/>
            <w:rFonts w:cs="Arial"/>
          </w:rPr>
          <w:t>Table 4.</w:t>
        </w:r>
        <w:r w:rsidR="00A021FD" w:rsidRPr="00580524">
          <w:rPr>
            <w:rStyle w:val="Hyperlink"/>
          </w:rPr>
          <w:t xml:space="preserve"> Types of data used in rural development evaluation</w:t>
        </w:r>
        <w:r w:rsidR="00A021FD">
          <w:rPr>
            <w:webHidden/>
          </w:rPr>
          <w:tab/>
        </w:r>
        <w:r w:rsidR="00A021FD">
          <w:rPr>
            <w:webHidden/>
          </w:rPr>
          <w:fldChar w:fldCharType="begin"/>
        </w:r>
        <w:r w:rsidR="00A021FD">
          <w:rPr>
            <w:webHidden/>
          </w:rPr>
          <w:instrText xml:space="preserve"> PAGEREF _Toc474937836 \h </w:instrText>
        </w:r>
        <w:r w:rsidR="00A021FD">
          <w:rPr>
            <w:webHidden/>
          </w:rPr>
        </w:r>
        <w:r w:rsidR="00A021FD">
          <w:rPr>
            <w:webHidden/>
          </w:rPr>
          <w:fldChar w:fldCharType="separate"/>
        </w:r>
        <w:r w:rsidR="00A021FD">
          <w:rPr>
            <w:webHidden/>
          </w:rPr>
          <w:t>60</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37" w:history="1">
        <w:r w:rsidR="00A021FD" w:rsidRPr="00580524">
          <w:rPr>
            <w:rStyle w:val="Hyperlink"/>
            <w:rFonts w:cs="Arial"/>
          </w:rPr>
          <w:t>Table 5.</w:t>
        </w:r>
        <w:r w:rsidR="00A021FD" w:rsidRPr="00580524">
          <w:rPr>
            <w:rStyle w:val="Hyperlink"/>
          </w:rPr>
          <w:t xml:space="preserve"> Methods and related data needs (example)</w:t>
        </w:r>
        <w:r w:rsidR="00A021FD">
          <w:rPr>
            <w:webHidden/>
          </w:rPr>
          <w:tab/>
        </w:r>
        <w:r w:rsidR="00A021FD">
          <w:rPr>
            <w:webHidden/>
          </w:rPr>
          <w:fldChar w:fldCharType="begin"/>
        </w:r>
        <w:r w:rsidR="00A021FD">
          <w:rPr>
            <w:webHidden/>
          </w:rPr>
          <w:instrText xml:space="preserve"> PAGEREF _Toc474937837 \h </w:instrText>
        </w:r>
        <w:r w:rsidR="00A021FD">
          <w:rPr>
            <w:webHidden/>
          </w:rPr>
        </w:r>
        <w:r w:rsidR="00A021FD">
          <w:rPr>
            <w:webHidden/>
          </w:rPr>
          <w:fldChar w:fldCharType="separate"/>
        </w:r>
        <w:r w:rsidR="00A021FD">
          <w:rPr>
            <w:webHidden/>
          </w:rPr>
          <w:t>62</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38" w:history="1">
        <w:r w:rsidR="00A021FD" w:rsidRPr="00580524">
          <w:rPr>
            <w:rStyle w:val="Hyperlink"/>
            <w:rFonts w:cs="Arial"/>
          </w:rPr>
          <w:t>Table 6.</w:t>
        </w:r>
        <w:r w:rsidR="00A021FD" w:rsidRPr="00580524">
          <w:rPr>
            <w:rStyle w:val="Hyperlink"/>
          </w:rPr>
          <w:t xml:space="preserve"> Evaluation stakeholders and their role in ensuring data availability and quality</w:t>
        </w:r>
        <w:r w:rsidR="00A021FD">
          <w:rPr>
            <w:webHidden/>
          </w:rPr>
          <w:tab/>
        </w:r>
        <w:r w:rsidR="00A021FD">
          <w:rPr>
            <w:webHidden/>
          </w:rPr>
          <w:fldChar w:fldCharType="begin"/>
        </w:r>
        <w:r w:rsidR="00A021FD">
          <w:rPr>
            <w:webHidden/>
          </w:rPr>
          <w:instrText xml:space="preserve"> PAGEREF _Toc474937838 \h </w:instrText>
        </w:r>
        <w:r w:rsidR="00A021FD">
          <w:rPr>
            <w:webHidden/>
          </w:rPr>
        </w:r>
        <w:r w:rsidR="00A021FD">
          <w:rPr>
            <w:webHidden/>
          </w:rPr>
          <w:fldChar w:fldCharType="separate"/>
        </w:r>
        <w:r w:rsidR="00A021FD">
          <w:rPr>
            <w:webHidden/>
          </w:rPr>
          <w:t>64</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39" w:history="1">
        <w:r w:rsidR="00A021FD" w:rsidRPr="00580524">
          <w:rPr>
            <w:rStyle w:val="Hyperlink"/>
            <w:rFonts w:cs="Arial"/>
          </w:rPr>
          <w:t>Table 7.</w:t>
        </w:r>
        <w:r w:rsidR="00A021FD" w:rsidRPr="00580524">
          <w:rPr>
            <w:rStyle w:val="Hyperlink"/>
          </w:rPr>
          <w:t xml:space="preserve"> SFC template for point 7 concerning Common Evaluation Question no. 4 (empty template)</w:t>
        </w:r>
        <w:r w:rsidR="00A021FD">
          <w:rPr>
            <w:webHidden/>
          </w:rPr>
          <w:tab/>
        </w:r>
        <w:r w:rsidR="00A021FD">
          <w:rPr>
            <w:webHidden/>
          </w:rPr>
          <w:fldChar w:fldCharType="begin"/>
        </w:r>
        <w:r w:rsidR="00A021FD">
          <w:rPr>
            <w:webHidden/>
          </w:rPr>
          <w:instrText xml:space="preserve"> PAGEREF _Toc474937839 \h </w:instrText>
        </w:r>
        <w:r w:rsidR="00A021FD">
          <w:rPr>
            <w:webHidden/>
          </w:rPr>
        </w:r>
        <w:r w:rsidR="00A021FD">
          <w:rPr>
            <w:webHidden/>
          </w:rPr>
          <w:fldChar w:fldCharType="separate"/>
        </w:r>
        <w:r w:rsidR="00A021FD">
          <w:rPr>
            <w:webHidden/>
          </w:rPr>
          <w:t>82</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40" w:history="1">
        <w:r w:rsidR="00A021FD" w:rsidRPr="00580524">
          <w:rPr>
            <w:rStyle w:val="Hyperlink"/>
            <w:rFonts w:cs="Arial"/>
            <w:highlight w:val="yellow"/>
          </w:rPr>
          <w:t>Table 8.</w:t>
        </w:r>
        <w:r w:rsidR="00A021FD" w:rsidRPr="00580524">
          <w:rPr>
            <w:rStyle w:val="Hyperlink"/>
            <w:highlight w:val="yellow"/>
          </w:rPr>
          <w:t xml:space="preserve"> Образец от SFC за точка 7 по отношение на общ въпрос за оценка № 4 (попълнен пример)</w:t>
        </w:r>
        <w:r w:rsidR="00A021FD">
          <w:rPr>
            <w:webHidden/>
          </w:rPr>
          <w:tab/>
        </w:r>
        <w:r w:rsidR="00A021FD">
          <w:rPr>
            <w:webHidden/>
          </w:rPr>
          <w:fldChar w:fldCharType="begin"/>
        </w:r>
        <w:r w:rsidR="00A021FD">
          <w:rPr>
            <w:webHidden/>
          </w:rPr>
          <w:instrText xml:space="preserve"> PAGEREF _Toc474937840 \h </w:instrText>
        </w:r>
        <w:r w:rsidR="00A021FD">
          <w:rPr>
            <w:webHidden/>
          </w:rPr>
        </w:r>
        <w:r w:rsidR="00A021FD">
          <w:rPr>
            <w:webHidden/>
          </w:rPr>
          <w:fldChar w:fldCharType="separate"/>
        </w:r>
        <w:r w:rsidR="00A021FD">
          <w:rPr>
            <w:webHidden/>
          </w:rPr>
          <w:t>87</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41" w:history="1">
        <w:r w:rsidR="00A021FD" w:rsidRPr="00580524">
          <w:rPr>
            <w:rStyle w:val="Hyperlink"/>
            <w:rFonts w:cs="Arial"/>
          </w:rPr>
          <w:t>Table 9.</w:t>
        </w:r>
        <w:r w:rsidR="00A021FD" w:rsidRPr="00580524">
          <w:rPr>
            <w:rStyle w:val="Hyperlink"/>
          </w:rPr>
          <w:t xml:space="preserve"> SFC template for point 7 concerning programme specific evaluation question linked programme specific   focus area (empty example)</w:t>
        </w:r>
        <w:r w:rsidR="00A021FD">
          <w:rPr>
            <w:webHidden/>
          </w:rPr>
          <w:tab/>
        </w:r>
        <w:r w:rsidR="00A021FD">
          <w:rPr>
            <w:webHidden/>
          </w:rPr>
          <w:fldChar w:fldCharType="begin"/>
        </w:r>
        <w:r w:rsidR="00A021FD">
          <w:rPr>
            <w:webHidden/>
          </w:rPr>
          <w:instrText xml:space="preserve"> PAGEREF _Toc474937841 \h </w:instrText>
        </w:r>
        <w:r w:rsidR="00A021FD">
          <w:rPr>
            <w:webHidden/>
          </w:rPr>
        </w:r>
        <w:r w:rsidR="00A021FD">
          <w:rPr>
            <w:webHidden/>
          </w:rPr>
          <w:fldChar w:fldCharType="separate"/>
        </w:r>
        <w:r w:rsidR="00A021FD">
          <w:rPr>
            <w:webHidden/>
          </w:rPr>
          <w:t>99</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42" w:history="1">
        <w:r w:rsidR="00A021FD" w:rsidRPr="00580524">
          <w:rPr>
            <w:rStyle w:val="Hyperlink"/>
            <w:rFonts w:cs="Arial"/>
            <w:highlight w:val="yellow"/>
          </w:rPr>
          <w:t>Table 10.</w:t>
        </w:r>
        <w:r w:rsidR="00A021FD" w:rsidRPr="00580524">
          <w:rPr>
            <w:rStyle w:val="Hyperlink"/>
            <w:highlight w:val="yellow"/>
          </w:rPr>
          <w:t xml:space="preserve"> Образец от SFC за точка 7 по отношение на специфичен за програмата въпрос за оценка, свързан със специфична за програмата област с поставен акцент (попълнен пример)</w:t>
        </w:r>
        <w:r w:rsidR="00A021FD">
          <w:rPr>
            <w:webHidden/>
          </w:rPr>
          <w:tab/>
        </w:r>
        <w:r w:rsidR="00A021FD">
          <w:rPr>
            <w:webHidden/>
          </w:rPr>
          <w:fldChar w:fldCharType="begin"/>
        </w:r>
        <w:r w:rsidR="00A021FD">
          <w:rPr>
            <w:webHidden/>
          </w:rPr>
          <w:instrText xml:space="preserve"> PAGEREF _Toc474937842 \h </w:instrText>
        </w:r>
        <w:r w:rsidR="00A021FD">
          <w:rPr>
            <w:webHidden/>
          </w:rPr>
        </w:r>
        <w:r w:rsidR="00A021FD">
          <w:rPr>
            <w:webHidden/>
          </w:rPr>
          <w:fldChar w:fldCharType="separate"/>
        </w:r>
        <w:r w:rsidR="00A021FD">
          <w:rPr>
            <w:webHidden/>
          </w:rPr>
          <w:t>101</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43" w:history="1">
        <w:r w:rsidR="00A021FD" w:rsidRPr="00580524">
          <w:rPr>
            <w:rStyle w:val="Hyperlink"/>
          </w:rPr>
          <w:t>Table 11. Timing for preparing and implementing the system to answer the CEQ, and answering CEQ</w:t>
        </w:r>
        <w:r w:rsidR="00A021FD">
          <w:rPr>
            <w:webHidden/>
          </w:rPr>
          <w:tab/>
        </w:r>
        <w:r w:rsidR="00A021FD">
          <w:rPr>
            <w:webHidden/>
          </w:rPr>
          <w:fldChar w:fldCharType="begin"/>
        </w:r>
        <w:r w:rsidR="00A021FD">
          <w:rPr>
            <w:webHidden/>
          </w:rPr>
          <w:instrText xml:space="preserve"> PAGEREF _Toc474937843 \h </w:instrText>
        </w:r>
        <w:r w:rsidR="00A021FD">
          <w:rPr>
            <w:webHidden/>
          </w:rPr>
        </w:r>
        <w:r w:rsidR="00A021FD">
          <w:rPr>
            <w:webHidden/>
          </w:rPr>
          <w:fldChar w:fldCharType="separate"/>
        </w:r>
        <w:r w:rsidR="00A021FD">
          <w:rPr>
            <w:webHidden/>
          </w:rPr>
          <w:t>125</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44" w:history="1">
        <w:r w:rsidR="00A021FD" w:rsidRPr="00580524">
          <w:rPr>
            <w:rStyle w:val="Hyperlink"/>
          </w:rPr>
          <w:t>Table 12. Primary and secondary contributions of operations within measures/sub-measures to rural development focus areas – example</w:t>
        </w:r>
        <w:r w:rsidR="00A021FD">
          <w:rPr>
            <w:webHidden/>
          </w:rPr>
          <w:tab/>
        </w:r>
        <w:r w:rsidR="00A021FD">
          <w:rPr>
            <w:webHidden/>
          </w:rPr>
          <w:fldChar w:fldCharType="begin"/>
        </w:r>
        <w:r w:rsidR="00A021FD">
          <w:rPr>
            <w:webHidden/>
          </w:rPr>
          <w:instrText xml:space="preserve"> PAGEREF _Toc474937844 \h </w:instrText>
        </w:r>
        <w:r w:rsidR="00A021FD">
          <w:rPr>
            <w:webHidden/>
          </w:rPr>
        </w:r>
        <w:r w:rsidR="00A021FD">
          <w:rPr>
            <w:webHidden/>
          </w:rPr>
          <w:fldChar w:fldCharType="separate"/>
        </w:r>
        <w:r w:rsidR="00A021FD">
          <w:rPr>
            <w:webHidden/>
          </w:rPr>
          <w:t>128</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45" w:history="1">
        <w:r w:rsidR="00A021FD" w:rsidRPr="00580524">
          <w:rPr>
            <w:rStyle w:val="Hyperlink"/>
          </w:rPr>
          <w:t>Table 13. Synergies and negative transverse effects between focus areas and between priorities</w:t>
        </w:r>
        <w:r w:rsidR="00A021FD">
          <w:rPr>
            <w:webHidden/>
          </w:rPr>
          <w:tab/>
        </w:r>
        <w:r w:rsidR="00A021FD">
          <w:rPr>
            <w:webHidden/>
          </w:rPr>
          <w:fldChar w:fldCharType="begin"/>
        </w:r>
        <w:r w:rsidR="00A021FD">
          <w:rPr>
            <w:webHidden/>
          </w:rPr>
          <w:instrText xml:space="preserve"> PAGEREF _Toc474937845 \h </w:instrText>
        </w:r>
        <w:r w:rsidR="00A021FD">
          <w:rPr>
            <w:webHidden/>
          </w:rPr>
        </w:r>
        <w:r w:rsidR="00A021FD">
          <w:rPr>
            <w:webHidden/>
          </w:rPr>
          <w:fldChar w:fldCharType="separate"/>
        </w:r>
        <w:r w:rsidR="00A021FD">
          <w:rPr>
            <w:webHidden/>
          </w:rPr>
          <w:t>129</w:t>
        </w:r>
        <w:r w:rsidR="00A021FD">
          <w:rPr>
            <w:webHidden/>
          </w:rPr>
          <w:fldChar w:fldCharType="end"/>
        </w:r>
      </w:hyperlink>
    </w:p>
    <w:p w:rsidR="00143584" w:rsidRDefault="00D64125">
      <w:pPr>
        <w:pStyle w:val="TOC2"/>
        <w:rPr>
          <w:rFonts w:asciiTheme="minorHAnsi" w:eastAsiaTheme="minorEastAsia" w:hAnsiTheme="minorHAnsi" w:cstheme="minorBidi"/>
          <w:color w:val="auto"/>
          <w:sz w:val="22"/>
        </w:rPr>
      </w:pPr>
      <w:r>
        <w:rPr>
          <w:rFonts w:cs="Arial"/>
          <w:noProof w:val="0"/>
          <w:color w:val="373737" w:themeColor="background1" w:themeShade="40"/>
          <w:szCs w:val="20"/>
        </w:rPr>
        <w:fldChar w:fldCharType="end"/>
      </w:r>
      <w:r>
        <w:tab/>
      </w:r>
    </w:p>
    <w:p w:rsidR="00A021FD" w:rsidRDefault="00D64125">
      <w:pPr>
        <w:pStyle w:val="TOC2"/>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Pr>
          <w:rFonts w:cs="Arial"/>
          <w:color w:val="161616" w:themeColor="background1" w:themeShade="1A"/>
        </w:rPr>
        <w:instrText xml:space="preserve"> TOC \h \z \t "Überschrift 1;1;Überschrift 2;2;Überschrift 3;3;H_Heading_figures;2" </w:instrText>
      </w:r>
      <w:r>
        <w:rPr>
          <w:rFonts w:cs="Arial"/>
          <w:color w:val="161616" w:themeColor="background1" w:themeShade="1A"/>
        </w:rPr>
        <w:fldChar w:fldCharType="separate"/>
      </w:r>
      <w:hyperlink w:anchor="_Toc474937846" w:history="1">
        <w:r w:rsidR="00A021FD" w:rsidRPr="00FD65B4">
          <w:rPr>
            <w:rStyle w:val="Hyperlink"/>
            <w:highlight w:val="yellow"/>
          </w:rPr>
          <w:t>Figure 1. Съдържание на годишните доклади за изпълнението</w:t>
        </w:r>
        <w:r w:rsidR="00A021FD">
          <w:rPr>
            <w:webHidden/>
          </w:rPr>
          <w:tab/>
        </w:r>
        <w:r w:rsidR="00A021FD">
          <w:rPr>
            <w:webHidden/>
          </w:rPr>
          <w:fldChar w:fldCharType="begin"/>
        </w:r>
        <w:r w:rsidR="00A021FD">
          <w:rPr>
            <w:webHidden/>
          </w:rPr>
          <w:instrText xml:space="preserve"> PAGEREF _Toc474937846 \h </w:instrText>
        </w:r>
        <w:r w:rsidR="00A021FD">
          <w:rPr>
            <w:webHidden/>
          </w:rPr>
        </w:r>
        <w:r w:rsidR="00A021FD">
          <w:rPr>
            <w:webHidden/>
          </w:rPr>
          <w:fldChar w:fldCharType="separate"/>
        </w:r>
        <w:r w:rsidR="00A021FD">
          <w:rPr>
            <w:webHidden/>
          </w:rPr>
          <w:t>6</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47" w:history="1">
        <w:r w:rsidR="00A021FD" w:rsidRPr="00FD65B4">
          <w:rPr>
            <w:rStyle w:val="Hyperlink"/>
            <w:highlight w:val="yellow"/>
          </w:rPr>
          <w:t>Figure 2. Обща и специфична за програмата система за мониторинг и оценка</w:t>
        </w:r>
        <w:r w:rsidR="00A021FD">
          <w:rPr>
            <w:webHidden/>
          </w:rPr>
          <w:tab/>
        </w:r>
        <w:r w:rsidR="00A021FD">
          <w:rPr>
            <w:webHidden/>
          </w:rPr>
          <w:fldChar w:fldCharType="begin"/>
        </w:r>
        <w:r w:rsidR="00A021FD">
          <w:rPr>
            <w:webHidden/>
          </w:rPr>
          <w:instrText xml:space="preserve"> PAGEREF _Toc474937847 \h </w:instrText>
        </w:r>
        <w:r w:rsidR="00A021FD">
          <w:rPr>
            <w:webHidden/>
          </w:rPr>
        </w:r>
        <w:r w:rsidR="00A021FD">
          <w:rPr>
            <w:webHidden/>
          </w:rPr>
          <w:fldChar w:fldCharType="separate"/>
        </w:r>
        <w:r w:rsidR="00A021FD">
          <w:rPr>
            <w:webHidden/>
          </w:rPr>
          <w:t>14</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48" w:history="1">
        <w:r w:rsidR="00A021FD" w:rsidRPr="00FD65B4">
          <w:rPr>
            <w:rStyle w:val="Hyperlink"/>
            <w:highlight w:val="yellow"/>
          </w:rPr>
          <w:t>Figure 3. Връзки между ГДИ за 2017 г. и други изисквания на ЕС за докладване през 2017 г. и 2018 г.</w:t>
        </w:r>
        <w:r w:rsidR="00A021FD">
          <w:rPr>
            <w:webHidden/>
          </w:rPr>
          <w:tab/>
        </w:r>
        <w:r w:rsidR="00A021FD">
          <w:rPr>
            <w:webHidden/>
          </w:rPr>
          <w:fldChar w:fldCharType="begin"/>
        </w:r>
        <w:r w:rsidR="00A021FD">
          <w:rPr>
            <w:webHidden/>
          </w:rPr>
          <w:instrText xml:space="preserve"> PAGEREF _Toc474937848 \h </w:instrText>
        </w:r>
        <w:r w:rsidR="00A021FD">
          <w:rPr>
            <w:webHidden/>
          </w:rPr>
        </w:r>
        <w:r w:rsidR="00A021FD">
          <w:rPr>
            <w:webHidden/>
          </w:rPr>
          <w:fldChar w:fldCharType="separate"/>
        </w:r>
        <w:r w:rsidR="00A021FD">
          <w:rPr>
            <w:webHidden/>
          </w:rPr>
          <w:t>16</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49" w:history="1">
        <w:r w:rsidR="00A021FD" w:rsidRPr="00FD65B4">
          <w:rPr>
            <w:rStyle w:val="Hyperlink"/>
            <w:highlight w:val="yellow"/>
          </w:rPr>
          <w:t>Figure 4. Обзор на изискванията за докладване и връзките през периода 2016—2019 г.</w:t>
        </w:r>
        <w:r w:rsidR="00A021FD">
          <w:rPr>
            <w:webHidden/>
          </w:rPr>
          <w:tab/>
        </w:r>
        <w:r w:rsidR="00A021FD">
          <w:rPr>
            <w:webHidden/>
          </w:rPr>
          <w:fldChar w:fldCharType="begin"/>
        </w:r>
        <w:r w:rsidR="00A021FD">
          <w:rPr>
            <w:webHidden/>
          </w:rPr>
          <w:instrText xml:space="preserve"> PAGEREF _Toc474937849 \h </w:instrText>
        </w:r>
        <w:r w:rsidR="00A021FD">
          <w:rPr>
            <w:webHidden/>
          </w:rPr>
        </w:r>
        <w:r w:rsidR="00A021FD">
          <w:rPr>
            <w:webHidden/>
          </w:rPr>
          <w:fldChar w:fldCharType="separate"/>
        </w:r>
        <w:r w:rsidR="00A021FD">
          <w:rPr>
            <w:webHidden/>
          </w:rPr>
          <w:t>17</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50" w:history="1">
        <w:r w:rsidR="00A021FD" w:rsidRPr="00FD65B4">
          <w:rPr>
            <w:rStyle w:val="Hyperlink"/>
            <w:highlight w:val="yellow"/>
          </w:rPr>
          <w:t>Figure 5. Обзор на процеса на оценка</w:t>
        </w:r>
        <w:r w:rsidR="00A021FD">
          <w:rPr>
            <w:webHidden/>
          </w:rPr>
          <w:tab/>
        </w:r>
        <w:r w:rsidR="00A021FD">
          <w:rPr>
            <w:webHidden/>
          </w:rPr>
          <w:fldChar w:fldCharType="begin"/>
        </w:r>
        <w:r w:rsidR="00A021FD">
          <w:rPr>
            <w:webHidden/>
          </w:rPr>
          <w:instrText xml:space="preserve"> PAGEREF _Toc474937850 \h </w:instrText>
        </w:r>
        <w:r w:rsidR="00A021FD">
          <w:rPr>
            <w:webHidden/>
          </w:rPr>
        </w:r>
        <w:r w:rsidR="00A021FD">
          <w:rPr>
            <w:webHidden/>
          </w:rPr>
          <w:fldChar w:fldCharType="separate"/>
        </w:r>
        <w:r w:rsidR="00A021FD">
          <w:rPr>
            <w:webHidden/>
          </w:rPr>
          <w:t>21</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51" w:history="1">
        <w:r w:rsidR="00A021FD" w:rsidRPr="00FD65B4">
          <w:rPr>
            <w:rStyle w:val="Hyperlink"/>
          </w:rPr>
          <w:t>Figure 6. Major steps in setting up the system to answer evaluation questions</w:t>
        </w:r>
        <w:r w:rsidR="00A021FD">
          <w:rPr>
            <w:webHidden/>
          </w:rPr>
          <w:tab/>
        </w:r>
        <w:r w:rsidR="00A021FD">
          <w:rPr>
            <w:webHidden/>
          </w:rPr>
          <w:fldChar w:fldCharType="begin"/>
        </w:r>
        <w:r w:rsidR="00A021FD">
          <w:rPr>
            <w:webHidden/>
          </w:rPr>
          <w:instrText xml:space="preserve"> PAGEREF _Toc474937851 \h </w:instrText>
        </w:r>
        <w:r w:rsidR="00A021FD">
          <w:rPr>
            <w:webHidden/>
          </w:rPr>
        </w:r>
        <w:r w:rsidR="00A021FD">
          <w:rPr>
            <w:webHidden/>
          </w:rPr>
          <w:fldChar w:fldCharType="separate"/>
        </w:r>
        <w:r w:rsidR="00A021FD">
          <w:rPr>
            <w:webHidden/>
          </w:rPr>
          <w:t>27</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52" w:history="1">
        <w:r w:rsidR="00A021FD" w:rsidRPr="00FD65B4">
          <w:rPr>
            <w:rStyle w:val="Hyperlink"/>
            <w:highlight w:val="yellow"/>
          </w:rPr>
          <w:t>Figure 7. Различни типове ефекти от програмата</w:t>
        </w:r>
        <w:r w:rsidR="00A021FD">
          <w:rPr>
            <w:webHidden/>
          </w:rPr>
          <w:tab/>
        </w:r>
        <w:r w:rsidR="00A021FD">
          <w:rPr>
            <w:webHidden/>
          </w:rPr>
          <w:fldChar w:fldCharType="begin"/>
        </w:r>
        <w:r w:rsidR="00A021FD">
          <w:rPr>
            <w:webHidden/>
          </w:rPr>
          <w:instrText xml:space="preserve"> PAGEREF _Toc474937852 \h </w:instrText>
        </w:r>
        <w:r w:rsidR="00A021FD">
          <w:rPr>
            <w:webHidden/>
          </w:rPr>
        </w:r>
        <w:r w:rsidR="00A021FD">
          <w:rPr>
            <w:webHidden/>
          </w:rPr>
          <w:fldChar w:fldCharType="separate"/>
        </w:r>
        <w:r w:rsidR="00A021FD">
          <w:rPr>
            <w:webHidden/>
          </w:rPr>
          <w:t>32</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53" w:history="1">
        <w:r w:rsidR="00A021FD" w:rsidRPr="00FD65B4">
          <w:rPr>
            <w:rStyle w:val="Hyperlink"/>
            <w:highlight w:val="yellow"/>
          </w:rPr>
          <w:t>Figure 8. Връзка между елементите на оценката</w:t>
        </w:r>
        <w:r w:rsidR="00A021FD">
          <w:rPr>
            <w:webHidden/>
          </w:rPr>
          <w:tab/>
        </w:r>
        <w:r w:rsidR="00A021FD">
          <w:rPr>
            <w:webHidden/>
          </w:rPr>
          <w:fldChar w:fldCharType="begin"/>
        </w:r>
        <w:r w:rsidR="00A021FD">
          <w:rPr>
            <w:webHidden/>
          </w:rPr>
          <w:instrText xml:space="preserve"> PAGEREF _Toc474937853 \h </w:instrText>
        </w:r>
        <w:r w:rsidR="00A021FD">
          <w:rPr>
            <w:webHidden/>
          </w:rPr>
        </w:r>
        <w:r w:rsidR="00A021FD">
          <w:rPr>
            <w:webHidden/>
          </w:rPr>
          <w:fldChar w:fldCharType="separate"/>
        </w:r>
        <w:r w:rsidR="00A021FD">
          <w:rPr>
            <w:webHidden/>
          </w:rPr>
          <w:t>36</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54" w:history="1">
        <w:r w:rsidR="00A021FD" w:rsidRPr="00FD65B4">
          <w:rPr>
            <w:rStyle w:val="Hyperlink"/>
            <w:highlight w:val="yellow"/>
          </w:rPr>
          <w:t>Figure 9. Хоризонтална и вертикална съгласуваност между целите, въпросите за оценка и показателите</w:t>
        </w:r>
        <w:r w:rsidR="00A021FD">
          <w:rPr>
            <w:webHidden/>
          </w:rPr>
          <w:tab/>
        </w:r>
        <w:r w:rsidR="00A021FD">
          <w:rPr>
            <w:webHidden/>
          </w:rPr>
          <w:fldChar w:fldCharType="begin"/>
        </w:r>
        <w:r w:rsidR="00A021FD">
          <w:rPr>
            <w:webHidden/>
          </w:rPr>
          <w:instrText xml:space="preserve"> PAGEREF _Toc474937854 \h </w:instrText>
        </w:r>
        <w:r w:rsidR="00A021FD">
          <w:rPr>
            <w:webHidden/>
          </w:rPr>
        </w:r>
        <w:r w:rsidR="00A021FD">
          <w:rPr>
            <w:webHidden/>
          </w:rPr>
          <w:fldChar w:fldCharType="separate"/>
        </w:r>
        <w:r w:rsidR="00A021FD">
          <w:rPr>
            <w:webHidden/>
          </w:rPr>
          <w:t>41</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55" w:history="1">
        <w:r w:rsidR="00A021FD" w:rsidRPr="00FD65B4">
          <w:rPr>
            <w:rStyle w:val="Hyperlink"/>
            <w:highlight w:val="yellow"/>
          </w:rPr>
          <w:t>Figure 10. Интервенционна логика и елементи на оценката при комуникацията и обмена на информация</w:t>
        </w:r>
        <w:r w:rsidR="00A021FD">
          <w:rPr>
            <w:webHidden/>
          </w:rPr>
          <w:tab/>
        </w:r>
        <w:r w:rsidR="00A021FD">
          <w:rPr>
            <w:webHidden/>
          </w:rPr>
          <w:fldChar w:fldCharType="begin"/>
        </w:r>
        <w:r w:rsidR="00A021FD">
          <w:rPr>
            <w:webHidden/>
          </w:rPr>
          <w:instrText xml:space="preserve"> PAGEREF _Toc474937855 \h </w:instrText>
        </w:r>
        <w:r w:rsidR="00A021FD">
          <w:rPr>
            <w:webHidden/>
          </w:rPr>
        </w:r>
        <w:r w:rsidR="00A021FD">
          <w:rPr>
            <w:webHidden/>
          </w:rPr>
          <w:fldChar w:fldCharType="separate"/>
        </w:r>
        <w:r w:rsidR="00A021FD">
          <w:rPr>
            <w:webHidden/>
          </w:rPr>
          <w:t>44</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56" w:history="1">
        <w:r w:rsidR="00A021FD" w:rsidRPr="00FD65B4">
          <w:rPr>
            <w:rStyle w:val="Hyperlink"/>
          </w:rPr>
          <w:t>Figure 11. LEADER as an evaluation topic.</w:t>
        </w:r>
        <w:r w:rsidR="00A021FD">
          <w:rPr>
            <w:webHidden/>
          </w:rPr>
          <w:tab/>
        </w:r>
        <w:r w:rsidR="00A021FD">
          <w:rPr>
            <w:webHidden/>
          </w:rPr>
          <w:fldChar w:fldCharType="begin"/>
        </w:r>
        <w:r w:rsidR="00A021FD">
          <w:rPr>
            <w:webHidden/>
          </w:rPr>
          <w:instrText xml:space="preserve"> PAGEREF _Toc474937856 \h </w:instrText>
        </w:r>
        <w:r w:rsidR="00A021FD">
          <w:rPr>
            <w:webHidden/>
          </w:rPr>
        </w:r>
        <w:r w:rsidR="00A021FD">
          <w:rPr>
            <w:webHidden/>
          </w:rPr>
          <w:fldChar w:fldCharType="separate"/>
        </w:r>
        <w:r w:rsidR="00A021FD">
          <w:rPr>
            <w:webHidden/>
          </w:rPr>
          <w:t>58</w:t>
        </w:r>
        <w:r w:rsidR="00A021FD">
          <w:rPr>
            <w:webHidden/>
          </w:rPr>
          <w:fldChar w:fldCharType="end"/>
        </w:r>
      </w:hyperlink>
    </w:p>
    <w:p w:rsidR="00A021FD" w:rsidRDefault="005E336E">
      <w:pPr>
        <w:pStyle w:val="TOC2"/>
        <w:rPr>
          <w:rFonts w:asciiTheme="minorHAnsi" w:eastAsiaTheme="minorEastAsia" w:hAnsiTheme="minorHAnsi" w:cstheme="minorBidi"/>
          <w:color w:val="auto"/>
          <w:sz w:val="22"/>
          <w:lang w:val="en-GB" w:eastAsia="en-GB" w:bidi="ar-SA"/>
        </w:rPr>
      </w:pPr>
      <w:hyperlink w:anchor="_Toc474937857" w:history="1">
        <w:r w:rsidR="00A021FD" w:rsidRPr="00FD65B4">
          <w:rPr>
            <w:rStyle w:val="Hyperlink"/>
          </w:rPr>
          <w:t>Figure 12. Decision-making process for data requirements and data management.</w:t>
        </w:r>
        <w:r w:rsidR="00A021FD">
          <w:rPr>
            <w:webHidden/>
          </w:rPr>
          <w:tab/>
        </w:r>
        <w:r w:rsidR="00A021FD">
          <w:rPr>
            <w:webHidden/>
          </w:rPr>
          <w:fldChar w:fldCharType="begin"/>
        </w:r>
        <w:r w:rsidR="00A021FD">
          <w:rPr>
            <w:webHidden/>
          </w:rPr>
          <w:instrText xml:space="preserve"> PAGEREF _Toc474937857 \h </w:instrText>
        </w:r>
        <w:r w:rsidR="00A021FD">
          <w:rPr>
            <w:webHidden/>
          </w:rPr>
        </w:r>
        <w:r w:rsidR="00A021FD">
          <w:rPr>
            <w:webHidden/>
          </w:rPr>
          <w:fldChar w:fldCharType="separate"/>
        </w:r>
        <w:r w:rsidR="00A021FD">
          <w:rPr>
            <w:webHidden/>
          </w:rPr>
          <w:t>68</w:t>
        </w:r>
        <w:r w:rsidR="00A021FD">
          <w:rPr>
            <w:webHidden/>
          </w:rPr>
          <w:fldChar w:fldCharType="end"/>
        </w:r>
      </w:hyperlink>
    </w:p>
    <w:p w:rsidR="00143584" w:rsidRDefault="00D64125">
      <w:pPr>
        <w:pStyle w:val="TOC2"/>
        <w:rPr>
          <w:rFonts w:asciiTheme="minorHAnsi" w:eastAsiaTheme="minorEastAsia" w:hAnsiTheme="minorHAnsi" w:cstheme="minorBidi"/>
          <w:color w:val="auto"/>
          <w:sz w:val="22"/>
        </w:rPr>
      </w:pPr>
      <w:r>
        <w:rPr>
          <w:rFonts w:cs="Arial"/>
          <w:noProof w:val="0"/>
          <w:color w:val="373737" w:themeColor="background1" w:themeShade="40"/>
          <w:szCs w:val="20"/>
        </w:rPr>
        <w:fldChar w:fldCharType="end"/>
      </w:r>
    </w:p>
    <w:p w:rsidR="00A021FD" w:rsidRDefault="00D64125">
      <w:pPr>
        <w:pStyle w:val="TOC2"/>
        <w:tabs>
          <w:tab w:val="left" w:pos="1021"/>
        </w:tabs>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Pr>
          <w:rFonts w:cs="Arial"/>
          <w:color w:val="161616" w:themeColor="background1" w:themeShade="1A"/>
        </w:rPr>
        <w:instrText xml:space="preserve"> TOC \h \z \t "H_Heading_maps;2" </w:instrText>
      </w:r>
      <w:r>
        <w:rPr>
          <w:rFonts w:cs="Arial"/>
          <w:color w:val="161616" w:themeColor="background1" w:themeShade="1A"/>
        </w:rPr>
        <w:fldChar w:fldCharType="separate"/>
      </w:r>
      <w:hyperlink w:anchor="_Toc474937858" w:history="1">
        <w:r w:rsidR="00A021FD" w:rsidRPr="00026564">
          <w:rPr>
            <w:rStyle w:val="Hyperlink"/>
            <w:rFonts w:cs="Arial"/>
            <w:highlight w:val="yellow"/>
          </w:rPr>
          <w:t>Tool 1.</w:t>
        </w:r>
        <w:r w:rsidR="00A021FD">
          <w:rPr>
            <w:rFonts w:asciiTheme="minorHAnsi" w:eastAsiaTheme="minorEastAsia" w:hAnsiTheme="minorHAnsi" w:cstheme="minorBidi"/>
            <w:color w:val="auto"/>
            <w:sz w:val="22"/>
            <w:lang w:val="en-GB" w:eastAsia="en-GB" w:bidi="ar-SA"/>
          </w:rPr>
          <w:tab/>
        </w:r>
        <w:r w:rsidR="00A021FD" w:rsidRPr="00026564">
          <w:rPr>
            <w:rStyle w:val="Hyperlink"/>
            <w:highlight w:val="yellow"/>
          </w:rPr>
          <w:t>Матрица за проверка на хоризонталната съгласуваност на ниво област с поставен акцент (пример)</w:t>
        </w:r>
        <w:r w:rsidR="00A021FD">
          <w:rPr>
            <w:webHidden/>
          </w:rPr>
          <w:tab/>
        </w:r>
        <w:r w:rsidR="00A021FD">
          <w:rPr>
            <w:webHidden/>
          </w:rPr>
          <w:fldChar w:fldCharType="begin"/>
        </w:r>
        <w:r w:rsidR="00A021FD">
          <w:rPr>
            <w:webHidden/>
          </w:rPr>
          <w:instrText xml:space="preserve"> PAGEREF _Toc474937858 \h </w:instrText>
        </w:r>
        <w:r w:rsidR="00A021FD">
          <w:rPr>
            <w:webHidden/>
          </w:rPr>
        </w:r>
        <w:r w:rsidR="00A021FD">
          <w:rPr>
            <w:webHidden/>
          </w:rPr>
          <w:fldChar w:fldCharType="separate"/>
        </w:r>
        <w:r w:rsidR="00A021FD">
          <w:rPr>
            <w:webHidden/>
          </w:rPr>
          <w:t>42</w:t>
        </w:r>
        <w:r w:rsidR="00A021FD">
          <w:rPr>
            <w:webHidden/>
          </w:rPr>
          <w:fldChar w:fldCharType="end"/>
        </w:r>
      </w:hyperlink>
    </w:p>
    <w:p w:rsidR="00A021FD" w:rsidRDefault="005E336E">
      <w:pPr>
        <w:pStyle w:val="TOC2"/>
        <w:tabs>
          <w:tab w:val="left" w:pos="1021"/>
        </w:tabs>
        <w:rPr>
          <w:rFonts w:asciiTheme="minorHAnsi" w:eastAsiaTheme="minorEastAsia" w:hAnsiTheme="minorHAnsi" w:cstheme="minorBidi"/>
          <w:color w:val="auto"/>
          <w:sz w:val="22"/>
          <w:lang w:val="en-GB" w:eastAsia="en-GB" w:bidi="ar-SA"/>
        </w:rPr>
      </w:pPr>
      <w:hyperlink w:anchor="_Toc474937859" w:history="1">
        <w:r w:rsidR="00A021FD" w:rsidRPr="00026564">
          <w:rPr>
            <w:rStyle w:val="Hyperlink"/>
            <w:rFonts w:cs="Arial"/>
            <w:highlight w:val="yellow"/>
          </w:rPr>
          <w:t>Tool 2.</w:t>
        </w:r>
        <w:r w:rsidR="00A021FD">
          <w:rPr>
            <w:rFonts w:asciiTheme="minorHAnsi" w:eastAsiaTheme="minorEastAsia" w:hAnsiTheme="minorHAnsi" w:cstheme="minorBidi"/>
            <w:color w:val="auto"/>
            <w:sz w:val="22"/>
            <w:lang w:val="en-GB" w:eastAsia="en-GB" w:bidi="ar-SA"/>
          </w:rPr>
          <w:tab/>
        </w:r>
        <w:r w:rsidR="00A021FD" w:rsidRPr="00026564">
          <w:rPr>
            <w:rStyle w:val="Hyperlink"/>
            <w:highlight w:val="yellow"/>
          </w:rPr>
          <w:t>Матрица за проверка на вертикалната съгласуваност (пример)</w:t>
        </w:r>
        <w:r w:rsidR="00A021FD">
          <w:rPr>
            <w:webHidden/>
          </w:rPr>
          <w:tab/>
        </w:r>
        <w:r w:rsidR="00A021FD">
          <w:rPr>
            <w:webHidden/>
          </w:rPr>
          <w:fldChar w:fldCharType="begin"/>
        </w:r>
        <w:r w:rsidR="00A021FD">
          <w:rPr>
            <w:webHidden/>
          </w:rPr>
          <w:instrText xml:space="preserve"> PAGEREF _Toc474937859 \h </w:instrText>
        </w:r>
        <w:r w:rsidR="00A021FD">
          <w:rPr>
            <w:webHidden/>
          </w:rPr>
        </w:r>
        <w:r w:rsidR="00A021FD">
          <w:rPr>
            <w:webHidden/>
          </w:rPr>
          <w:fldChar w:fldCharType="separate"/>
        </w:r>
        <w:r w:rsidR="00A021FD">
          <w:rPr>
            <w:webHidden/>
          </w:rPr>
          <w:t>43</w:t>
        </w:r>
        <w:r w:rsidR="00A021FD">
          <w:rPr>
            <w:webHidden/>
          </w:rPr>
          <w:fldChar w:fldCharType="end"/>
        </w:r>
      </w:hyperlink>
    </w:p>
    <w:p w:rsidR="00A021FD" w:rsidRDefault="005E336E">
      <w:pPr>
        <w:pStyle w:val="TOC2"/>
        <w:tabs>
          <w:tab w:val="left" w:pos="1021"/>
        </w:tabs>
        <w:rPr>
          <w:rFonts w:asciiTheme="minorHAnsi" w:eastAsiaTheme="minorEastAsia" w:hAnsiTheme="minorHAnsi" w:cstheme="minorBidi"/>
          <w:color w:val="auto"/>
          <w:sz w:val="22"/>
          <w:lang w:val="en-GB" w:eastAsia="en-GB" w:bidi="ar-SA"/>
        </w:rPr>
      </w:pPr>
      <w:hyperlink w:anchor="_Toc474937860" w:history="1">
        <w:r w:rsidR="00A021FD" w:rsidRPr="00026564">
          <w:rPr>
            <w:rStyle w:val="Hyperlink"/>
            <w:rFonts w:cs="Arial"/>
            <w:highlight w:val="yellow"/>
          </w:rPr>
          <w:t>Tool 3.</w:t>
        </w:r>
        <w:r w:rsidR="00A021FD">
          <w:rPr>
            <w:rFonts w:asciiTheme="minorHAnsi" w:eastAsiaTheme="minorEastAsia" w:hAnsiTheme="minorHAnsi" w:cstheme="minorBidi"/>
            <w:color w:val="auto"/>
            <w:sz w:val="22"/>
            <w:lang w:val="en-GB" w:eastAsia="en-GB" w:bidi="ar-SA"/>
          </w:rPr>
          <w:tab/>
        </w:r>
        <w:r w:rsidR="00A021FD" w:rsidRPr="00026564">
          <w:rPr>
            <w:rStyle w:val="Hyperlink"/>
            <w:highlight w:val="yellow"/>
          </w:rPr>
          <w:t>Работна процедура за попълване на пропуски в елементите на оценката с помощта на SWOT анализа</w:t>
        </w:r>
        <w:r w:rsidR="00A021FD">
          <w:rPr>
            <w:webHidden/>
          </w:rPr>
          <w:tab/>
        </w:r>
        <w:r w:rsidR="00A021FD">
          <w:rPr>
            <w:webHidden/>
          </w:rPr>
          <w:fldChar w:fldCharType="begin"/>
        </w:r>
        <w:r w:rsidR="00A021FD">
          <w:rPr>
            <w:webHidden/>
          </w:rPr>
          <w:instrText xml:space="preserve"> PAGEREF _Toc474937860 \h </w:instrText>
        </w:r>
        <w:r w:rsidR="00A021FD">
          <w:rPr>
            <w:webHidden/>
          </w:rPr>
        </w:r>
        <w:r w:rsidR="00A021FD">
          <w:rPr>
            <w:webHidden/>
          </w:rPr>
          <w:fldChar w:fldCharType="separate"/>
        </w:r>
        <w:r w:rsidR="00A021FD">
          <w:rPr>
            <w:webHidden/>
          </w:rPr>
          <w:t>48</w:t>
        </w:r>
        <w:r w:rsidR="00A021FD">
          <w:rPr>
            <w:webHidden/>
          </w:rPr>
          <w:fldChar w:fldCharType="end"/>
        </w:r>
      </w:hyperlink>
    </w:p>
    <w:p w:rsidR="00143584" w:rsidRDefault="00D64125">
      <w:pPr>
        <w:pStyle w:val="HStandard"/>
        <w:rPr>
          <w:rFonts w:asciiTheme="minorHAnsi" w:eastAsiaTheme="minorEastAsia" w:hAnsiTheme="minorHAnsi" w:cs="Arial"/>
          <w:color w:val="auto"/>
          <w:sz w:val="22"/>
        </w:rPr>
        <w:sectPr w:rsidR="00143584">
          <w:headerReference w:type="even" r:id="rId16"/>
          <w:headerReference w:type="default" r:id="rId17"/>
          <w:footerReference w:type="even" r:id="rId18"/>
          <w:footerReference w:type="default" r:id="rId19"/>
          <w:headerReference w:type="first" r:id="rId20"/>
          <w:footerReference w:type="first" r:id="rId21"/>
          <w:pgSz w:w="11906" w:h="16838" w:code="9"/>
          <w:pgMar w:top="2495" w:right="1700" w:bottom="2381" w:left="2098" w:header="737" w:footer="1021" w:gutter="0"/>
          <w:pgNumType w:start="1"/>
          <w:cols w:space="708"/>
          <w:titlePg/>
          <w:docGrid w:linePitch="360"/>
        </w:sectPr>
      </w:pPr>
      <w:r>
        <w:rPr>
          <w:rFonts w:cs="Arial"/>
        </w:rPr>
        <w:fldChar w:fldCharType="end"/>
      </w:r>
    </w:p>
    <w:p w:rsidR="00143584" w:rsidRDefault="00D64125">
      <w:pPr>
        <w:spacing w:before="0" w:after="0" w:line="240" w:lineRule="auto"/>
        <w:jc w:val="left"/>
        <w:rPr>
          <w:rFonts w:cs="Arial"/>
          <w:b/>
          <w:caps/>
          <w:noProof/>
          <w:color w:val="F07E31"/>
          <w:sz w:val="20"/>
          <w:szCs w:val="20"/>
        </w:rPr>
      </w:pPr>
      <w:bookmarkStart w:id="0" w:name="_Toc460936091"/>
      <w:r>
        <w:lastRenderedPageBreak/>
        <w:br w:type="page"/>
      </w:r>
    </w:p>
    <w:p w:rsidR="00143584" w:rsidRDefault="00D64125">
      <w:pPr>
        <w:pStyle w:val="HHeading9"/>
        <w:tabs>
          <w:tab w:val="clear" w:pos="510"/>
        </w:tabs>
        <w:rPr>
          <w:rFonts w:cs="Arial"/>
        </w:rPr>
      </w:pPr>
      <w:bookmarkStart w:id="1" w:name="_Toc474938215"/>
      <w:r>
        <w:lastRenderedPageBreak/>
        <w:t>INTRODUCTION</w:t>
      </w:r>
      <w:bookmarkEnd w:id="0"/>
      <w:bookmarkEnd w:id="1"/>
    </w:p>
    <w:p w:rsidR="00143584" w:rsidRDefault="00D64125">
      <w:pPr>
        <w:pStyle w:val="HStandard"/>
        <w:rPr>
          <w:rFonts w:cs="Arial"/>
        </w:rPr>
      </w:pPr>
      <w:r>
        <w:t xml:space="preserve">Starting in June 2016, and each year until 2024, Member States shall submit to the Commission an Annual Implementation Report (AIR). The AIR provides information about the implementation of the rural development programme (RDP), as well as the evaluation plan.  </w:t>
      </w:r>
    </w:p>
    <w:p w:rsidR="00143584" w:rsidRDefault="00D64125">
      <w:pPr>
        <w:pStyle w:val="HStandard"/>
        <w:rPr>
          <w:rFonts w:cs="Arial"/>
        </w:rPr>
      </w:pPr>
      <w: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143584" w:rsidRDefault="00D64125">
      <w:pPr>
        <w:pStyle w:val="HStandard"/>
        <w:rPr>
          <w:rFonts w:cs="Arial"/>
        </w:rPr>
      </w:pPr>
      <w: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143584" w:rsidRDefault="00D64125">
      <w:pPr>
        <w:pStyle w:val="HStandard"/>
        <w:rPr>
          <w:rFonts w:cs="Arial"/>
        </w:rPr>
      </w:pPr>
      <w: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143584" w:rsidRDefault="00D64125">
      <w:pPr>
        <w:pStyle w:val="Hlistbullet"/>
      </w:pPr>
      <w:r>
        <w:t xml:space="preserve">How to use complementary result indicators in the assessment of RD interventions in the AIR 2017? </w:t>
      </w:r>
    </w:p>
    <w:p w:rsidR="00143584" w:rsidRDefault="00D64125">
      <w:pPr>
        <w:pStyle w:val="Hlistbullet"/>
      </w:pPr>
      <w:r>
        <w:t>How to attribute results to the RDP interventions?</w:t>
      </w:r>
    </w:p>
    <w:p w:rsidR="00143584" w:rsidRDefault="00D64125">
      <w:pPr>
        <w:pStyle w:val="Hlistbullet"/>
      </w:pPr>
      <w:r>
        <w:t>How to address the assessment of secondary contributions of RD operations to focus areas under which they have not been programmed but to which they also make a contribution?</w:t>
      </w:r>
    </w:p>
    <w:p w:rsidR="00143584" w:rsidRDefault="00D64125">
      <w:pPr>
        <w:pStyle w:val="Hlistbullet"/>
      </w:pPr>
      <w:r>
        <w:t xml:space="preserve">How to address challenges caused by the flexibility in programming of EAFRD interventions in the individual RDPs? </w:t>
      </w:r>
    </w:p>
    <w:p w:rsidR="00143584" w:rsidRDefault="00D64125">
      <w:pPr>
        <w:pStyle w:val="Hlistbullet"/>
      </w:pPr>
      <w:r>
        <w:t>How to deal with gaps in the monitoring and evaluation system linked to each individual RDP caused by a flexible programming approach?</w:t>
      </w:r>
    </w:p>
    <w:p w:rsidR="00143584" w:rsidRDefault="00D64125">
      <w:pPr>
        <w:pStyle w:val="Hlistbullet"/>
      </w:pPr>
      <w:r>
        <w:t>How to develop programme-specific result indicators and related evaluation questions?</w:t>
      </w:r>
    </w:p>
    <w:p w:rsidR="00143584" w:rsidRDefault="00D64125">
      <w:pPr>
        <w:pStyle w:val="Hlistbullet"/>
      </w:pPr>
      <w:r>
        <w:t xml:space="preserve">How to report on the assessment of RDP achievements in 2017? </w:t>
      </w:r>
    </w:p>
    <w:p w:rsidR="00143584" w:rsidRDefault="00D64125">
      <w:pPr>
        <w:pStyle w:val="Hlistbullet"/>
      </w:pPr>
      <w:r>
        <w:t>How to communicate and disseminate evaluation results?</w:t>
      </w:r>
    </w:p>
    <w:p w:rsidR="00143584" w:rsidRDefault="00D64125">
      <w:pPr>
        <w:pStyle w:val="HStandard"/>
        <w:rPr>
          <w:rFonts w:cs="Arial"/>
        </w:rPr>
      </w:pPr>
      <w: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143584" w:rsidRDefault="00D64125">
      <w:pPr>
        <w:pStyle w:val="HStandard"/>
        <w:rPr>
          <w:rFonts w:cs="Arial"/>
        </w:rPr>
      </w:pPr>
      <w: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143584" w:rsidRDefault="00D64125">
      <w:pPr>
        <w:pStyle w:val="HStandard"/>
        <w:rPr>
          <w:rFonts w:cs="Arial"/>
        </w:rPr>
      </w:pPr>
      <w:r>
        <w:lastRenderedPageBreak/>
        <w:t>Under the guidance of DG AGRI Unit E.4 (evaluation and studies), a Thematic Working Group was established in order to:</w:t>
      </w:r>
    </w:p>
    <w:p w:rsidR="00143584" w:rsidRDefault="00D64125">
      <w:pPr>
        <w:pStyle w:val="Hlistbullet"/>
      </w:pPr>
      <w:r>
        <w:t>Examine the challenges related to the reporting on the evaluation in the AIR 2017, in consultation with stakeholders;</w:t>
      </w:r>
    </w:p>
    <w:p w:rsidR="00143584" w:rsidRDefault="00D64125">
      <w:pPr>
        <w:pStyle w:val="Hlistbullet"/>
      </w:pPr>
      <w:r>
        <w:t>Discuss possible solutions to overcome these challenges considering methodological and practical issues;</w:t>
      </w:r>
    </w:p>
    <w:p w:rsidR="00143584" w:rsidRDefault="00D64125">
      <w:pPr>
        <w:pStyle w:val="Hlistbullet"/>
      </w:pPr>
      <w:r>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43584" w:rsidRDefault="00D64125">
      <w:pPr>
        <w:pStyle w:val="Hlistbullet"/>
      </w:pPr>
      <w:r>
        <w:t>Develop guidelines for preparing and drafting the evaluation component of the enhanced AIR 2017.</w:t>
      </w:r>
    </w:p>
    <w:p w:rsidR="00143584" w:rsidRDefault="00D64125">
      <w:pPr>
        <w:pStyle w:val="HStandard"/>
        <w:rPr>
          <w:rFonts w:cs="Arial"/>
        </w:rPr>
      </w:pPr>
      <w: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143584" w:rsidRDefault="00D64125">
      <w:pPr>
        <w:pStyle w:val="HStandard"/>
        <w:rPr>
          <w:rFonts w:cs="Arial"/>
        </w:rPr>
      </w:pPr>
      <w:r>
        <w:t>Work has been carried out through a series of thematic workshops and desk-research. The draft guidance document has been discussed with Member States’ representatives in the Expert Group on Monitoring and Evaluating the CAP (Common Agricultural Policy) in several stages:  during its 7th meeting on 25 June 2015 the Expert Group discussed the outline of the guidelines; a Sounding Board composed of Expert Group members discussed the 2</w:t>
      </w:r>
      <w:r>
        <w:rPr>
          <w:vertAlign w:val="superscript"/>
        </w:rPr>
        <w:t>nd</w:t>
      </w:r>
      <w:r>
        <w:t xml:space="preserve"> draft of the guidelines in September 2015; during its 8</w:t>
      </w:r>
      <w:r>
        <w:rPr>
          <w:vertAlign w:val="superscript"/>
        </w:rPr>
        <w:t>th</w:t>
      </w:r>
      <w: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143584" w:rsidRDefault="00D64125">
      <w:pPr>
        <w:pStyle w:val="HStandard"/>
        <w:rPr>
          <w:rFonts w:cs="Arial"/>
        </w:rPr>
      </w:pPr>
      <w:r>
        <w:t>The present guidelines have been structured in the following parts:</w:t>
      </w:r>
    </w:p>
    <w:p w:rsidR="00143584" w:rsidRDefault="00D64125">
      <w:pPr>
        <w:pStyle w:val="Hlistbullet"/>
      </w:pPr>
      <w:r>
        <w:rPr>
          <w:b/>
          <w:color w:val="F07E31" w:themeColor="background2"/>
        </w:rPr>
        <w:t xml:space="preserve">PART I </w:t>
      </w:r>
      <w: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143584" w:rsidRDefault="00D64125">
      <w:pPr>
        <w:pStyle w:val="Hlistbullet"/>
      </w:pPr>
      <w:r>
        <w:rPr>
          <w:b/>
          <w:color w:val="F07E31" w:themeColor="background2"/>
        </w:rPr>
        <w:t xml:space="preserve">PART II </w:t>
      </w:r>
      <w:r>
        <w:t>(for Managing Authorities, Paying Agencies and evaluators) provides detailed guidance on the preparation, structuring and conducting phases of the evaluation, including methodological guidance and recommended practices.  This part leads the reader through the process of answering all common and programme-specific evaluation questions for the entire programming period (with a specific focus on the information to be reported in the AIR submitted in 2017).</w:t>
      </w:r>
    </w:p>
    <w:p w:rsidR="00143584" w:rsidRDefault="00D64125">
      <w:pPr>
        <w:pStyle w:val="Hlistbullet"/>
      </w:pPr>
      <w:r>
        <w:rPr>
          <w:b/>
          <w:color w:val="F07E31" w:themeColor="background2"/>
        </w:rPr>
        <w:t xml:space="preserve">Part III – Annexes </w:t>
      </w:r>
      <w:r>
        <w:t>consists of several practical tools such as the SFC template for point 7 of the AIR 2017, an overview of reporting requirements, check-lists for assessing the quality of the evaluation report, Terms of Reference, etc.</w:t>
      </w:r>
    </w:p>
    <w:p w:rsidR="00143584" w:rsidRDefault="00D64125">
      <w:pPr>
        <w:pStyle w:val="Hlistbullet"/>
      </w:pPr>
      <w:r>
        <w:rPr>
          <w:b/>
          <w:color w:val="F07E31" w:themeColor="background2"/>
        </w:rPr>
        <w:t xml:space="preserve">A separate annex 11 </w:t>
      </w:r>
      <w:r>
        <w:t xml:space="preserve">provides fiches with detailed methodological guidance on how to address each Common Evaluation Question (CEQ) no. 1-21 to be answered in 2017. </w:t>
      </w:r>
    </w:p>
    <w:p w:rsidR="00143584" w:rsidRDefault="00D64125">
      <w:pPr>
        <w:pStyle w:val="HHeading9"/>
        <w:rPr>
          <w:rFonts w:cs="Arial"/>
          <w:highlight w:val="yellow"/>
        </w:rPr>
      </w:pPr>
      <w:bookmarkStart w:id="2" w:name="_Toc460936092"/>
      <w:bookmarkStart w:id="3" w:name="_Toc474938216"/>
      <w:r>
        <w:rPr>
          <w:highlight w:val="yellow"/>
        </w:rPr>
        <w:lastRenderedPageBreak/>
        <w:t>ЧАСТ I — ФОКУСИРАНЕ, УПРАВЛЕНИЕ И ДОКЛАДВАНЕ ВЪВ ВРЪЗКА С ОЦЕНКАТА</w:t>
      </w:r>
      <w:bookmarkEnd w:id="2"/>
      <w:bookmarkEnd w:id="3"/>
    </w:p>
    <w:p w:rsidR="00143584" w:rsidRDefault="00D64125">
      <w:pPr>
        <w:pStyle w:val="HHeading5"/>
        <w:rPr>
          <w:highlight w:val="yellow"/>
        </w:rPr>
      </w:pPr>
      <w:r>
        <w:rPr>
          <w:highlight w:val="yellow"/>
        </w:rPr>
        <w:t>Обзор на годишните доклади за изпълнението</w:t>
      </w:r>
    </w:p>
    <w:p w:rsidR="00143584" w:rsidRDefault="00D64125">
      <w:pPr>
        <w:pStyle w:val="HStandard"/>
        <w:rPr>
          <w:rFonts w:cs="Arial"/>
          <w:highlight w:val="yellow"/>
        </w:rPr>
      </w:pPr>
      <w:r>
        <w:rPr>
          <w:highlight w:val="yellow"/>
        </w:rPr>
        <w:t>Програмният период 2014—2020 г. ще включва два преработени (разширени) ГДИ, които обединяват елементите на мониторинга и на оценката и ще бъдат представени през 2017 г. и 2019 г. Елементите на мониторинга в преработените (разширените) ГДИ от 2017 г. и 2019 г. са идентични с предишните стандартни ГДИ. С напредването на програмния период обаче ще бъдат включени още елементи на оценката.</w:t>
      </w:r>
    </w:p>
    <w:p w:rsidR="00143584" w:rsidRDefault="00D64125" w:rsidP="00607FE5">
      <w:pPr>
        <w:pStyle w:val="HHeadingfigures"/>
        <w:rPr>
          <w:highlight w:val="yellow"/>
        </w:rPr>
      </w:pPr>
      <w:bookmarkStart w:id="4" w:name="_Toc460936147"/>
      <w:bookmarkStart w:id="5" w:name="_Toc474937846"/>
      <w:r>
        <w:rPr>
          <w:highlight w:val="yellow"/>
        </w:rPr>
        <w:t>Съдържание на годишните доклади за изпълнението</w:t>
      </w:r>
      <w:r>
        <w:rPr>
          <w:rStyle w:val="FootnoteReference"/>
          <w:highlight w:val="yellow"/>
        </w:rPr>
        <w:footnoteReference w:id="2"/>
      </w:r>
      <w:bookmarkEnd w:id="4"/>
      <w:bookmarkEnd w:id="5"/>
    </w:p>
    <w:p w:rsidR="00143584" w:rsidRDefault="00D64125">
      <w:pPr>
        <w:pStyle w:val="HStandard"/>
        <w:jc w:val="center"/>
        <w:rPr>
          <w:rFonts w:cs="Arial"/>
          <w:highlight w:val="yellow"/>
        </w:rPr>
      </w:pPr>
      <w:r>
        <w:rPr>
          <w:noProof/>
          <w:lang w:val="en-GB" w:eastAsia="en-GB" w:bidi="ar-SA"/>
        </w:rPr>
        <w:drawing>
          <wp:inline distT="0" distB="0" distL="0" distR="0">
            <wp:extent cx="483870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2686050"/>
                    </a:xfrm>
                    <a:prstGeom prst="rect">
                      <a:avLst/>
                    </a:prstGeom>
                    <a:noFill/>
                    <a:ln>
                      <a:noFill/>
                    </a:ln>
                  </pic:spPr>
                </pic:pic>
              </a:graphicData>
            </a:graphic>
          </wp:inline>
        </w:drawing>
      </w:r>
    </w:p>
    <w:p w:rsidR="00143584" w:rsidRDefault="00D64125">
      <w:pPr>
        <w:pStyle w:val="HSource"/>
        <w:rPr>
          <w:rFonts w:cs="Arial"/>
          <w:highlight w:val="yellow"/>
        </w:rPr>
      </w:pPr>
      <w:r>
        <w:rPr>
          <w:highlight w:val="yellow"/>
        </w:rPr>
        <w:t>Източник Европейско бюро за оценка в областта на развитието на селските райони, 2015 г.</w:t>
      </w:r>
    </w:p>
    <w:p w:rsidR="00143584" w:rsidRDefault="00D64125">
      <w:pPr>
        <w:pStyle w:val="HHeading5"/>
        <w:rPr>
          <w:highlight w:val="yellow"/>
        </w:rPr>
      </w:pPr>
      <w:r>
        <w:rPr>
          <w:highlight w:val="yellow"/>
        </w:rPr>
        <w:t>Общата рамка за мониторинг и оценка (ОРМО) като база за докладване</w:t>
      </w:r>
    </w:p>
    <w:p w:rsidR="00143584" w:rsidRDefault="00D64125">
      <w:pPr>
        <w:pStyle w:val="HStandard"/>
        <w:rPr>
          <w:rFonts w:cs="Arial"/>
          <w:highlight w:val="yellow"/>
        </w:rPr>
      </w:pPr>
      <w:r>
        <w:rPr>
          <w:highlight w:val="yellow"/>
        </w:rPr>
        <w:t>Правната рамка определя общата система за мониторинг и оценка (ОСМО) за развитието на селските райони</w:t>
      </w:r>
      <w:r>
        <w:rPr>
          <w:rStyle w:val="FootnoteReference"/>
          <w:highlight w:val="yellow"/>
        </w:rPr>
        <w:footnoteReference w:id="3"/>
      </w:r>
      <w:r>
        <w:rPr>
          <w:highlight w:val="yellow"/>
        </w:rPr>
        <w:t xml:space="preserve"> като част от общата рамка за мониторинг и оценка (ОРМО) за цялата ОСП. С ОСМО се гарантира, че в целия ЕС се прилага общ подход на оценяване при </w:t>
      </w:r>
      <w:r>
        <w:rPr>
          <w:b/>
          <w:highlight w:val="yellow"/>
        </w:rPr>
        <w:t>извършването и</w:t>
      </w:r>
      <w:r>
        <w:rPr>
          <w:highlight w:val="yellow"/>
        </w:rPr>
        <w:t xml:space="preserve"> </w:t>
      </w:r>
      <w:r>
        <w:rPr>
          <w:b/>
          <w:highlight w:val="yellow"/>
        </w:rPr>
        <w:t>докладването</w:t>
      </w:r>
      <w:r>
        <w:rPr>
          <w:highlight w:val="yellow"/>
        </w:rPr>
        <w:t xml:space="preserve"> във връзка с оценката на програмите за развитие на селските райони, а именно чрез: </w:t>
      </w:r>
    </w:p>
    <w:p w:rsidR="00143584" w:rsidRDefault="00D64125">
      <w:pPr>
        <w:pStyle w:val="Hlistbullet"/>
        <w:numPr>
          <w:ilvl w:val="0"/>
          <w:numId w:val="2"/>
        </w:numPr>
        <w:spacing w:before="0" w:after="120" w:line="280" w:lineRule="atLeast"/>
        <w:rPr>
          <w:rFonts w:cs="Arial"/>
          <w:highlight w:val="yellow"/>
        </w:rPr>
      </w:pPr>
      <w:r>
        <w:rPr>
          <w:highlight w:val="yellow"/>
        </w:rPr>
        <w:t xml:space="preserve">демонстриране на напредъка и постиженията на политиките на ЕС и на неговите държави членки за развитие на селските райони чрез оценяване на въздействията, ефективността, ефикасността и значението на политиката, </w:t>
      </w:r>
    </w:p>
    <w:p w:rsidR="00143584" w:rsidRDefault="00D64125">
      <w:pPr>
        <w:pStyle w:val="Hlistbullet"/>
        <w:numPr>
          <w:ilvl w:val="0"/>
          <w:numId w:val="2"/>
        </w:numPr>
        <w:spacing w:before="0" w:after="120" w:line="280" w:lineRule="atLeast"/>
        <w:rPr>
          <w:rFonts w:cs="Arial"/>
          <w:highlight w:val="yellow"/>
        </w:rPr>
      </w:pPr>
      <w:r>
        <w:rPr>
          <w:highlight w:val="yellow"/>
        </w:rPr>
        <w:t>подпомагане на общ процес на обучение, свързан с подобряването на подготовката и прилагането на политиката за развитие на селските райони,</w:t>
      </w:r>
    </w:p>
    <w:p w:rsidR="00143584" w:rsidRDefault="00D64125">
      <w:pPr>
        <w:pStyle w:val="Hlistbullet"/>
        <w:numPr>
          <w:ilvl w:val="0"/>
          <w:numId w:val="2"/>
        </w:numPr>
        <w:spacing w:before="0" w:after="120" w:line="280" w:lineRule="atLeast"/>
        <w:rPr>
          <w:rFonts w:cs="Arial"/>
          <w:highlight w:val="yellow"/>
        </w:rPr>
      </w:pPr>
      <w:r>
        <w:rPr>
          <w:highlight w:val="yellow"/>
        </w:rPr>
        <w:t xml:space="preserve">принос за по-целенасоченото подпомагане на развитието на селските райони.  </w:t>
      </w:r>
    </w:p>
    <w:p w:rsidR="00143584" w:rsidRDefault="00D64125">
      <w:pPr>
        <w:pStyle w:val="HStandard"/>
        <w:rPr>
          <w:rFonts w:cs="Arial"/>
          <w:highlight w:val="yellow"/>
        </w:rPr>
      </w:pPr>
      <w:r>
        <w:rPr>
          <w:highlight w:val="yellow"/>
        </w:rPr>
        <w:t xml:space="preserve">С ОСМО се цели да се подобри отчетността и прозрачността на политиката на ЕС за селските райони и да се улесни </w:t>
      </w:r>
      <w:r>
        <w:rPr>
          <w:b/>
          <w:highlight w:val="yellow"/>
        </w:rPr>
        <w:t>докладването във връзка с констатациите от оценката,</w:t>
      </w:r>
      <w:r>
        <w:rPr>
          <w:highlight w:val="yellow"/>
        </w:rPr>
        <w:t xml:space="preserve"> както и </w:t>
      </w:r>
      <w:r>
        <w:rPr>
          <w:highlight w:val="yellow"/>
        </w:rPr>
        <w:lastRenderedPageBreak/>
        <w:t>тяхното обобщаване на ниво ЕС. Елементите на ОСМО са описани в приложение 2 към насоките.</w:t>
      </w:r>
    </w:p>
    <w:p w:rsidR="00143584" w:rsidRDefault="00143584">
      <w:pPr>
        <w:pStyle w:val="HStandard"/>
        <w:rPr>
          <w:highlight w:val="yellow"/>
        </w:rPr>
      </w:pPr>
    </w:p>
    <w:p w:rsidR="00143584" w:rsidRDefault="00D64125">
      <w:pPr>
        <w:pStyle w:val="HHeading1"/>
        <w:rPr>
          <w:rFonts w:cs="Arial"/>
          <w:highlight w:val="yellow"/>
        </w:rPr>
      </w:pPr>
      <w:bookmarkStart w:id="6" w:name="_Toc460936093"/>
      <w:bookmarkStart w:id="7" w:name="_Toc474938217"/>
      <w:r>
        <w:rPr>
          <w:highlight w:val="yellow"/>
        </w:rPr>
        <w:lastRenderedPageBreak/>
        <w:t>Изисквания за докладването през 2017 г.</w:t>
      </w:r>
      <w:bookmarkEnd w:id="6"/>
      <w:bookmarkEnd w:id="7"/>
    </w:p>
    <w:p w:rsidR="00143584" w:rsidRDefault="00D64125">
      <w:pPr>
        <w:pStyle w:val="HHeading2"/>
        <w:rPr>
          <w:highlight w:val="yellow"/>
        </w:rPr>
      </w:pPr>
      <w:bookmarkStart w:id="8" w:name="_Toc460936094"/>
      <w:bookmarkStart w:id="9" w:name="_Toc474938218"/>
      <w:r>
        <w:rPr>
          <w:highlight w:val="yellow"/>
        </w:rPr>
        <w:t>Изисквания за мониторинга и оценката в ГДИ за 2017 г.</w:t>
      </w:r>
      <w:bookmarkEnd w:id="8"/>
      <w:bookmarkEnd w:id="9"/>
    </w:p>
    <w:p w:rsidR="00143584" w:rsidRDefault="00D64125">
      <w:pPr>
        <w:pStyle w:val="HStandard"/>
        <w:rPr>
          <w:rFonts w:cs="Arial"/>
          <w:highlight w:val="yellow"/>
        </w:rPr>
      </w:pPr>
      <w:r>
        <w:rPr>
          <w:highlight w:val="yellow"/>
        </w:rPr>
        <w:t xml:space="preserve">Общите изисквания за докладването в ГДИ за 2017 г. съчетават както елементи на мониторинга, така и на оценката. </w:t>
      </w:r>
    </w:p>
    <w:p w:rsidR="00143584" w:rsidRDefault="00D64125">
      <w:pPr>
        <w:pStyle w:val="Hlistbullet"/>
        <w:rPr>
          <w:highlight w:val="yellow"/>
        </w:rPr>
      </w:pPr>
      <w:r>
        <w:rPr>
          <w:b/>
          <w:highlight w:val="yellow"/>
        </w:rPr>
        <w:t>Мониторинг:</w:t>
      </w:r>
      <w:r>
        <w:rPr>
          <w:highlight w:val="yellow"/>
        </w:rPr>
        <w:t xml:space="preserve"> УО ще събира и докладва информация по различни въпроси, като например за напредъка в изпълнението на плана за оценка</w:t>
      </w:r>
      <w:r>
        <w:rPr>
          <w:highlight w:val="yellow"/>
          <w:vertAlign w:val="superscript"/>
        </w:rPr>
        <w:footnoteReference w:id="4"/>
      </w:r>
      <w:r>
        <w:rPr>
          <w:highlight w:val="yellow"/>
        </w:rPr>
        <w:t>, поетите финансови задължения и разходите</w:t>
      </w:r>
      <w:r>
        <w:rPr>
          <w:highlight w:val="yellow"/>
          <w:vertAlign w:val="superscript"/>
        </w:rPr>
        <w:footnoteReference w:id="5"/>
      </w:r>
      <w:r>
        <w:rPr>
          <w:highlight w:val="yellow"/>
        </w:rPr>
        <w:t>, данни за показателите</w:t>
      </w:r>
      <w:r>
        <w:rPr>
          <w:highlight w:val="yellow"/>
          <w:vertAlign w:val="superscript"/>
        </w:rPr>
        <w:footnoteReference w:id="6"/>
      </w:r>
      <w:r>
        <w:rPr>
          <w:highlight w:val="yellow"/>
        </w:rPr>
        <w:t xml:space="preserve"> и напредъка към постигането на целите, както в стандартния ГДИ. УО ще гарантира също така, че информацията от мониторинга и останалите налични данни ще се използват за основа на оценката. </w:t>
      </w:r>
    </w:p>
    <w:p w:rsidR="00143584" w:rsidRDefault="00D64125">
      <w:pPr>
        <w:pStyle w:val="Hlistbullet"/>
        <w:rPr>
          <w:highlight w:val="yellow"/>
        </w:rPr>
      </w:pPr>
      <w:r>
        <w:rPr>
          <w:b/>
          <w:highlight w:val="yellow"/>
        </w:rPr>
        <w:t>Оценка:</w:t>
      </w:r>
      <w:r>
        <w:rPr>
          <w:highlight w:val="yellow"/>
        </w:rPr>
        <w:t xml:space="preserve"> В ГДИ за 2017 г. УО ще докладва информация, получена в резултат на дейността на оценителя, и по-специално по отношение на оценката на постиженията на програмата чрез количественото изражение на общи, допълнителни и специфични за програмата показатели за резултатите и отговори на въпросите за оценка. </w:t>
      </w:r>
    </w:p>
    <w:p w:rsidR="00143584" w:rsidRDefault="00D64125">
      <w:pPr>
        <w:pStyle w:val="HHeading5"/>
        <w:rPr>
          <w:highlight w:val="yellow"/>
        </w:rPr>
      </w:pPr>
      <w:r>
        <w:rPr>
          <w:highlight w:val="yellow"/>
        </w:rPr>
        <w:t xml:space="preserve">Кой го извършва? </w:t>
      </w:r>
    </w:p>
    <w:p w:rsidR="00143584" w:rsidRDefault="00D64125">
      <w:pPr>
        <w:pStyle w:val="HStandard"/>
        <w:rPr>
          <w:rFonts w:cs="Arial"/>
          <w:highlight w:val="yellow"/>
        </w:rPr>
      </w:pPr>
      <w:r>
        <w:rPr>
          <w:highlight w:val="yellow"/>
        </w:rPr>
        <w:t>ГДИ за 2017 г. трябва да включва констатациите от оценките на ПРСР</w:t>
      </w:r>
      <w:r>
        <w:rPr>
          <w:rStyle w:val="FootnoteReference"/>
          <w:highlight w:val="yellow"/>
        </w:rPr>
        <w:footnoteReference w:id="7"/>
      </w:r>
      <w:r>
        <w:rPr>
          <w:highlight w:val="yellow"/>
        </w:rPr>
        <w:t>, извършени от вътрешни или външни експерти, които са функционално независими от УО</w:t>
      </w:r>
      <w:r>
        <w:rPr>
          <w:rStyle w:val="FootnoteReference"/>
          <w:highlight w:val="yellow"/>
        </w:rPr>
        <w:footnoteReference w:id="8"/>
      </w:r>
      <w:r>
        <w:t>.</w:t>
      </w:r>
      <w:r>
        <w:rPr>
          <w:highlight w:val="yellow"/>
        </w:rPr>
        <w:t xml:space="preserve"> Самото докладване, т.е. обобщаването на основните констатации и препоръки, следва да се извършва от УО, който е „ангажиран“ с ГДИ. </w:t>
      </w:r>
    </w:p>
    <w:p w:rsidR="00143584" w:rsidRDefault="00D64125">
      <w:pPr>
        <w:pStyle w:val="HHeading5"/>
        <w:rPr>
          <w:highlight w:val="yellow"/>
        </w:rPr>
      </w:pPr>
      <w:r>
        <w:rPr>
          <w:highlight w:val="yellow"/>
        </w:rPr>
        <w:t>За какво трябва да се докладва в рамките на оценката за ГДИ за 2017 г.?</w:t>
      </w:r>
    </w:p>
    <w:p w:rsidR="00143584" w:rsidRDefault="00D64125">
      <w:pPr>
        <w:pStyle w:val="HStandard"/>
        <w:rPr>
          <w:rFonts w:cs="Arial"/>
          <w:highlight w:val="yellow"/>
        </w:rPr>
      </w:pPr>
      <w:r>
        <w:rPr>
          <w:b/>
          <w:highlight w:val="yellow"/>
        </w:rPr>
        <w:t>Основният акцент на оценката, по който трябва да се докладва през 2017 г.,</w:t>
      </w:r>
      <w:r>
        <w:rPr>
          <w:highlight w:val="yellow"/>
        </w:rPr>
        <w:t xml:space="preserve"> обхваща постигнатите до момента резултати. В това отношение ГДИ за 2017 г. трябва да включва следната информация, получена от дейностите за оценка:</w:t>
      </w:r>
    </w:p>
    <w:p w:rsidR="00143584" w:rsidRDefault="00D64125">
      <w:pPr>
        <w:pStyle w:val="Hlistbullet"/>
        <w:ind w:left="426" w:hanging="426"/>
        <w:rPr>
          <w:rFonts w:cs="Arial"/>
          <w:highlight w:val="yellow"/>
        </w:rPr>
      </w:pPr>
      <w:r>
        <w:rPr>
          <w:highlight w:val="yellow"/>
        </w:rPr>
        <w:t>обобщаване на оценката чрез количественото изражение и оценяване на постиженията на програмата, изразени чрез показателите за резултатите (в това число показателите за допълнителни резултати</w:t>
      </w:r>
      <w:r>
        <w:rPr>
          <w:rStyle w:val="FootnoteReference"/>
          <w:highlight w:val="yellow"/>
        </w:rPr>
        <w:footnoteReference w:id="9"/>
      </w:r>
      <w:r>
        <w:rPr>
          <w:highlight w:val="yellow"/>
        </w:rPr>
        <w:t>, специфичните за програмата показатели и допълнителните показатели). Количественото изразяване и оценяването на показателите ще се базира на първичния и вторичния принос на операциите по линия на ПРСР, включително осъществените по линия на ВОМР (водено от общностите местно развитие) в рамките на LEADER</w:t>
      </w:r>
      <w:r>
        <w:rPr>
          <w:rStyle w:val="FootnoteReference"/>
          <w:highlight w:val="yellow"/>
        </w:rPr>
        <w:footnoteReference w:id="10"/>
      </w:r>
      <w:r>
        <w:rPr>
          <w:highlight w:val="yellow"/>
        </w:rPr>
        <w:t>. Стойностите на показателите за резултатите трябва да се отнасят до приключени операции. В зависимост от етапа на изпълнение, ако няма приключени операции, може да се наложи да бъдат оценявани избрани текущи операции,</w:t>
      </w:r>
    </w:p>
    <w:p w:rsidR="00143584" w:rsidRDefault="00D64125">
      <w:pPr>
        <w:pStyle w:val="Hlistbullet"/>
        <w:ind w:left="426" w:hanging="426"/>
        <w:rPr>
          <w:rFonts w:cs="Arial"/>
          <w:highlight w:val="yellow"/>
        </w:rPr>
      </w:pPr>
      <w:r>
        <w:rPr>
          <w:highlight w:val="yellow"/>
        </w:rPr>
        <w:t xml:space="preserve">утвърждаване на стойностите на целевите показатели, които са били определени на етапа на разработване на програмата, </w:t>
      </w:r>
    </w:p>
    <w:p w:rsidR="00143584" w:rsidRDefault="00D64125">
      <w:pPr>
        <w:pStyle w:val="Hlistbullet"/>
        <w:ind w:left="426" w:hanging="426"/>
        <w:rPr>
          <w:rFonts w:cs="Arial"/>
          <w:highlight w:val="yellow"/>
        </w:rPr>
      </w:pPr>
      <w:r>
        <w:rPr>
          <w:highlight w:val="yellow"/>
        </w:rPr>
        <w:lastRenderedPageBreak/>
        <w:t>отговори на важни въпроси за оценка (свързани с областите с поставен акцент и с други аспекти на ПРСР)</w:t>
      </w:r>
      <w:r>
        <w:rPr>
          <w:rStyle w:val="FootnoteReference"/>
          <w:highlight w:val="yellow"/>
        </w:rPr>
        <w:footnoteReference w:id="11"/>
      </w:r>
      <w:r>
        <w:rPr>
          <w:highlight w:val="yellow"/>
        </w:rPr>
        <w:t xml:space="preserve"> въз основа на оценяването на горепосочените показатели.</w:t>
      </w:r>
    </w:p>
    <w:p w:rsidR="00143584" w:rsidRDefault="00D64125">
      <w:pPr>
        <w:pStyle w:val="HHeading5"/>
        <w:rPr>
          <w:rFonts w:cs="Arial"/>
          <w:highlight w:val="yellow"/>
        </w:rPr>
      </w:pPr>
      <w:r>
        <w:rPr>
          <w:highlight w:val="yellow"/>
        </w:rPr>
        <w:t xml:space="preserve">Препоръчани практики: </w:t>
      </w:r>
    </w:p>
    <w:p w:rsidR="00143584" w:rsidRDefault="00D64125">
      <w:pPr>
        <w:pStyle w:val="Hlistbullet"/>
        <w:rPr>
          <w:rFonts w:cs="Arial"/>
          <w:highlight w:val="yellow"/>
        </w:rPr>
      </w:pPr>
      <w:r>
        <w:rPr>
          <w:highlight w:val="yellow"/>
        </w:rPr>
        <w:t xml:space="preserve">Различните форми на подпомагане (финансови инструменти), прилагани при изпълнението на мерки по ПРСР, също може да се отразят върху постиженията на програмата и върху нетните стойности на показателите за резултатите. По тази причина в оценяването може да се включи </w:t>
      </w:r>
      <w:r>
        <w:rPr>
          <w:b/>
          <w:highlight w:val="yellow"/>
        </w:rPr>
        <w:t>съпоставяне на ефектите от различните финансови инструменти</w:t>
      </w:r>
      <w:r>
        <w:rPr>
          <w:highlight w:val="yellow"/>
        </w:rPr>
        <w:t xml:space="preserve"> (в случаите, когато са прилагани). </w:t>
      </w:r>
    </w:p>
    <w:p w:rsidR="00143584" w:rsidRDefault="00D64125">
      <w:pPr>
        <w:pStyle w:val="Hlistbullet"/>
        <w:rPr>
          <w:highlight w:val="yellow"/>
        </w:rPr>
      </w:pPr>
      <w:r>
        <w:rPr>
          <w:b/>
          <w:highlight w:val="yellow"/>
        </w:rPr>
        <w:t xml:space="preserve">Оценяването на механизмите за изпълнение </w:t>
      </w:r>
      <w:r>
        <w:rPr>
          <w:highlight w:val="yellow"/>
        </w:rPr>
        <w:t>(в рамките на оценяването на изпълнението на програмата) се счита за добра практика. На механизмите за изпълнение, т.е. набора от процеси и процедури, с който се гарантира превръщането на целите на политиката в конкретни действия</w:t>
      </w:r>
      <w:r>
        <w:rPr>
          <w:rStyle w:val="FootnoteReference"/>
          <w:highlight w:val="yellow"/>
        </w:rPr>
        <w:footnoteReference w:id="12"/>
      </w:r>
      <w:r>
        <w:rPr>
          <w:highlight w:val="yellow"/>
        </w:rPr>
        <w:t>, се гледа като на един от факторите, засягащи резултатите от програмата и предприетите мерки</w:t>
      </w:r>
      <w:r>
        <w:rPr>
          <w:rStyle w:val="FootnoteReference"/>
          <w:highlight w:val="yellow"/>
        </w:rPr>
        <w:footnoteReference w:id="13"/>
      </w:r>
      <w:r>
        <w:rPr>
          <w:highlight w:val="yellow"/>
        </w:rPr>
        <w:t>. Някои от въпросите, които трябва да бъдат анализирани във връзка с механизма за изпълнение на ПРСР и неговата ефективност и ефикасност, са следните:</w:t>
      </w:r>
    </w:p>
    <w:p w:rsidR="00143584" w:rsidRDefault="00D64125">
      <w:pPr>
        <w:pStyle w:val="Hlistbullet2"/>
        <w:rPr>
          <w:highlight w:val="yellow"/>
        </w:rPr>
      </w:pPr>
      <w:r>
        <w:rPr>
          <w:highlight w:val="yellow"/>
        </w:rPr>
        <w:t>насочване на подпомагането от ЕЗФРСР към избрани групи бенефициери,</w:t>
      </w:r>
    </w:p>
    <w:p w:rsidR="00143584" w:rsidRDefault="00D64125">
      <w:pPr>
        <w:pStyle w:val="Hlistbullet2"/>
        <w:rPr>
          <w:highlight w:val="yellow"/>
        </w:rPr>
      </w:pPr>
      <w:r>
        <w:rPr>
          <w:highlight w:val="yellow"/>
        </w:rPr>
        <w:t>подбор на видовете подпомагане (финансови инструменти, опростени варианти на разходите) според мерките,</w:t>
      </w:r>
    </w:p>
    <w:p w:rsidR="00143584" w:rsidRDefault="00D64125">
      <w:pPr>
        <w:pStyle w:val="Hlistbullet2"/>
        <w:rPr>
          <w:highlight w:val="yellow"/>
        </w:rPr>
      </w:pPr>
      <w:r>
        <w:rPr>
          <w:highlight w:val="yellow"/>
        </w:rPr>
        <w:t xml:space="preserve">разпространение на информация за подпомагането от ЕЗФРСР сред бенефициерите, </w:t>
      </w:r>
    </w:p>
    <w:p w:rsidR="00143584" w:rsidRDefault="00D64125">
      <w:pPr>
        <w:pStyle w:val="Hlistbullet2"/>
        <w:rPr>
          <w:highlight w:val="yellow"/>
        </w:rPr>
      </w:pPr>
      <w:r>
        <w:rPr>
          <w:highlight w:val="yellow"/>
        </w:rPr>
        <w:t>процедури за подаване на заявления, подбор, сключване на договори и плащане,</w:t>
      </w:r>
    </w:p>
    <w:p w:rsidR="00143584" w:rsidRDefault="00D64125">
      <w:pPr>
        <w:pStyle w:val="Hlistbullet2"/>
        <w:rPr>
          <w:highlight w:val="yellow"/>
        </w:rPr>
      </w:pPr>
      <w:r>
        <w:rPr>
          <w:highlight w:val="yellow"/>
        </w:rPr>
        <w:t>механизми за мониторинг и обратна информация от бенефициерите във връзка с прилагането на избраните мерки и т.н.</w:t>
      </w:r>
    </w:p>
    <w:p w:rsidR="00143584" w:rsidRDefault="00D64125">
      <w:pPr>
        <w:pStyle w:val="HHeading5"/>
        <w:rPr>
          <w:b w:val="0"/>
          <w:highlight w:val="yellow"/>
        </w:rPr>
      </w:pPr>
      <w:r>
        <w:rPr>
          <w:highlight w:val="yellow"/>
        </w:rPr>
        <w:t>Какъв е отчетният период за ГДИ за 2017 г.?</w:t>
      </w:r>
    </w:p>
    <w:p w:rsidR="00143584" w:rsidRDefault="00D64125">
      <w:pPr>
        <w:pStyle w:val="HStandard"/>
        <w:rPr>
          <w:rFonts w:cs="Arial"/>
          <w:highlight w:val="yellow"/>
        </w:rPr>
      </w:pPr>
      <w:r>
        <w:rPr>
          <w:highlight w:val="yellow"/>
        </w:rPr>
        <w:t>Информацията, която подлежи на докладване през 2017 г., следва да обхваща периода 2014—2016 г. Дейностите по изготвянето на доклада и задачите във връзка с оценката (наричани по-долу „оценка през 2017 г.“) ще бъдат осъществени през първата половина на 2017 г.</w:t>
      </w:r>
    </w:p>
    <w:p w:rsidR="00143584" w:rsidRDefault="00D64125">
      <w:pPr>
        <w:pStyle w:val="HStandard"/>
        <w:rPr>
          <w:highlight w:val="yellow"/>
        </w:rPr>
      </w:pPr>
      <w:r>
        <w:rPr>
          <w:highlight w:val="yellow"/>
        </w:rPr>
        <w:t>Преходните разпоредби размиват разделителната линия между двете рамки на политиката (за периодите 2007—2013 г. и 2014—2020 г.), като има възможност бюджетът за периода 2014—2020 г. да се изпълнява по правилата на политиката за периода 2007—2013 г. („нов бюджет/стари правила“). Затова те трябва да бъдат отчетени по подходящ начин в оценката на резултатите, които подлежат на докладване в ГДИ за 2017 г., и съответно в отговорите на въпросите за оценка.</w:t>
      </w:r>
    </w:p>
    <w:p w:rsidR="00143584" w:rsidRDefault="00D64125">
      <w:pPr>
        <w:pStyle w:val="HStandard"/>
        <w:rPr>
          <w:color w:val="212121"/>
          <w:highlight w:val="yellow"/>
        </w:rPr>
      </w:pPr>
      <w:r>
        <w:rPr>
          <w:highlight w:val="yellow"/>
        </w:rPr>
        <w:t>Поради тази причина в ГДИ за 2017 г. трябва да бъдат представени поотделно резултатите, постигнати с частта от бюджета за периода 2014—2020 г., изпълнявана по правилата за периода 2007—2013 г., и резултатите, постигнати с новия бюджет за периода 2014—2020 г., изпълняван по програмите/според политиката за периода 2014—2020 г., като и в двата случая оценяването на резултатите трябва да се извърши според концептуалния подход за периода 2014—2020 г. По този начин ще се оптимизира разбирането на рамката на политиката за периода 2014—2020 г., като в същото време се предостави обща представа за резултатите/постиженията на политиката по отношение на разходите в Многогодишната финансова рамка за периода 2014—2020 г.</w:t>
      </w:r>
    </w:p>
    <w:p w:rsidR="00143584" w:rsidRDefault="00D64125">
      <w:pPr>
        <w:pStyle w:val="HHeading5"/>
        <w:rPr>
          <w:highlight w:val="yellow"/>
        </w:rPr>
      </w:pPr>
      <w:r>
        <w:rPr>
          <w:highlight w:val="yellow"/>
        </w:rPr>
        <w:t>Как държавите членки трябва да докладват във връзка с оценката през 2017 г.?</w:t>
      </w:r>
    </w:p>
    <w:p w:rsidR="00143584" w:rsidRDefault="00D64125">
      <w:pPr>
        <w:pStyle w:val="HStandard"/>
        <w:rPr>
          <w:rFonts w:cs="Arial"/>
          <w:highlight w:val="yellow"/>
        </w:rPr>
      </w:pPr>
      <w:r>
        <w:rPr>
          <w:highlight w:val="yellow"/>
        </w:rPr>
        <w:lastRenderedPageBreak/>
        <w:t>В рамките на ГДИ за 2017 г. докладването във връзка с оценката ще се извършва по образеца за ГДИ от електронната система за обмен на информация (SFC) (точка 7), който ще се състои от таблици, съставени отделно за:</w:t>
      </w:r>
    </w:p>
    <w:p w:rsidR="00143584" w:rsidRDefault="00D64125" w:rsidP="00607FE5">
      <w:pPr>
        <w:pStyle w:val="Hlistabc"/>
        <w:rPr>
          <w:highlight w:val="yellow"/>
        </w:rPr>
      </w:pPr>
      <w:r>
        <w:rPr>
          <w:highlight w:val="yellow"/>
        </w:rPr>
        <w:t xml:space="preserve">общите въпроси за оценка (ОВО), свързани с всяка област с поставен акцент, номера 1—18; </w:t>
      </w:r>
    </w:p>
    <w:p w:rsidR="00143584" w:rsidRDefault="00D64125">
      <w:pPr>
        <w:pStyle w:val="Hlistabc"/>
        <w:rPr>
          <w:highlight w:val="yellow"/>
        </w:rPr>
      </w:pPr>
      <w:r>
        <w:rPr>
          <w:highlight w:val="yellow"/>
        </w:rPr>
        <w:t xml:space="preserve">общите въпроси за оценка, свързани с други аспекти на ПРСР: </w:t>
      </w:r>
    </w:p>
    <w:p w:rsidR="00143584" w:rsidRDefault="00D64125">
      <w:pPr>
        <w:pStyle w:val="Hlistline3"/>
        <w:numPr>
          <w:ilvl w:val="0"/>
          <w:numId w:val="32"/>
        </w:numPr>
        <w:rPr>
          <w:highlight w:val="yellow"/>
        </w:rPr>
      </w:pPr>
      <w:r>
        <w:rPr>
          <w:highlight w:val="yellow"/>
        </w:rPr>
        <w:t xml:space="preserve">техническа помощ (ТП) и национална мрежа за селските райони (НМСР), номера 20 и 21 от ОВО; </w:t>
      </w:r>
    </w:p>
    <w:p w:rsidR="00143584" w:rsidRDefault="00D64125">
      <w:pPr>
        <w:pStyle w:val="Hlistline3"/>
        <w:numPr>
          <w:ilvl w:val="0"/>
          <w:numId w:val="32"/>
        </w:numPr>
        <w:rPr>
          <w:highlight w:val="yellow"/>
        </w:rPr>
      </w:pPr>
      <w:r>
        <w:rPr>
          <w:highlight w:val="yellow"/>
        </w:rPr>
        <w:t>полезни взаимодействия на програмата, номер 19 от ОВО;</w:t>
      </w:r>
    </w:p>
    <w:p w:rsidR="00143584" w:rsidRDefault="00D64125">
      <w:pPr>
        <w:pStyle w:val="Hlistabc"/>
        <w:rPr>
          <w:highlight w:val="yellow"/>
        </w:rPr>
      </w:pPr>
      <w:r>
        <w:rPr>
          <w:highlight w:val="yellow"/>
        </w:rPr>
        <w:t>специфични за програмата въпроси за оценка (СПВО), свързани с оценяването на:</w:t>
      </w:r>
    </w:p>
    <w:p w:rsidR="00143584" w:rsidRDefault="00D64125">
      <w:pPr>
        <w:pStyle w:val="Hlistline3"/>
        <w:numPr>
          <w:ilvl w:val="0"/>
          <w:numId w:val="33"/>
        </w:numPr>
        <w:rPr>
          <w:highlight w:val="yellow"/>
        </w:rPr>
      </w:pPr>
      <w:r>
        <w:rPr>
          <w:highlight w:val="yellow"/>
        </w:rPr>
        <w:t>специфични за програмата области с поставен акцент (броят на таблиците следва да се увеличи според броя на специфичните области с поставен акцент, включени в ПРСР);</w:t>
      </w:r>
    </w:p>
    <w:p w:rsidR="00143584" w:rsidRDefault="00D64125">
      <w:pPr>
        <w:pStyle w:val="Hlistline3"/>
        <w:numPr>
          <w:ilvl w:val="0"/>
          <w:numId w:val="33"/>
        </w:numPr>
        <w:spacing w:after="120"/>
        <w:rPr>
          <w:highlight w:val="yellow"/>
        </w:rPr>
      </w:pPr>
      <w:r>
        <w:rPr>
          <w:highlight w:val="yellow"/>
        </w:rPr>
        <w:t xml:space="preserve">специфични теми за ПРСР (например оценяване на механизма за изпълнение).   </w:t>
      </w:r>
    </w:p>
    <w:p w:rsidR="00143584" w:rsidRDefault="00D64125">
      <w:pPr>
        <w:pStyle w:val="HStandard"/>
        <w:rPr>
          <w:rFonts w:cs="Arial"/>
          <w:highlight w:val="yellow"/>
        </w:rPr>
      </w:pPr>
      <w:r>
        <w:rPr>
          <w:highlight w:val="yellow"/>
        </w:rPr>
        <w:t xml:space="preserve">Информацията, която се събира с помощта на таблиците в образеца от SFC за точка 7, обобщава основните аспекти, които са от значение за ЕС и за държавите членки. Въпреки това тази информация във връзка с оценката, която се предоставя чрез образеца от SFC за точка 7, не включва пълния доклад за оценка от държавите членки, който, за разлика от последния програмен период, вече не се представя на ЕК. </w:t>
      </w:r>
    </w:p>
    <w:p w:rsidR="00143584" w:rsidRDefault="00D64125">
      <w:pPr>
        <w:pStyle w:val="HStandard"/>
        <w:rPr>
          <w:rFonts w:cs="Arial"/>
          <w:highlight w:val="yellow"/>
        </w:rPr>
      </w:pPr>
      <w:r>
        <w:rPr>
          <w:highlight w:val="yellow"/>
        </w:rPr>
        <w:t xml:space="preserve">Образецът съдържа задължителните части, а именно:  </w:t>
      </w:r>
    </w:p>
    <w:p w:rsidR="00143584" w:rsidRDefault="00D64125">
      <w:pPr>
        <w:pStyle w:val="Hlistbullet"/>
        <w:ind w:left="426" w:hanging="426"/>
        <w:rPr>
          <w:rFonts w:cs="Arial"/>
          <w:highlight w:val="yellow"/>
        </w:rPr>
      </w:pPr>
      <w:r>
        <w:rPr>
          <w:b/>
          <w:highlight w:val="yellow"/>
        </w:rPr>
        <w:t xml:space="preserve">формулиране на въпроса за оценка </w:t>
      </w:r>
      <w:r>
        <w:rPr>
          <w:highlight w:val="yellow"/>
        </w:rPr>
        <w:t>(приложимо за всички типове въпроси за оценка),</w:t>
      </w:r>
    </w:p>
    <w:p w:rsidR="00143584" w:rsidRDefault="00D64125">
      <w:pPr>
        <w:pStyle w:val="Hlistbullet"/>
        <w:ind w:left="426" w:hanging="426"/>
        <w:rPr>
          <w:rFonts w:cs="Arial"/>
          <w:highlight w:val="yellow"/>
        </w:rPr>
      </w:pPr>
      <w:r>
        <w:rPr>
          <w:b/>
          <w:highlight w:val="yellow"/>
        </w:rPr>
        <w:t xml:space="preserve">обосновка, </w:t>
      </w:r>
      <w:r>
        <w:rPr>
          <w:highlight w:val="yellow"/>
        </w:rPr>
        <w:t>в която се обяснява защо специфичният за програмата въпрос за оценка е използван при оценяването на ПРСР</w:t>
      </w:r>
      <w:r>
        <w:rPr>
          <w:b/>
          <w:highlight w:val="yellow"/>
        </w:rPr>
        <w:t xml:space="preserve"> </w:t>
      </w:r>
      <w:r>
        <w:rPr>
          <w:highlight w:val="yellow"/>
        </w:rPr>
        <w:t>(приложимо за въпросите за оценка, посочени в буква в), подточки i) и ii),</w:t>
      </w:r>
    </w:p>
    <w:p w:rsidR="00143584" w:rsidRDefault="00D64125">
      <w:pPr>
        <w:pStyle w:val="Hlistbullet"/>
        <w:ind w:left="426" w:hanging="426"/>
        <w:rPr>
          <w:rFonts w:cs="Arial"/>
          <w:highlight w:val="yellow"/>
        </w:rPr>
      </w:pPr>
      <w:r>
        <w:rPr>
          <w:b/>
          <w:highlight w:val="yellow"/>
        </w:rPr>
        <w:t>списък с мерки, допринасящи за областта с поставен акцент (ОПА),</w:t>
      </w:r>
      <w:r>
        <w:rPr>
          <w:highlight w:val="yellow"/>
        </w:rPr>
        <w:t xml:space="preserve"> с която е свързан въпросът за оценка</w:t>
      </w:r>
      <w:r>
        <w:rPr>
          <w:b/>
          <w:highlight w:val="yellow"/>
        </w:rPr>
        <w:t>. Първоначално</w:t>
      </w:r>
      <w:r>
        <w:rPr>
          <w:highlight w:val="yellow"/>
        </w:rPr>
        <w:t xml:space="preserve"> програмираните мерки/подмерки и мерките/подмерките, програмирани по другите ОПА, но показващи вторичния принос към съответната ОПА </w:t>
      </w:r>
      <w:r>
        <w:rPr>
          <w:b/>
          <w:highlight w:val="yellow"/>
        </w:rPr>
        <w:t>(</w:t>
      </w:r>
      <w:r>
        <w:rPr>
          <w:highlight w:val="yellow"/>
        </w:rPr>
        <w:t>приложимо за въпросите за оценка, посочени в буква а) и буква в), подточка i),</w:t>
      </w:r>
    </w:p>
    <w:p w:rsidR="00143584" w:rsidRDefault="00D64125">
      <w:pPr>
        <w:pStyle w:val="Hlistbullet"/>
        <w:ind w:left="426" w:hanging="426"/>
        <w:rPr>
          <w:rFonts w:cs="Arial"/>
          <w:highlight w:val="yellow"/>
        </w:rPr>
      </w:pPr>
      <w:r>
        <w:rPr>
          <w:b/>
          <w:highlight w:val="yellow"/>
        </w:rPr>
        <w:t xml:space="preserve">връзки между критериите за преценка и показателите, използвани за отговор на въпроса за оценка </w:t>
      </w:r>
      <w:r>
        <w:rPr>
          <w:highlight w:val="yellow"/>
        </w:rPr>
        <w:t xml:space="preserve">(приложимо за въпросите за оценка, посочени в буква а), в който случай се посочват връзките между критериите за преценка и общите и допълнителните показатели, както и за въпросите за оценка, посочени в буква в), подточка i), където се посочват връзките между критериите за преценка и специфичните за програмата показатели),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143584">
        <w:trPr>
          <w:jc w:val="center"/>
        </w:trPr>
        <w:tc>
          <w:tcPr>
            <w:tcW w:w="7274" w:type="dxa"/>
          </w:tcPr>
          <w:p w:rsidR="00143584" w:rsidRDefault="00D64125">
            <w:pPr>
              <w:pStyle w:val="HBox"/>
              <w:pBdr>
                <w:bottom w:val="none" w:sz="0" w:space="0" w:color="auto"/>
              </w:pBdr>
              <w:shd w:val="clear" w:color="auto" w:fill="auto"/>
              <w:rPr>
                <w:highlight w:val="yellow"/>
              </w:rPr>
            </w:pPr>
            <w:r>
              <w:rPr>
                <w:highlight w:val="yellow"/>
              </w:rPr>
              <w:t>Показатели:</w:t>
            </w:r>
          </w:p>
          <w:p w:rsidR="00143584" w:rsidRDefault="00D64125">
            <w:pPr>
              <w:pStyle w:val="HBox"/>
              <w:pBdr>
                <w:bottom w:val="none" w:sz="0" w:space="0" w:color="auto"/>
              </w:pBdr>
              <w:shd w:val="clear" w:color="auto" w:fill="auto"/>
              <w:rPr>
                <w:highlight w:val="yellow"/>
              </w:rPr>
            </w:pPr>
            <w:r>
              <w:rPr>
                <w:highlight w:val="yellow"/>
              </w:rPr>
              <w:t>Общите показатели на ОСМО</w:t>
            </w:r>
            <w:r>
              <w:rPr>
                <w:rStyle w:val="FootnoteReference"/>
                <w:highlight w:val="yellow"/>
              </w:rPr>
              <w:footnoteReference w:id="14"/>
            </w:r>
            <w:r>
              <w:rPr>
                <w:highlight w:val="yellow"/>
              </w:rPr>
              <w:t xml:space="preserve">, които се използват за отговор на общите въпроси за оценка с номера 1—18, обхващат общите показатели за резултатите/целеви показатели и показателите за допълнителни резултати. Ако е уместно, за отговор на ОВО може да се използват и общите показатели за контекста.  </w:t>
            </w:r>
          </w:p>
          <w:p w:rsidR="00143584" w:rsidRDefault="00D64125">
            <w:pPr>
              <w:pStyle w:val="HBox"/>
              <w:pBdr>
                <w:bottom w:val="none" w:sz="0" w:space="0" w:color="auto"/>
              </w:pBdr>
              <w:shd w:val="clear" w:color="auto" w:fill="auto"/>
              <w:rPr>
                <w:highlight w:val="yellow"/>
              </w:rPr>
            </w:pPr>
            <w:r>
              <w:rPr>
                <w:highlight w:val="yellow"/>
              </w:rPr>
              <w:t xml:space="preserve">Допълнителни показатели (разработени от държавите членки) се използват, когато общите показатели не са достатъчни, за да се предоставят надеждни отговори на общите въпроси за оценка, уточнени с </w:t>
            </w:r>
            <w:r>
              <w:rPr>
                <w:highlight w:val="yellow"/>
              </w:rPr>
              <w:lastRenderedPageBreak/>
              <w:t>общо дефинираните критерии за преценка. Допълнителни показатели може да се разработят също така, ако държавите членки използват свои собствени критерии за преценка.</w:t>
            </w:r>
          </w:p>
          <w:p w:rsidR="00143584" w:rsidRDefault="00D64125">
            <w:pPr>
              <w:pStyle w:val="HBox"/>
              <w:pBdr>
                <w:bottom w:val="none" w:sz="0" w:space="0" w:color="auto"/>
              </w:pBdr>
              <w:shd w:val="clear" w:color="auto" w:fill="auto"/>
              <w:rPr>
                <w:highlight w:val="yellow"/>
              </w:rPr>
            </w:pPr>
            <w:r>
              <w:rPr>
                <w:highlight w:val="yellow"/>
              </w:rPr>
              <w:t xml:space="preserve">Специфични за програмата показатели (разработени от държавите членки) се използват за отговор на специфични за програмата въпроси за оценка, когато общите и допълнителните показали не може да се използват за тази цел. </w:t>
            </w:r>
          </w:p>
        </w:tc>
      </w:tr>
    </w:tbl>
    <w:p w:rsidR="00143584" w:rsidRDefault="00D64125">
      <w:pPr>
        <w:pStyle w:val="Hlistbullet"/>
        <w:ind w:left="426" w:hanging="426"/>
        <w:rPr>
          <w:rFonts w:cs="Arial"/>
          <w:highlight w:val="yellow"/>
        </w:rPr>
      </w:pPr>
      <w:r>
        <w:rPr>
          <w:b/>
          <w:highlight w:val="yellow"/>
        </w:rPr>
        <w:lastRenderedPageBreak/>
        <w:t xml:space="preserve">описание на количествените и качествените методи, </w:t>
      </w:r>
      <w:r>
        <w:rPr>
          <w:highlight w:val="yellow"/>
        </w:rPr>
        <w:t xml:space="preserve">които се прилагат за оценяване на показателите за резултатите, в това число обяснение на причината за използването на метода, описание на стъпките и отбелязване на предизвикателствата, свързани с използването на метода, както и решенията за преодоляването им (приложими за всички типове въпроси за оценка),  </w:t>
      </w:r>
    </w:p>
    <w:p w:rsidR="00143584" w:rsidRDefault="00D64125">
      <w:pPr>
        <w:pStyle w:val="Hlistbullet"/>
        <w:ind w:left="426" w:hanging="426"/>
        <w:rPr>
          <w:rFonts w:cs="Arial"/>
          <w:highlight w:val="yellow"/>
        </w:rPr>
      </w:pPr>
      <w:r>
        <w:rPr>
          <w:b/>
          <w:highlight w:val="yellow"/>
        </w:rPr>
        <w:t xml:space="preserve">количествени констатации </w:t>
      </w:r>
      <w:r>
        <w:rPr>
          <w:highlight w:val="yellow"/>
        </w:rPr>
        <w:t xml:space="preserve">за стойностите на всички показатели като резултат от количествения анализ, използван при отговора на въпросите за оценка, както и идентификация на източниците на данни (приложимо за въпросите за оценка, посочени в буква а), буква б), подточка i) и буква в), подточка i), </w:t>
      </w:r>
    </w:p>
    <w:p w:rsidR="00143584" w:rsidRDefault="00D64125">
      <w:pPr>
        <w:pStyle w:val="Hlistbullet"/>
        <w:ind w:left="426" w:hanging="426"/>
        <w:rPr>
          <w:rFonts w:cs="Arial"/>
          <w:highlight w:val="yellow"/>
        </w:rPr>
      </w:pPr>
      <w:r>
        <w:rPr>
          <w:b/>
          <w:highlight w:val="yellow"/>
        </w:rPr>
        <w:t xml:space="preserve">отговори на въпросите за оценка </w:t>
      </w:r>
      <w:r>
        <w:rPr>
          <w:highlight w:val="yellow"/>
        </w:rPr>
        <w:t>(приложимо за всички типове въпроси за оценка),</w:t>
      </w:r>
    </w:p>
    <w:p w:rsidR="00143584" w:rsidRDefault="00D64125">
      <w:pPr>
        <w:pStyle w:val="Hlistbullet"/>
        <w:ind w:left="426" w:hanging="426"/>
        <w:rPr>
          <w:rFonts w:cs="Arial"/>
          <w:highlight w:val="yellow"/>
        </w:rPr>
      </w:pPr>
      <w:r>
        <w:rPr>
          <w:b/>
          <w:highlight w:val="yellow"/>
        </w:rPr>
        <w:t>заключения, които</w:t>
      </w:r>
      <w:r>
        <w:rPr>
          <w:highlight w:val="yellow"/>
        </w:rPr>
        <w:t xml:space="preserve"> се базират на констатациите от оценката (приложимо за всички типове въпроси за оценка).</w:t>
      </w:r>
    </w:p>
    <w:p w:rsidR="00143584" w:rsidRDefault="00D64125">
      <w:pPr>
        <w:pStyle w:val="HStandard"/>
        <w:rPr>
          <w:rFonts w:cs="Arial"/>
          <w:highlight w:val="yellow"/>
        </w:rPr>
      </w:pPr>
      <w:r>
        <w:rPr>
          <w:highlight w:val="yellow"/>
        </w:rPr>
        <w:t>Образецът от SFC съдържа също така незадължителни части, а именно:</w:t>
      </w:r>
    </w:p>
    <w:p w:rsidR="00143584" w:rsidRDefault="00D64125">
      <w:pPr>
        <w:pStyle w:val="Hlistbullet"/>
        <w:ind w:left="426" w:hanging="426"/>
        <w:rPr>
          <w:rFonts w:cs="Arial"/>
          <w:highlight w:val="yellow"/>
        </w:rPr>
      </w:pPr>
      <w:r>
        <w:rPr>
          <w:b/>
          <w:highlight w:val="yellow"/>
        </w:rPr>
        <w:t xml:space="preserve">идентифицирани проблеми, които оказват влияние върху валидността и надеждността на констатациите от оценката, </w:t>
      </w:r>
      <w:r>
        <w:rPr>
          <w:highlight w:val="yellow"/>
        </w:rPr>
        <w:t>като се включва обяснение на проблемите, с които оценителите са се сблъскали в процеса на оценяване (приложимо за всички типове въпроси за оценка),</w:t>
      </w:r>
    </w:p>
    <w:p w:rsidR="00143584" w:rsidRDefault="00D64125">
      <w:pPr>
        <w:pStyle w:val="Hlistbullet"/>
        <w:ind w:left="426" w:hanging="426"/>
        <w:rPr>
          <w:rFonts w:cs="Arial"/>
          <w:highlight w:val="yellow"/>
        </w:rPr>
      </w:pPr>
      <w:r>
        <w:rPr>
          <w:b/>
          <w:highlight w:val="yellow"/>
        </w:rPr>
        <w:t>препоръки</w:t>
      </w:r>
      <w:r>
        <w:rPr>
          <w:highlight w:val="yellow"/>
        </w:rPr>
        <w:t xml:space="preserve">, когато са предложени от оценителя и са обвързани с конкретни заключения. </w:t>
      </w:r>
    </w:p>
    <w:p w:rsidR="00143584" w:rsidRDefault="00D64125">
      <w:pPr>
        <w:pStyle w:val="HStandard"/>
        <w:rPr>
          <w:rFonts w:cs="Arial"/>
          <w:i/>
          <w:highlight w:val="yellow"/>
        </w:rPr>
      </w:pPr>
      <w:r>
        <w:rPr>
          <w:i/>
          <w:highlight w:val="yellow"/>
        </w:rPr>
        <w:t>В приложение 1 към част III от насоките е даден пример за непопълнен и попълнен образец от SFC за ОВО 4 и специфични за програмата въпроси за оценка, свързани със специфичната за програмата област с поставен акцент.</w:t>
      </w:r>
    </w:p>
    <w:p w:rsidR="00143584" w:rsidRDefault="00D64125">
      <w:pPr>
        <w:pStyle w:val="HHeading2"/>
        <w:rPr>
          <w:highlight w:val="yellow"/>
        </w:rPr>
      </w:pPr>
      <w:bookmarkStart w:id="10" w:name="_Toc460936095"/>
      <w:bookmarkStart w:id="11" w:name="_Toc474938219"/>
      <w:r>
        <w:rPr>
          <w:highlight w:val="yellow"/>
        </w:rPr>
        <w:t>Данни, използвани в оценката през 2017 г.</w:t>
      </w:r>
      <w:bookmarkEnd w:id="10"/>
      <w:bookmarkEnd w:id="11"/>
    </w:p>
    <w:p w:rsidR="00143584" w:rsidRDefault="00D64125">
      <w:pPr>
        <w:pStyle w:val="HStandard"/>
        <w:rPr>
          <w:highlight w:val="yellow"/>
        </w:rPr>
      </w:pPr>
      <w:r>
        <w:rPr>
          <w:highlight w:val="yellow"/>
        </w:rPr>
        <w:t>Оценката, която трябва да се докладва през 2017 г., ще се базира на разнообразна информация, в това число:</w:t>
      </w:r>
    </w:p>
    <w:p w:rsidR="00143584" w:rsidRDefault="00D64125">
      <w:pPr>
        <w:pStyle w:val="Hlistbullet"/>
        <w:rPr>
          <w:highlight w:val="yellow"/>
        </w:rPr>
      </w:pPr>
      <w:r>
        <w:rPr>
          <w:highlight w:val="yellow"/>
        </w:rPr>
        <w:t>данни от мониторинга на бенефициерите,</w:t>
      </w:r>
    </w:p>
    <w:p w:rsidR="00143584" w:rsidRDefault="00D64125">
      <w:pPr>
        <w:pStyle w:val="Hlistbullet"/>
        <w:rPr>
          <w:highlight w:val="yellow"/>
        </w:rPr>
      </w:pPr>
      <w:r>
        <w:rPr>
          <w:highlight w:val="yellow"/>
        </w:rPr>
        <w:t>допълнителни данни, събрани от оценителите въз основа на извадка от бенефициери,</w:t>
      </w:r>
    </w:p>
    <w:p w:rsidR="00143584" w:rsidRDefault="00D64125">
      <w:pPr>
        <w:pStyle w:val="Hlistbullet"/>
        <w:rPr>
          <w:highlight w:val="yellow"/>
        </w:rPr>
      </w:pPr>
      <w:r>
        <w:rPr>
          <w:highlight w:val="yellow"/>
        </w:rPr>
        <w:t xml:space="preserve">данни за субекти, които не са бенефициери, получени от национална/регионална статистика, системата за земеделска счетоводна информация (СЗСИ), годишни отчети и т.н., </w:t>
      </w:r>
    </w:p>
    <w:p w:rsidR="00143584" w:rsidRDefault="00D64125">
      <w:pPr>
        <w:pStyle w:val="Hlistbullet"/>
        <w:rPr>
          <w:highlight w:val="yellow"/>
        </w:rPr>
      </w:pPr>
      <w:r>
        <w:rPr>
          <w:highlight w:val="yellow"/>
        </w:rPr>
        <w:t xml:space="preserve">качествено определена информация, допълваща недостатъчните количествено определени данни, </w:t>
      </w:r>
    </w:p>
    <w:p w:rsidR="00143584" w:rsidRDefault="00D64125">
      <w:pPr>
        <w:pStyle w:val="Hlistbullet2"/>
        <w:rPr>
          <w:highlight w:val="yellow"/>
        </w:rPr>
      </w:pPr>
      <w:r>
        <w:rPr>
          <w:highlight w:val="yellow"/>
        </w:rPr>
        <w:t>например в отговор на въпроси за оценка по отношение на техническата помощ, НМСР, механизмите за изпълнение и т.н., или</w:t>
      </w:r>
    </w:p>
    <w:p w:rsidR="00143584" w:rsidRDefault="00D64125">
      <w:pPr>
        <w:pStyle w:val="Hlistbullet2"/>
        <w:rPr>
          <w:highlight w:val="yellow"/>
        </w:rPr>
      </w:pPr>
      <w:r>
        <w:rPr>
          <w:highlight w:val="yellow"/>
        </w:rPr>
        <w:t>в отговор на въпроси за оценка в случай на ниска степен на усвояване или липса на такова.</w:t>
      </w:r>
    </w:p>
    <w:p w:rsidR="00143584" w:rsidRDefault="00D64125">
      <w:pPr>
        <w:pStyle w:val="HStandard"/>
        <w:rPr>
          <w:highlight w:val="yellow"/>
        </w:rPr>
      </w:pPr>
      <w:r>
        <w:rPr>
          <w:highlight w:val="yellow"/>
        </w:rPr>
        <w:lastRenderedPageBreak/>
        <w:t xml:space="preserve">За </w:t>
      </w:r>
      <w:r>
        <w:rPr>
          <w:b/>
          <w:highlight w:val="yellow"/>
        </w:rPr>
        <w:t>избора на извадкови съвкупности от бенефициери с цел оценяване на вторичния принос</w:t>
      </w:r>
      <w:r>
        <w:rPr>
          <w:highlight w:val="yellow"/>
        </w:rPr>
        <w:t xml:space="preserve"> на операциите към други области с поставен акцент следва да се използват данни от системите за мониторинг (заявления преди започването на проекта и искания за плащане след приключването на проекта). Решението за извадките</w:t>
      </w:r>
      <w:r>
        <w:rPr>
          <w:rStyle w:val="FootnoteReference"/>
          <w:highlight w:val="yellow"/>
        </w:rPr>
        <w:footnoteReference w:id="15"/>
      </w:r>
      <w:r>
        <w:rPr>
          <w:highlight w:val="yellow"/>
        </w:rPr>
        <w:t xml:space="preserve"> (избор на случайна, систематична, стратифицирана извадка, големина на извадките и т.н.) зависи от вторичния принос, за който се търси оценка (значителен, ограничен и т.н.), и трябва да се взема от оценителите. </w:t>
      </w:r>
    </w:p>
    <w:p w:rsidR="00143584" w:rsidRDefault="00D64125">
      <w:pPr>
        <w:pStyle w:val="HHeading2"/>
        <w:rPr>
          <w:highlight w:val="yellow"/>
        </w:rPr>
      </w:pPr>
      <w:bookmarkStart w:id="12" w:name="_Toc460936096"/>
      <w:bookmarkStart w:id="13" w:name="_Toc474938220"/>
      <w:r>
        <w:rPr>
          <w:highlight w:val="yellow"/>
        </w:rPr>
        <w:t>Докладване в случаи на ниска степен на усвояване и малки програми</w:t>
      </w:r>
      <w:bookmarkEnd w:id="12"/>
      <w:bookmarkEnd w:id="13"/>
    </w:p>
    <w:p w:rsidR="00143584" w:rsidRDefault="00D64125">
      <w:pPr>
        <w:pStyle w:val="HStandard"/>
        <w:rPr>
          <w:highlight w:val="yellow"/>
        </w:rPr>
      </w:pPr>
      <w:r>
        <w:rPr>
          <w:highlight w:val="yellow"/>
        </w:rPr>
        <w:t xml:space="preserve">За всички мерки и области с поставен акцент в рамките на ПРСР, при които е налице достатъчно усвояване, трябва да бъдат изчислявани подходящи общи и специфични за програмата показатели за резултати. </w:t>
      </w:r>
    </w:p>
    <w:p w:rsidR="00143584" w:rsidRDefault="00D64125">
      <w:pPr>
        <w:pStyle w:val="HStandard"/>
        <w:rPr>
          <w:highlight w:val="yellow"/>
        </w:rPr>
      </w:pPr>
      <w:r>
        <w:rPr>
          <w:highlight w:val="yellow"/>
        </w:rPr>
        <w:t xml:space="preserve">Ако обаче одобряването на програмата или нейното започване бъде сериозно забавено, ще има малко или изобщо няма да има данни от мониторинга на приключени операции, с помощта на които да се оценят показателите за резултатите. В случай на </w:t>
      </w:r>
      <w:r>
        <w:rPr>
          <w:b/>
          <w:highlight w:val="yellow"/>
        </w:rPr>
        <w:t>ниска степен на усвояване</w:t>
      </w:r>
      <w:r>
        <w:rPr>
          <w:highlight w:val="yellow"/>
        </w:rPr>
        <w:t xml:space="preserve"> трябва да се вземе предвид всяка налична информация за потенциалните бенефициери (например да се оцени цялата налична съвкупност от бенефициери: заявления, съществуващи/текущи договори) и да се обясни причината, поради която не е било възможно показателите за резултатите да бъдат изчислени според изискването. </w:t>
      </w:r>
    </w:p>
    <w:p w:rsidR="00143584" w:rsidRDefault="00D64125">
      <w:pPr>
        <w:pStyle w:val="HStandard"/>
        <w:rPr>
          <w:rFonts w:cs="Arial"/>
          <w:highlight w:val="yellow"/>
        </w:rPr>
      </w:pPr>
      <w:r>
        <w:rPr>
          <w:highlight w:val="yellow"/>
        </w:rPr>
        <w:t>В случай на</w:t>
      </w:r>
      <w:r>
        <w:rPr>
          <w:b/>
          <w:highlight w:val="yellow"/>
        </w:rPr>
        <w:t xml:space="preserve"> липса на усвояване </w:t>
      </w:r>
      <w:r>
        <w:rPr>
          <w:highlight w:val="yellow"/>
        </w:rPr>
        <w:t>по дадена ОПА към края на 2016 г., очевидно няма нужда въпросната област с поставен акцент да бъде оценявана, свързаните показатели не подлежат на изчисляване и не е нужно да се отговаря на съответните ОВО. При желание обаче, когато няма приключени операции, може да се използват методи, базирани на теорията на промяната, или качествени оценки, за да се получат данни за потенциалните постижения на ПРСР.</w:t>
      </w:r>
    </w:p>
    <w:p w:rsidR="00143584" w:rsidRDefault="00D64125">
      <w:pPr>
        <w:pStyle w:val="HStandard"/>
        <w:rPr>
          <w:highlight w:val="yellow"/>
        </w:rPr>
      </w:pPr>
      <w:r>
        <w:rPr>
          <w:highlight w:val="yellow"/>
        </w:rPr>
        <w:t>Според правните актове също се изисква в ГДИ да се докладва за оценките, извършени в програмната област през предходните години. Това включва всички проучвания, които са от значение за дадена област на ПРСР. Например може да има проучвания, провеждани от научноизследователски институти или университети, в области като изменението на климата, биологичното разнообразие, местното развитие или стопанското развитие, които предоставят полезна информация за бенефициерите и териториите по ПРСР. Констатациите от тези проучвания трябва да бъдат обобщени в ГДИ. Те може да се използват също така за целите на оценката в случай на ниска степен на усвояване/липса на усвояване.</w:t>
      </w:r>
    </w:p>
    <w:p w:rsidR="00143584" w:rsidRDefault="00D64125">
      <w:pPr>
        <w:pStyle w:val="HStandard"/>
        <w:rPr>
          <w:highlight w:val="yellow"/>
        </w:rPr>
      </w:pPr>
      <w:r>
        <w:rPr>
          <w:b/>
          <w:highlight w:val="yellow"/>
        </w:rPr>
        <w:t>При малки програми</w:t>
      </w:r>
      <w:r>
        <w:rPr>
          <w:highlight w:val="yellow"/>
        </w:rPr>
        <w:t xml:space="preserve"> с малка съвкупност от бенефициери (обикновено в ПРСР на държави членки с множество региони) поради липсата на данни може да е трудно да се изразят количествено показателите за резултати и да се отговори на съответните въпроси за оценка с помощта на количествени методи. Изискванията на ОСМО обаче са минимални и трябва да се прилагат също така при оценката на малки програми. В такъв случай, когато се изчисляват показателите и се отговаря на ВО, трябва да се вземе предвид цялата съвкупност от бенефициери. С оглед на изпълнението на тези изисквания може да се направи и качествено определено изследване, за да се отговори на ВО. Освен това във всички случаи оценката на ПРСР трябва да се съсредоточи върху оценяването на степента, в която са постигнати целите на ПРСР и съответните етапни цели.</w:t>
      </w:r>
    </w:p>
    <w:p w:rsidR="00143584" w:rsidRDefault="00D64125">
      <w:pPr>
        <w:pStyle w:val="HHeading5"/>
        <w:rPr>
          <w:rFonts w:cs="Arial"/>
          <w:highlight w:val="yellow"/>
        </w:rPr>
      </w:pPr>
      <w:r>
        <w:rPr>
          <w:highlight w:val="yellow"/>
        </w:rPr>
        <w:t>Допълнителни материали</w:t>
      </w:r>
    </w:p>
    <w:p w:rsidR="00143584" w:rsidRDefault="00D64125">
      <w:pPr>
        <w:pStyle w:val="HBox"/>
        <w:rPr>
          <w:rFonts w:cs="Arial"/>
          <w:color w:val="546393" w:themeColor="accent3"/>
          <w:highlight w:val="yellow"/>
        </w:rPr>
      </w:pPr>
      <w:r>
        <w:rPr>
          <w:highlight w:val="yellow"/>
        </w:rPr>
        <w:lastRenderedPageBreak/>
        <w:t xml:space="preserve">Насоки: Изготвяне и изпълнение на плана за оценка на ПРСР за периода 2014—2020 г., Бюро за оценка за периода 2014—2020 г., част I, глава 3.4 и част II, глава 6.4, Брюксел, 2015 г., </w:t>
      </w:r>
      <w:r>
        <w:rPr>
          <w:rStyle w:val="Hyperlink"/>
          <w:highlight w:val="yellow"/>
        </w:rPr>
        <w:t>http://enrd.ec.europa.eu/en/evaluation-helpdesks-publications.</w:t>
      </w:r>
    </w:p>
    <w:p w:rsidR="00143584" w:rsidRDefault="00D64125">
      <w:pPr>
        <w:pStyle w:val="HBox"/>
        <w:rPr>
          <w:rFonts w:cs="Arial"/>
          <w:highlight w:val="yellow"/>
        </w:rPr>
      </w:pPr>
      <w:r>
        <w:rPr>
          <w:highlight w:val="yellow"/>
        </w:rPr>
        <w:t>Успешна реализация на вашата ПРСР: Насоки за последваща оценка на ПРСР за периода 2007—2013 г., част II, глави 1, 4 и 5 и част III, приложения 5 и 6, Бюро за оценка за периода 2007—2013 г., Брюксел, 2015 г.,</w:t>
      </w:r>
    </w:p>
    <w:p w:rsidR="00143584" w:rsidRDefault="00D64125">
      <w:pPr>
        <w:pStyle w:val="HBox"/>
        <w:rPr>
          <w:rStyle w:val="Hyperlink"/>
          <w:highlight w:val="yellow"/>
        </w:rPr>
      </w:pPr>
      <w:r>
        <w:rPr>
          <w:rStyle w:val="Hyperlink"/>
          <w:highlight w:val="yellow"/>
        </w:rPr>
        <w:t>http://enrd.ec.europa.eu/enrd-static/evaluation/library/evaluation-helpdesk-publications/en/evaluation-helpdesk-publications_en.html.</w:t>
      </w:r>
    </w:p>
    <w:p w:rsidR="00143584" w:rsidRDefault="00D64125">
      <w:pPr>
        <w:pStyle w:val="HHeading2"/>
        <w:numPr>
          <w:ilvl w:val="0"/>
          <w:numId w:val="0"/>
        </w:numPr>
        <w:ind w:left="510" w:hanging="510"/>
        <w:rPr>
          <w:rFonts w:cs="Arial"/>
          <w:highlight w:val="yellow"/>
        </w:rPr>
      </w:pPr>
      <w:bookmarkStart w:id="14" w:name="_Toc474938221"/>
      <w:bookmarkStart w:id="15" w:name="_Toc460936097"/>
      <w:r>
        <w:rPr>
          <w:highlight w:val="yellow"/>
        </w:rPr>
        <w:t>1.4 Докладване във връзка с оценката на специфичните за ПРСР елементи</w:t>
      </w:r>
      <w:bookmarkEnd w:id="14"/>
      <w:r>
        <w:rPr>
          <w:highlight w:val="yellow"/>
        </w:rPr>
        <w:t xml:space="preserve"> </w:t>
      </w:r>
      <w:bookmarkEnd w:id="15"/>
    </w:p>
    <w:p w:rsidR="00143584" w:rsidRDefault="00D64125">
      <w:pPr>
        <w:pStyle w:val="HHeading5"/>
        <w:rPr>
          <w:rFonts w:cs="Arial"/>
          <w:highlight w:val="yellow"/>
        </w:rPr>
      </w:pPr>
      <w:r>
        <w:rPr>
          <w:highlight w:val="yellow"/>
        </w:rPr>
        <w:t>Гъвкавост при програмирането и нейното отражение върху оценката</w:t>
      </w:r>
    </w:p>
    <w:p w:rsidR="00143584" w:rsidRDefault="00D64125">
      <w:pPr>
        <w:pStyle w:val="HStandard"/>
        <w:rPr>
          <w:rFonts w:cs="Arial"/>
          <w:highlight w:val="yellow"/>
        </w:rPr>
      </w:pPr>
      <w:r>
        <w:rPr>
          <w:highlight w:val="yellow"/>
        </w:rPr>
        <w:t>Гъвкавостта при програмирането е една от новите характеристики през програмния период 2014—2020 г. С гъвкавостта се цели да се засили стратегическият подход и да се увеличат ефективността, ефикасността и резултатите на политиката за развитие на селските райони. От практическа гледна точка държавите членки разполагат с гъвкавост за създаване на специфичната интервенционна логика на ПРСР, включваща общи и специфични за програмата цели, както и да адаптират комбинацията от мерки. Мерките вече не се отнасят към конкретни „оси“, както в миналото, а може гъвкаво да се програмират и съчетават в рамките на приоритетите/областите с поставен акцент на ниво ЕС и специфичните за програмата цели. Основната причина за това е, че на държавите членки следва да се даде възможност да смесват и съчетават мерки в рамките на областите с поставен акцент по начин, който в по-голяма степен отразява специфичните им нужди за развитието на селските райони.</w:t>
      </w:r>
    </w:p>
    <w:p w:rsidR="00143584" w:rsidRDefault="00D64125">
      <w:pPr>
        <w:pStyle w:val="HStandard"/>
        <w:rPr>
          <w:rFonts w:cs="Arial"/>
          <w:highlight w:val="yellow"/>
        </w:rPr>
      </w:pPr>
      <w:r>
        <w:rPr>
          <w:highlight w:val="yellow"/>
        </w:rPr>
        <w:t xml:space="preserve">Гъвкавостта при програмирането намира отражение в гъвкавостта на системата за мониторинг и оценка. В тази връзка в ОСМО се предвижда минимален набор от общи елементи на оценката (например общи въпроси за оценка, общи показатели, минимални изисквания към плана за оценка и т.н.), като на заинтересованите страни в държавите членки се осигурява гъвкавост при разработването на специфични за програмата елементи на оценката, свързани с конкретната ПРСР (например специфични за програмата въпроси за оценка и показатели, вътрешни документи за планиране на оценката и т.н.). </w:t>
      </w:r>
    </w:p>
    <w:p w:rsidR="00143584" w:rsidRDefault="00D64125">
      <w:pPr>
        <w:pStyle w:val="HStandard"/>
        <w:rPr>
          <w:rFonts w:cs="Arial"/>
          <w:highlight w:val="yellow"/>
        </w:rPr>
      </w:pPr>
      <w:r>
        <w:rPr>
          <w:highlight w:val="yellow"/>
        </w:rPr>
        <w:t>На фигурата по-долу са илюстрирани връзките между целите и общите и специфичните за програмата елементи на оценката, свързани с интервенционната логика на програмата.</w:t>
      </w:r>
    </w:p>
    <w:p w:rsidR="00143584" w:rsidRDefault="00D64125">
      <w:pPr>
        <w:spacing w:before="0" w:after="0" w:line="240" w:lineRule="auto"/>
        <w:jc w:val="left"/>
        <w:rPr>
          <w:rFonts w:cs="Arial"/>
          <w:b/>
          <w:color w:val="373737" w:themeColor="background1" w:themeShade="40"/>
          <w:sz w:val="16"/>
          <w:szCs w:val="20"/>
          <w:highlight w:val="yellow"/>
        </w:rPr>
      </w:pPr>
      <w:bookmarkStart w:id="16" w:name="_Toc460936148"/>
      <w:r>
        <w:br w:type="page"/>
      </w:r>
    </w:p>
    <w:p w:rsidR="00143584" w:rsidRDefault="00D64125">
      <w:pPr>
        <w:pStyle w:val="HHeadingfigures"/>
        <w:rPr>
          <w:highlight w:val="yellow"/>
        </w:rPr>
      </w:pPr>
      <w:bookmarkStart w:id="17" w:name="_Toc474937847"/>
      <w:r>
        <w:rPr>
          <w:highlight w:val="yellow"/>
        </w:rPr>
        <w:lastRenderedPageBreak/>
        <w:t>Обща и специфична за програмата система за мониторинг и оценка</w:t>
      </w:r>
      <w:bookmarkEnd w:id="16"/>
      <w:bookmarkEnd w:id="17"/>
    </w:p>
    <w:p w:rsidR="00143584" w:rsidRDefault="00D64125">
      <w:pPr>
        <w:pStyle w:val="HStandard"/>
        <w:jc w:val="center"/>
        <w:rPr>
          <w:rFonts w:cs="Arial"/>
          <w:highlight w:val="yellow"/>
        </w:rPr>
      </w:pPr>
      <w:r>
        <w:rPr>
          <w:noProof/>
          <w:highlight w:val="yellow"/>
          <w:lang w:val="en-GB" w:eastAsia="en-GB" w:bidi="ar-SA"/>
        </w:rPr>
        <w:drawing>
          <wp:inline distT="0" distB="0" distL="0" distR="0">
            <wp:extent cx="4743238" cy="2428875"/>
            <wp:effectExtent l="0" t="0" r="635"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0692" cy="2432692"/>
                    </a:xfrm>
                    <a:prstGeom prst="rect">
                      <a:avLst/>
                    </a:prstGeom>
                    <a:noFill/>
                    <a:ln>
                      <a:noFill/>
                    </a:ln>
                  </pic:spPr>
                </pic:pic>
              </a:graphicData>
            </a:graphic>
          </wp:inline>
        </w:drawing>
      </w:r>
    </w:p>
    <w:p w:rsidR="00143584" w:rsidRDefault="00D64125">
      <w:pPr>
        <w:pStyle w:val="HSource"/>
        <w:rPr>
          <w:rFonts w:cs="Arial"/>
          <w:highlight w:val="yellow"/>
        </w:rPr>
      </w:pPr>
      <w:r>
        <w:rPr>
          <w:highlight w:val="yellow"/>
        </w:rPr>
        <w:t>Източник: Европейско бюро за оценка в областта на развитието на селските райони, 2015 г.</w:t>
      </w:r>
    </w:p>
    <w:p w:rsidR="00143584" w:rsidRDefault="00D64125">
      <w:pPr>
        <w:pStyle w:val="HStandard"/>
        <w:rPr>
          <w:rFonts w:cs="Arial"/>
          <w:highlight w:val="yellow"/>
        </w:rPr>
      </w:pPr>
      <w:r>
        <w:rPr>
          <w:highlight w:val="yellow"/>
        </w:rPr>
        <w:t>Може да се наложи УО да разработят специфични за програмата елементи на оценката, за да се оценят аспекти, които представляват особен интерес за тях. Тези аспекти може да включват оценяването на специфични за програмата области с поставен акцент, НМСР, механизми за изпълнение на ПРСР, задачи, които се подпомагат чрез техническа помощ, като администриране и управление, комуникация и т.н. За конкретните теми на оценката също се налага разработването на специфични за програмата ВО, критерии за преценка и показатели с оглед на събирането на данни за отговорите на ВО.</w:t>
      </w:r>
    </w:p>
    <w:p w:rsidR="00143584" w:rsidRDefault="00D64125">
      <w:pPr>
        <w:pStyle w:val="HBox"/>
        <w:rPr>
          <w:highlight w:val="yellow"/>
        </w:rPr>
      </w:pPr>
      <w:r>
        <w:rPr>
          <w:highlight w:val="yellow"/>
        </w:rPr>
        <w:t>Специфичните за програмата показатели не бива да се бъркат с допълнителните показатели, които се разработват в държавите членки в допълнение към общите показатели, използвани за отговор на общите въпроси за оценка, свързани с областите с поставен акцент. Допълнителни показатели може да се разработят и ако програмните органи формулират техни собствени критерии за преценка с оглед на уточняването на общите въпроси за оценка.</w:t>
      </w:r>
    </w:p>
    <w:p w:rsidR="00143584" w:rsidRDefault="00D64125">
      <w:pPr>
        <w:pStyle w:val="HStandard"/>
        <w:rPr>
          <w:rFonts w:cs="Arial"/>
          <w:highlight w:val="yellow"/>
        </w:rPr>
      </w:pPr>
      <w:r>
        <w:rPr>
          <w:highlight w:val="yellow"/>
        </w:rPr>
        <w:t xml:space="preserve">По-добре е специфичните за програмата елементи на оценката да се определят още на етапа на разработването на програмата и да бъдат включени в плана за оценка. Друга възможност е специфичните за програмата елементи да бъдат разработени на по-късен етап, например преди или в началото на изпълнението на програмата, за да се гарантира наличието на подходящи данни на ранен етап. Допълнителни специфични за програмата елементи може да се разработват и когато се извършва реалното оценяване, в случай че оценителите все още откриват пропуски. </w:t>
      </w:r>
    </w:p>
    <w:p w:rsidR="00143584" w:rsidRDefault="00D64125">
      <w:pPr>
        <w:pStyle w:val="HStandard"/>
        <w:rPr>
          <w:rFonts w:cs="Arial"/>
          <w:highlight w:val="yellow"/>
        </w:rPr>
      </w:pPr>
      <w:r>
        <w:rPr>
          <w:highlight w:val="yellow"/>
        </w:rPr>
        <w:t>Когато се разработват и докладват специфични за програмата елементи на мониторинга и оценката, трябва да се спазва принципът на пропорционалността. Това предполага балансиране на ползите от докладваната допълнителна информация спрямо ресурсите, които са необходими за осигуряването ѝ.</w:t>
      </w:r>
    </w:p>
    <w:p w:rsidR="00143584" w:rsidRDefault="00D64125">
      <w:pPr>
        <w:pStyle w:val="HStandard"/>
        <w:rPr>
          <w:rFonts w:cs="Arial"/>
          <w:highlight w:val="yellow"/>
        </w:rPr>
      </w:pPr>
      <w:r>
        <w:rPr>
          <w:highlight w:val="yellow"/>
        </w:rPr>
        <w:t>В част II, глава 5 са дадени подробни насоки за разработването на специфични за програмата въпроси за оценка и показатели.</w:t>
      </w:r>
    </w:p>
    <w:p w:rsidR="00143584" w:rsidRDefault="00D64125">
      <w:pPr>
        <w:pStyle w:val="HHeading5"/>
        <w:rPr>
          <w:rFonts w:cs="Arial"/>
          <w:highlight w:val="yellow"/>
        </w:rPr>
      </w:pPr>
      <w:r>
        <w:rPr>
          <w:highlight w:val="yellow"/>
        </w:rPr>
        <w:t xml:space="preserve">Докладване във връзка със специфичните за програмата елементи </w:t>
      </w:r>
    </w:p>
    <w:p w:rsidR="00143584" w:rsidRDefault="00D64125">
      <w:pPr>
        <w:pStyle w:val="HStandard"/>
        <w:rPr>
          <w:rFonts w:cs="Arial"/>
          <w:highlight w:val="yellow"/>
        </w:rPr>
      </w:pPr>
      <w:r>
        <w:rPr>
          <w:highlight w:val="yellow"/>
        </w:rPr>
        <w:t xml:space="preserve">При докладването във връзка с оценката е необходимо да се използват както общи и специфични за програмата въпроси за оценка, така и общи, допълнителни и специфични за </w:t>
      </w:r>
      <w:r>
        <w:rPr>
          <w:highlight w:val="yellow"/>
        </w:rPr>
        <w:lastRenderedPageBreak/>
        <w:t>програмата показатели</w:t>
      </w:r>
      <w:r>
        <w:rPr>
          <w:rStyle w:val="FootnoteReference"/>
          <w:highlight w:val="yellow"/>
        </w:rPr>
        <w:footnoteReference w:id="16"/>
      </w:r>
      <w:r>
        <w:rPr>
          <w:highlight w:val="yellow"/>
        </w:rPr>
        <w:t>. Стандартните ГДИ представляват основното средство на УО за докладване относно постиженията на ПРСР, като се позовават на финансови данни и количествено изразени стойности на показателите, включително на целевите показатели. В ГДИ за 2017 г. постиженията на ПРСР трябва да бъдат количествено изразени чрез оценяване на общи, допълнителни и специфични за програмата показатели за резултатите</w:t>
      </w:r>
      <w:r>
        <w:rPr>
          <w:rStyle w:val="FootnoteReference"/>
          <w:highlight w:val="yellow"/>
        </w:rPr>
        <w:footnoteReference w:id="17"/>
      </w:r>
      <w:r>
        <w:rPr>
          <w:highlight w:val="yellow"/>
        </w:rPr>
        <w:t>. Събраните чрез показателите за резултатите данни помагат да се отговори на общи и свързани с програмата въпроси по отношение на областите с поставен акцент.</w:t>
      </w:r>
    </w:p>
    <w:p w:rsidR="00143584" w:rsidRDefault="00D64125">
      <w:pPr>
        <w:pStyle w:val="HHeading1"/>
        <w:rPr>
          <w:rFonts w:cs="Arial"/>
          <w:highlight w:val="yellow"/>
        </w:rPr>
      </w:pPr>
      <w:bookmarkStart w:id="18" w:name="_Toc460936098"/>
      <w:bookmarkStart w:id="19" w:name="_Toc474938222"/>
      <w:r>
        <w:rPr>
          <w:highlight w:val="yellow"/>
        </w:rPr>
        <w:lastRenderedPageBreak/>
        <w:t>Връзки с други изисквания на ЕС за докладване и изисквания за докладване след 2017 г.</w:t>
      </w:r>
      <w:bookmarkEnd w:id="18"/>
      <w:bookmarkEnd w:id="19"/>
    </w:p>
    <w:p w:rsidR="00143584" w:rsidRDefault="00D64125">
      <w:pPr>
        <w:pStyle w:val="HHeading2"/>
        <w:rPr>
          <w:rFonts w:cs="Arial"/>
          <w:highlight w:val="yellow"/>
        </w:rPr>
      </w:pPr>
      <w:bookmarkStart w:id="20" w:name="_Toc460936099"/>
      <w:bookmarkStart w:id="21" w:name="_Toc474938223"/>
      <w:r>
        <w:rPr>
          <w:highlight w:val="yellow"/>
        </w:rPr>
        <w:t>Връзки и полезни взаимодействия между ГДИ за 2017 г. и други изисквания на ЕС за докладване</w:t>
      </w:r>
      <w:bookmarkEnd w:id="20"/>
      <w:bookmarkEnd w:id="21"/>
    </w:p>
    <w:p w:rsidR="00143584" w:rsidRDefault="00D64125">
      <w:pPr>
        <w:pStyle w:val="HStandard"/>
        <w:rPr>
          <w:rFonts w:cs="Arial"/>
          <w:highlight w:val="yellow"/>
        </w:rPr>
      </w:pPr>
      <w:r>
        <w:rPr>
          <w:highlight w:val="yellow"/>
        </w:rPr>
        <w:t xml:space="preserve">ГДИ за 2017 г. се характеризира с множество връзки с други доклади на ниво държава членка и ЕС, които трябва да се представят през 2017 г. и 2018 г. Тези доклади, взети заедно, предоставят информация за изпълнението и напредъка на програмите, които са финансирани от европейските структурни и инвестиционни фондове и ОСП (вж. </w:t>
      </w:r>
      <w:r>
        <w:rPr>
          <w:rFonts w:cs="Arial"/>
          <w:highlight w:val="yellow"/>
        </w:rPr>
        <w:fldChar w:fldCharType="begin"/>
      </w:r>
      <w:r>
        <w:rPr>
          <w:rFonts w:cs="Arial"/>
          <w:highlight w:val="yellow"/>
        </w:rPr>
        <w:instrText xml:space="preserve"> REF _Ref433791318 \r \h  \* MERGEFORMAT </w:instrText>
      </w:r>
      <w:r>
        <w:rPr>
          <w:rFonts w:cs="Arial"/>
          <w:highlight w:val="yellow"/>
        </w:rPr>
      </w:r>
      <w:r>
        <w:rPr>
          <w:rFonts w:cs="Arial"/>
          <w:highlight w:val="yellow"/>
        </w:rPr>
        <w:fldChar w:fldCharType="separate"/>
      </w:r>
      <w:r>
        <w:rPr>
          <w:rFonts w:cs="Arial"/>
          <w:highlight w:val="yellow"/>
        </w:rPr>
        <w:t>Figure 3</w:t>
      </w:r>
      <w:r>
        <w:rPr>
          <w:rFonts w:cs="Arial"/>
          <w:highlight w:val="yellow"/>
        </w:rPr>
        <w:fldChar w:fldCharType="end"/>
      </w:r>
      <w:r>
        <w:rPr>
          <w:highlight w:val="yellow"/>
        </w:rPr>
        <w:t>).</w:t>
      </w:r>
    </w:p>
    <w:p w:rsidR="00143584" w:rsidRDefault="00D64125">
      <w:pPr>
        <w:pStyle w:val="HHeadingfigures"/>
        <w:rPr>
          <w:highlight w:val="yellow"/>
        </w:rPr>
      </w:pPr>
      <w:bookmarkStart w:id="22" w:name="_Ref433791318"/>
      <w:bookmarkStart w:id="23" w:name="_Toc460936149"/>
      <w:bookmarkStart w:id="24" w:name="_Toc474937848"/>
      <w:r>
        <w:rPr>
          <w:highlight w:val="yellow"/>
        </w:rPr>
        <w:t>Връзки между ГДИ за 2017 г. и други изисквания на ЕС за докладване през 2017 г.</w:t>
      </w:r>
      <w:bookmarkEnd w:id="22"/>
      <w:r>
        <w:rPr>
          <w:highlight w:val="yellow"/>
        </w:rPr>
        <w:t xml:space="preserve"> и 2018 г.</w:t>
      </w:r>
      <w:bookmarkEnd w:id="23"/>
      <w:bookmarkEnd w:id="24"/>
    </w:p>
    <w:p w:rsidR="00143584" w:rsidRDefault="00D64125">
      <w:pPr>
        <w:pStyle w:val="HStandard"/>
        <w:jc w:val="center"/>
        <w:rPr>
          <w:rFonts w:cs="Arial"/>
          <w:highlight w:val="yellow"/>
        </w:rPr>
      </w:pPr>
      <w:r w:rsidRPr="00D64125">
        <w:rPr>
          <w:noProof/>
          <w:highlight w:val="yellow"/>
          <w:lang w:val="en-GB" w:eastAsia="en-GB" w:bidi="ar-SA"/>
        </w:rPr>
        <w:drawing>
          <wp:inline distT="0" distB="0" distL="0" distR="0" wp14:anchorId="5FD6C45E" wp14:editId="4D3835D2">
            <wp:extent cx="5759450" cy="57163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5716317"/>
                    </a:xfrm>
                    <a:prstGeom prst="rect">
                      <a:avLst/>
                    </a:prstGeom>
                    <a:noFill/>
                    <a:ln>
                      <a:noFill/>
                    </a:ln>
                  </pic:spPr>
                </pic:pic>
              </a:graphicData>
            </a:graphic>
          </wp:inline>
        </w:drawing>
      </w:r>
    </w:p>
    <w:p w:rsidR="00143584" w:rsidRDefault="00D64125">
      <w:pPr>
        <w:pStyle w:val="HSource"/>
        <w:rPr>
          <w:rFonts w:cs="Arial"/>
          <w:highlight w:val="yellow"/>
        </w:rPr>
      </w:pPr>
      <w:r>
        <w:rPr>
          <w:highlight w:val="yellow"/>
        </w:rPr>
        <w:t>Източник: Европейско бюро за оценка в областта на развитието на селските райони, 2015 г.</w:t>
      </w:r>
    </w:p>
    <w:p w:rsidR="00143584" w:rsidRDefault="00D64125">
      <w:pPr>
        <w:pStyle w:val="HStandard"/>
        <w:rPr>
          <w:rFonts w:cs="Arial"/>
          <w:highlight w:val="yellow"/>
        </w:rPr>
      </w:pPr>
      <w:r>
        <w:rPr>
          <w:highlight w:val="yellow"/>
        </w:rPr>
        <w:t>Връзките между ГДИ и останалите изисквания за докладване през периода 2016—2019 г. са илюстрирани на фигура 4 и са обобщени в таблица 2.</w:t>
      </w:r>
    </w:p>
    <w:p w:rsidR="00143584" w:rsidRDefault="00D64125">
      <w:pPr>
        <w:pStyle w:val="HHeadingfigures"/>
        <w:rPr>
          <w:highlight w:val="yellow"/>
        </w:rPr>
      </w:pPr>
      <w:bookmarkStart w:id="25" w:name="_Toc460936150"/>
      <w:bookmarkStart w:id="26" w:name="_Toc474937849"/>
      <w:r>
        <w:rPr>
          <w:highlight w:val="yellow"/>
        </w:rPr>
        <w:lastRenderedPageBreak/>
        <w:t>Обзор на изискванията за докладване и връзките през периода 2016—2019 г.</w:t>
      </w:r>
      <w:bookmarkEnd w:id="25"/>
      <w:bookmarkEnd w:id="26"/>
    </w:p>
    <w:p w:rsidR="00143584" w:rsidRDefault="00D64125">
      <w:pPr>
        <w:pStyle w:val="HStandard"/>
        <w:jc w:val="center"/>
        <w:rPr>
          <w:rFonts w:cs="Arial"/>
          <w:highlight w:val="yellow"/>
        </w:rPr>
      </w:pPr>
      <w:r>
        <w:rPr>
          <w:noProof/>
          <w:highlight w:val="yellow"/>
          <w:lang w:val="en-GB" w:eastAsia="en-GB" w:bidi="ar-SA"/>
        </w:rPr>
        <w:drawing>
          <wp:inline distT="0" distB="0" distL="0" distR="0">
            <wp:extent cx="4733925" cy="3042513"/>
            <wp:effectExtent l="0" t="0" r="0" b="5715"/>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6426" cy="3044120"/>
                    </a:xfrm>
                    <a:prstGeom prst="rect">
                      <a:avLst/>
                    </a:prstGeom>
                    <a:noFill/>
                    <a:ln>
                      <a:noFill/>
                    </a:ln>
                  </pic:spPr>
                </pic:pic>
              </a:graphicData>
            </a:graphic>
          </wp:inline>
        </w:drawing>
      </w:r>
    </w:p>
    <w:p w:rsidR="00143584" w:rsidRDefault="00D64125">
      <w:pPr>
        <w:pStyle w:val="HSource"/>
        <w:rPr>
          <w:rFonts w:cs="Arial"/>
          <w:highlight w:val="yellow"/>
        </w:rPr>
      </w:pPr>
      <w:r>
        <w:rPr>
          <w:highlight w:val="yellow"/>
        </w:rPr>
        <w:t>Източник: Европейско бюро за оценка в областта на развитието на селските райони, 2015 г.</w:t>
      </w:r>
    </w:p>
    <w:p w:rsidR="00143584" w:rsidRDefault="00143584">
      <w:pPr>
        <w:pStyle w:val="HStandard"/>
        <w:rPr>
          <w:rFonts w:cs="Arial"/>
          <w:highlight w:val="yellow"/>
        </w:rPr>
      </w:pPr>
    </w:p>
    <w:p w:rsidR="00143584" w:rsidRDefault="00143584">
      <w:pPr>
        <w:pStyle w:val="HStandard"/>
        <w:rPr>
          <w:rFonts w:cs="Arial"/>
          <w:highlight w:val="yellow"/>
        </w:rPr>
        <w:sectPr w:rsidR="00143584">
          <w:pgSz w:w="11906" w:h="16838" w:code="9"/>
          <w:pgMar w:top="1418" w:right="1418" w:bottom="1418" w:left="1418" w:header="737" w:footer="1021" w:gutter="0"/>
          <w:pgNumType w:start="3"/>
          <w:cols w:space="708"/>
          <w:titlePg/>
          <w:docGrid w:linePitch="360"/>
        </w:sectPr>
      </w:pPr>
    </w:p>
    <w:p w:rsidR="00143584" w:rsidRDefault="00D64125" w:rsidP="00607FE5">
      <w:pPr>
        <w:pStyle w:val="HHeadingtables"/>
        <w:rPr>
          <w:rFonts w:cs="Arial"/>
          <w:highlight w:val="yellow"/>
        </w:rPr>
      </w:pPr>
      <w:bookmarkStart w:id="27" w:name="_Toc460936136"/>
      <w:bookmarkStart w:id="28" w:name="_Toc474937833"/>
      <w:r>
        <w:rPr>
          <w:highlight w:val="yellow"/>
        </w:rPr>
        <w:lastRenderedPageBreak/>
        <w:t>Връзки между ГДИ за 2017 г. и други изисквания на ЕС за докладване</w:t>
      </w:r>
      <w:bookmarkEnd w:id="27"/>
      <w:bookmarkEnd w:id="28"/>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765"/>
        <w:gridCol w:w="2727"/>
        <w:gridCol w:w="6250"/>
      </w:tblGrid>
      <w:tr w:rsidR="00143584">
        <w:trPr>
          <w:tblHeader/>
          <w:jc w:val="center"/>
        </w:trPr>
        <w:tc>
          <w:tcPr>
            <w:tcW w:w="5949" w:type="dxa"/>
            <w:shd w:val="clear" w:color="auto" w:fill="F07E31"/>
          </w:tcPr>
          <w:p w:rsidR="00143584" w:rsidRDefault="00D64125">
            <w:pPr>
              <w:pStyle w:val="Htableleftbolt"/>
              <w:rPr>
                <w:rFonts w:cs="Arial"/>
                <w:color w:val="FFFFFF" w:themeColor="accent1"/>
                <w:highlight w:val="yellow"/>
              </w:rPr>
            </w:pPr>
            <w:r>
              <w:rPr>
                <w:color w:val="FFFFFF" w:themeColor="accent1"/>
                <w:highlight w:val="yellow"/>
              </w:rPr>
              <w:t>Изисквания за докладване</w:t>
            </w:r>
          </w:p>
        </w:tc>
        <w:tc>
          <w:tcPr>
            <w:tcW w:w="2268" w:type="dxa"/>
            <w:shd w:val="clear" w:color="auto" w:fill="F07E31"/>
          </w:tcPr>
          <w:p w:rsidR="00143584" w:rsidRDefault="00D64125">
            <w:pPr>
              <w:pStyle w:val="Htableleftbolt"/>
              <w:rPr>
                <w:rFonts w:cs="Arial"/>
                <w:color w:val="FFFFFF" w:themeColor="accent1"/>
                <w:highlight w:val="yellow"/>
              </w:rPr>
            </w:pPr>
            <w:r>
              <w:rPr>
                <w:color w:val="FFFFFF" w:themeColor="accent1"/>
                <w:highlight w:val="yellow"/>
              </w:rPr>
              <w:t>Правен акт</w:t>
            </w:r>
          </w:p>
        </w:tc>
        <w:tc>
          <w:tcPr>
            <w:tcW w:w="6525" w:type="dxa"/>
            <w:shd w:val="clear" w:color="auto" w:fill="F07E31"/>
          </w:tcPr>
          <w:p w:rsidR="00143584" w:rsidRDefault="00D64125">
            <w:pPr>
              <w:pStyle w:val="Htableleftbolt"/>
              <w:rPr>
                <w:rFonts w:cs="Arial"/>
                <w:color w:val="FFFFFF" w:themeColor="accent1"/>
                <w:highlight w:val="yellow"/>
              </w:rPr>
            </w:pPr>
            <w:r>
              <w:rPr>
                <w:color w:val="FFFFFF" w:themeColor="accent1"/>
                <w:highlight w:val="yellow"/>
              </w:rPr>
              <w:t>Връзки и полезни взаимодействия с ГДИ за 2017 г.</w:t>
            </w:r>
          </w:p>
        </w:tc>
      </w:tr>
      <w:tr w:rsidR="00143584">
        <w:trPr>
          <w:jc w:val="center"/>
        </w:trPr>
        <w:tc>
          <w:tcPr>
            <w:tcW w:w="14742" w:type="dxa"/>
            <w:gridSpan w:val="3"/>
            <w:shd w:val="clear" w:color="auto" w:fill="auto"/>
          </w:tcPr>
          <w:p w:rsidR="00143584" w:rsidRDefault="00D64125">
            <w:pPr>
              <w:pStyle w:val="Htableleft"/>
              <w:tabs>
                <w:tab w:val="left" w:pos="2299"/>
              </w:tabs>
              <w:rPr>
                <w:rFonts w:cs="Arial"/>
                <w:b/>
                <w:highlight w:val="yellow"/>
              </w:rPr>
            </w:pPr>
            <w:r>
              <w:rPr>
                <w:b/>
                <w:color w:val="648659" w:themeColor="accent6" w:themeShade="BF"/>
                <w:highlight w:val="yellow"/>
              </w:rPr>
              <w:t>Докладване, свързано с ПРСР</w:t>
            </w:r>
            <w:r>
              <w:tab/>
            </w:r>
          </w:p>
        </w:tc>
      </w:tr>
      <w:tr w:rsidR="00143584">
        <w:trPr>
          <w:jc w:val="center"/>
        </w:trPr>
        <w:tc>
          <w:tcPr>
            <w:tcW w:w="5949" w:type="dxa"/>
            <w:shd w:val="clear" w:color="auto" w:fill="auto"/>
          </w:tcPr>
          <w:p w:rsidR="00143584" w:rsidRDefault="00D64125">
            <w:pPr>
              <w:pStyle w:val="Htableleft"/>
              <w:rPr>
                <w:rFonts w:cs="Arial"/>
                <w:highlight w:val="yellow"/>
              </w:rPr>
            </w:pPr>
            <w:r>
              <w:rPr>
                <w:b/>
                <w:highlight w:val="yellow"/>
              </w:rPr>
              <w:t>Докладване във връзка с оценката</w:t>
            </w:r>
            <w:r>
              <w:rPr>
                <w:highlight w:val="yellow"/>
              </w:rPr>
              <w:t xml:space="preserve"> (на ниво ПРСР)</w:t>
            </w:r>
          </w:p>
          <w:p w:rsidR="00143584" w:rsidRDefault="00D64125">
            <w:pPr>
              <w:pStyle w:val="Htableleft"/>
              <w:rPr>
                <w:rFonts w:cs="Arial"/>
                <w:highlight w:val="yellow"/>
              </w:rPr>
            </w:pPr>
            <w:r>
              <w:rPr>
                <w:highlight w:val="yellow"/>
              </w:rPr>
              <w:t>УО гарантират, че оценките се извършват в съответствие с плана за оценка (по-специално тези, които оценяват ефективността, ефикасността и резултатите). Най-малко веднъж в рамките на програмния период се извършва оценка, за да се прецени как финансирането от европейските структурни и инвестиционни фондове е допринесло за постигането на целите по всеки приоритет. Всички оценки се проверяват от мониторинговия комитет и се изпращат на Комисията.</w:t>
            </w:r>
          </w:p>
        </w:tc>
        <w:tc>
          <w:tcPr>
            <w:tcW w:w="2268" w:type="dxa"/>
            <w:shd w:val="clear" w:color="auto" w:fill="auto"/>
          </w:tcPr>
          <w:p w:rsidR="00143584" w:rsidRDefault="00D64125">
            <w:pPr>
              <w:pStyle w:val="Htableleft"/>
              <w:rPr>
                <w:rFonts w:cs="Arial"/>
                <w:highlight w:val="yellow"/>
              </w:rPr>
            </w:pPr>
            <w:r>
              <w:rPr>
                <w:highlight w:val="yellow"/>
              </w:rPr>
              <w:t>Регламент (ЕС) № 1303/2013, член 50, параграф 2 и член 56, параграф 1</w:t>
            </w:r>
          </w:p>
          <w:p w:rsidR="00143584" w:rsidRDefault="00D64125">
            <w:pPr>
              <w:pStyle w:val="Htableleft"/>
              <w:rPr>
                <w:rFonts w:cs="Arial"/>
                <w:highlight w:val="yellow"/>
              </w:rPr>
            </w:pPr>
            <w:r>
              <w:rPr>
                <w:highlight w:val="yellow"/>
              </w:rPr>
              <w:t>Регламент за изпълнение (ЕС) № 808/2014 на Комисията, приложение VII, точка 2, букви г) и д)</w:t>
            </w:r>
          </w:p>
        </w:tc>
        <w:tc>
          <w:tcPr>
            <w:tcW w:w="6525" w:type="dxa"/>
            <w:shd w:val="clear" w:color="auto" w:fill="auto"/>
          </w:tcPr>
          <w:p w:rsidR="00143584" w:rsidRDefault="00D64125">
            <w:pPr>
              <w:pStyle w:val="Htableleft"/>
              <w:rPr>
                <w:rFonts w:cs="Arial"/>
                <w:highlight w:val="yellow"/>
              </w:rPr>
            </w:pPr>
            <w:r>
              <w:rPr>
                <w:highlight w:val="yellow"/>
              </w:rPr>
              <w:t>В ГДИ трябва да се съдържа обобщение на констатациите от всички оценки на ПРСР, които евентуално са били представени през предходната финансова година.</w:t>
            </w:r>
          </w:p>
          <w:p w:rsidR="00143584" w:rsidRDefault="00D64125">
            <w:pPr>
              <w:pStyle w:val="Htableleft"/>
              <w:rPr>
                <w:rFonts w:cs="Arial"/>
                <w:highlight w:val="yellow"/>
              </w:rPr>
            </w:pPr>
            <w:r>
              <w:rPr>
                <w:highlight w:val="yellow"/>
              </w:rPr>
              <w:t>ГДИ за 2017 г. трябва да включва елементи на оценката, като например отговори на въпросите за оценка и оценката на напредъка от гледна точка на показателите за резултатите, свързани с областите с поставен акцент.</w:t>
            </w:r>
          </w:p>
          <w:p w:rsidR="00143584" w:rsidRDefault="00143584">
            <w:pPr>
              <w:pStyle w:val="Htableleft"/>
              <w:rPr>
                <w:rFonts w:cs="Arial"/>
                <w:highlight w:val="yellow"/>
              </w:rPr>
            </w:pPr>
          </w:p>
        </w:tc>
      </w:tr>
      <w:tr w:rsidR="00143584">
        <w:trPr>
          <w:jc w:val="center"/>
        </w:trPr>
        <w:tc>
          <w:tcPr>
            <w:tcW w:w="5949" w:type="dxa"/>
            <w:shd w:val="clear" w:color="auto" w:fill="auto"/>
          </w:tcPr>
          <w:p w:rsidR="00143584" w:rsidRDefault="00D64125">
            <w:pPr>
              <w:pStyle w:val="Htableleft"/>
              <w:rPr>
                <w:rFonts w:cs="Arial"/>
                <w:highlight w:val="yellow"/>
              </w:rPr>
            </w:pPr>
            <w:r>
              <w:rPr>
                <w:b/>
                <w:highlight w:val="yellow"/>
              </w:rPr>
              <w:t xml:space="preserve">Доклад за изпълнението на финансовите инструменти </w:t>
            </w:r>
            <w:r>
              <w:rPr>
                <w:highlight w:val="yellow"/>
              </w:rPr>
              <w:t>(на ниво ПРСР)</w:t>
            </w:r>
          </w:p>
          <w:p w:rsidR="00143584" w:rsidRDefault="00D64125">
            <w:pPr>
              <w:pStyle w:val="Htableleft"/>
              <w:rPr>
                <w:rFonts w:cs="Arial"/>
                <w:highlight w:val="yellow"/>
              </w:rPr>
            </w:pPr>
            <w:r>
              <w:rPr>
                <w:highlight w:val="yellow"/>
              </w:rPr>
              <w:t xml:space="preserve">Всяка година УО представя на Комисията специален доклад за операциите, които включват финансови инструменти. В този доклад се включва информация, </w:t>
            </w:r>
            <w:r>
              <w:rPr>
                <w:i/>
                <w:highlight w:val="yellow"/>
              </w:rPr>
              <w:t>inter alia</w:t>
            </w:r>
            <w:r>
              <w:rPr>
                <w:highlight w:val="yellow"/>
              </w:rPr>
              <w:t>, относно уредбата за изпълнението на финансовия инструмент, като се посочват организациите, управляващи финансовите инструменти, финансовата информация за финансовия инструмент, резултатите от финансовия инструмент и приносът за постигането на показателите на съответния приоритет или мярка</w:t>
            </w:r>
          </w:p>
        </w:tc>
        <w:tc>
          <w:tcPr>
            <w:tcW w:w="2268" w:type="dxa"/>
            <w:shd w:val="clear" w:color="auto" w:fill="auto"/>
          </w:tcPr>
          <w:p w:rsidR="00143584" w:rsidRDefault="00D64125">
            <w:pPr>
              <w:pStyle w:val="Htableleft"/>
              <w:rPr>
                <w:rFonts w:cs="Arial"/>
                <w:highlight w:val="yellow"/>
              </w:rPr>
            </w:pPr>
            <w:r>
              <w:rPr>
                <w:highlight w:val="yellow"/>
              </w:rPr>
              <w:t>Регламент (ЕС) № 1303/2013, член 46, параграф 2</w:t>
            </w:r>
          </w:p>
          <w:p w:rsidR="00143584" w:rsidRDefault="00D64125">
            <w:pPr>
              <w:pStyle w:val="Htableleft"/>
              <w:rPr>
                <w:rFonts w:cs="Arial"/>
                <w:highlight w:val="yellow"/>
              </w:rPr>
            </w:pPr>
            <w:r>
              <w:rPr>
                <w:highlight w:val="yellow"/>
              </w:rPr>
              <w:t>Регламент за изпълнение (ЕС) № 808/2014 на Комисията, приложение VII, точка 10</w:t>
            </w:r>
          </w:p>
        </w:tc>
        <w:tc>
          <w:tcPr>
            <w:tcW w:w="6525" w:type="dxa"/>
            <w:shd w:val="clear" w:color="auto" w:fill="auto"/>
          </w:tcPr>
          <w:p w:rsidR="00143584" w:rsidRDefault="00D64125">
            <w:pPr>
              <w:pStyle w:val="Htableleft"/>
              <w:rPr>
                <w:rFonts w:cs="Arial"/>
                <w:highlight w:val="yellow"/>
              </w:rPr>
            </w:pPr>
            <w:r>
              <w:rPr>
                <w:highlight w:val="yellow"/>
              </w:rPr>
              <w:t xml:space="preserve">Докладът за изпълнението на финансовите инструменти се представя като приложение към ГДИ. ГДИ за 2017 г. следва да съдържа и информация за напредъка в постигането на очакваните ефекти на ливъридж от направените инвестиции посредством финансовия инструмент и приноса за постигането на показателите на съответния приоритет или мярка. </w:t>
            </w:r>
          </w:p>
        </w:tc>
      </w:tr>
      <w:tr w:rsidR="00143584">
        <w:trPr>
          <w:trHeight w:val="349"/>
          <w:jc w:val="center"/>
        </w:trPr>
        <w:tc>
          <w:tcPr>
            <w:tcW w:w="14742" w:type="dxa"/>
            <w:gridSpan w:val="3"/>
            <w:tcBorders>
              <w:bottom w:val="single" w:sz="4" w:space="0" w:color="6F6F6F" w:themeColor="text1"/>
            </w:tcBorders>
            <w:shd w:val="clear" w:color="auto" w:fill="auto"/>
          </w:tcPr>
          <w:p w:rsidR="00143584" w:rsidRDefault="00D64125">
            <w:pPr>
              <w:pStyle w:val="Htableleft"/>
              <w:rPr>
                <w:rFonts w:cs="Arial"/>
                <w:b/>
                <w:highlight w:val="yellow"/>
              </w:rPr>
            </w:pPr>
            <w:r>
              <w:rPr>
                <w:b/>
                <w:color w:val="648659" w:themeColor="accent6" w:themeShade="BF"/>
                <w:highlight w:val="yellow"/>
              </w:rPr>
              <w:t>Докладване, свързано със споразуменията за партньорство (СП)</w:t>
            </w:r>
          </w:p>
        </w:tc>
      </w:tr>
      <w:tr w:rsidR="00143584">
        <w:trPr>
          <w:jc w:val="center"/>
        </w:trPr>
        <w:tc>
          <w:tcPr>
            <w:tcW w:w="5949" w:type="dxa"/>
            <w:shd w:val="clear" w:color="auto" w:fill="auto"/>
          </w:tcPr>
          <w:p w:rsidR="00143584" w:rsidRDefault="00D64125">
            <w:pPr>
              <w:pStyle w:val="Htableleft"/>
              <w:rPr>
                <w:rFonts w:cs="Arial"/>
                <w:highlight w:val="yellow"/>
              </w:rPr>
            </w:pPr>
            <w:r>
              <w:rPr>
                <w:b/>
                <w:highlight w:val="yellow"/>
              </w:rPr>
              <w:t xml:space="preserve">Доклад за напредъка по изпълнението на СП </w:t>
            </w:r>
            <w:r>
              <w:rPr>
                <w:highlight w:val="yellow"/>
              </w:rPr>
              <w:t>(на ниво държави членки)</w:t>
            </w:r>
          </w:p>
          <w:p w:rsidR="00143584" w:rsidRDefault="00D64125">
            <w:pPr>
              <w:pStyle w:val="Htableleft"/>
              <w:rPr>
                <w:rFonts w:cs="Arial"/>
                <w:highlight w:val="yellow"/>
              </w:rPr>
            </w:pPr>
            <w:r>
              <w:rPr>
                <w:highlight w:val="yellow"/>
              </w:rPr>
              <w:t>До 31 август 2017 г. държавите членки представят на Комисията доклад за напредъка по изпълнението на споразумението за партньорство към 31 декември 2016 г.</w:t>
            </w:r>
          </w:p>
        </w:tc>
        <w:tc>
          <w:tcPr>
            <w:tcW w:w="2268" w:type="dxa"/>
            <w:shd w:val="clear" w:color="auto" w:fill="auto"/>
          </w:tcPr>
          <w:p w:rsidR="00143584" w:rsidRDefault="00D64125">
            <w:pPr>
              <w:pStyle w:val="Htableleft"/>
              <w:rPr>
                <w:rFonts w:cs="Arial"/>
                <w:highlight w:val="yellow"/>
              </w:rPr>
            </w:pPr>
            <w:r>
              <w:rPr>
                <w:highlight w:val="yellow"/>
              </w:rPr>
              <w:t>Регламент (ЕС) № 1303/2013, член 52, параграф 1</w:t>
            </w:r>
          </w:p>
        </w:tc>
        <w:tc>
          <w:tcPr>
            <w:tcW w:w="6525" w:type="dxa"/>
            <w:shd w:val="clear" w:color="auto" w:fill="auto"/>
          </w:tcPr>
          <w:p w:rsidR="00143584" w:rsidRDefault="00D64125">
            <w:pPr>
              <w:pStyle w:val="Htableleft"/>
              <w:rPr>
                <w:rFonts w:cs="Arial"/>
                <w:highlight w:val="yellow"/>
              </w:rPr>
            </w:pPr>
            <w:r>
              <w:rPr>
                <w:highlight w:val="yellow"/>
              </w:rPr>
              <w:t xml:space="preserve">Докладът за напредъка е свързан с усвояването на европейските структурни и инвестиционни фондове чрез оперативни програми съгласно споразумението за партньорство. ГДИ за 2017 г. предоставя информация във връзка с изпълнението на ЕЗФРСР, във връзка с резултатите на ПРСР и приноса на ПРСР за постигането на целите на политиката (където е целесъобразно). </w:t>
            </w:r>
          </w:p>
        </w:tc>
      </w:tr>
      <w:tr w:rsidR="00143584">
        <w:trPr>
          <w:jc w:val="center"/>
        </w:trPr>
        <w:tc>
          <w:tcPr>
            <w:tcW w:w="5949" w:type="dxa"/>
            <w:shd w:val="clear" w:color="auto" w:fill="auto"/>
          </w:tcPr>
          <w:p w:rsidR="00143584" w:rsidRDefault="00D64125">
            <w:pPr>
              <w:pStyle w:val="Htableleft"/>
              <w:rPr>
                <w:rFonts w:cs="Arial"/>
                <w:highlight w:val="yellow"/>
              </w:rPr>
            </w:pPr>
            <w:r>
              <w:rPr>
                <w:b/>
                <w:highlight w:val="yellow"/>
              </w:rPr>
              <w:t xml:space="preserve">Стратегически доклад </w:t>
            </w:r>
            <w:r>
              <w:rPr>
                <w:highlight w:val="yellow"/>
              </w:rPr>
              <w:t>(на ниво ЕС)</w:t>
            </w:r>
          </w:p>
          <w:p w:rsidR="00143584" w:rsidRDefault="00D64125">
            <w:pPr>
              <w:pStyle w:val="Htableleft"/>
              <w:rPr>
                <w:rFonts w:cs="Arial"/>
                <w:highlight w:val="yellow"/>
              </w:rPr>
            </w:pPr>
            <w:r>
              <w:rPr>
                <w:highlight w:val="yellow"/>
              </w:rPr>
              <w:t xml:space="preserve">През 2017 г. Комисията изготвя стратегически доклад, в който обобщават докладите за напредъка на държавите членки. До 31 декември 2017 г. стратегическият доклад се представя на Европейския парламент, Съвета, Европейския икономически и социален комитет и Комитета на регионите. </w:t>
            </w:r>
          </w:p>
        </w:tc>
        <w:tc>
          <w:tcPr>
            <w:tcW w:w="2268" w:type="dxa"/>
            <w:shd w:val="clear" w:color="auto" w:fill="auto"/>
          </w:tcPr>
          <w:p w:rsidR="00143584" w:rsidRDefault="00D64125">
            <w:pPr>
              <w:pStyle w:val="Htableleft"/>
              <w:rPr>
                <w:rFonts w:cs="Arial"/>
                <w:highlight w:val="yellow"/>
              </w:rPr>
            </w:pPr>
            <w:r>
              <w:rPr>
                <w:highlight w:val="yellow"/>
              </w:rPr>
              <w:t>Регламент (ЕС) № 1303/2013, член 53, параграф 2</w:t>
            </w:r>
          </w:p>
        </w:tc>
        <w:tc>
          <w:tcPr>
            <w:tcW w:w="6525" w:type="dxa"/>
            <w:shd w:val="clear" w:color="auto" w:fill="auto"/>
          </w:tcPr>
          <w:p w:rsidR="00143584" w:rsidRDefault="00D64125">
            <w:pPr>
              <w:pStyle w:val="Htableleft"/>
              <w:rPr>
                <w:rFonts w:cs="Arial"/>
                <w:highlight w:val="yellow"/>
              </w:rPr>
            </w:pPr>
            <w:r>
              <w:rPr>
                <w:highlight w:val="yellow"/>
              </w:rPr>
              <w:t xml:space="preserve">Информацията от ГДИ за 2017 г., в това число докладването във връзка с оценката, се включва в доклада за напредъка по изпълнението на СП, представен през 2017 г., който се обобщава в стратегическия доклад на ниво ЕС. </w:t>
            </w:r>
          </w:p>
        </w:tc>
      </w:tr>
      <w:tr w:rsidR="00143584">
        <w:trPr>
          <w:jc w:val="center"/>
        </w:trPr>
        <w:tc>
          <w:tcPr>
            <w:tcW w:w="14742" w:type="dxa"/>
            <w:gridSpan w:val="3"/>
            <w:shd w:val="clear" w:color="auto" w:fill="auto"/>
          </w:tcPr>
          <w:p w:rsidR="00143584" w:rsidRDefault="00D64125">
            <w:pPr>
              <w:pStyle w:val="Htableleft"/>
              <w:rPr>
                <w:rFonts w:cs="Arial"/>
                <w:b/>
                <w:highlight w:val="yellow"/>
              </w:rPr>
            </w:pPr>
            <w:r>
              <w:rPr>
                <w:b/>
                <w:color w:val="648659" w:themeColor="accent6" w:themeShade="BF"/>
                <w:highlight w:val="yellow"/>
              </w:rPr>
              <w:t>Докладване, свързано с европейските структурни и инвестиционни фондове</w:t>
            </w:r>
          </w:p>
        </w:tc>
      </w:tr>
      <w:tr w:rsidR="00143584">
        <w:trPr>
          <w:jc w:val="center"/>
        </w:trPr>
        <w:tc>
          <w:tcPr>
            <w:tcW w:w="5949" w:type="dxa"/>
            <w:shd w:val="clear" w:color="auto" w:fill="auto"/>
          </w:tcPr>
          <w:p w:rsidR="00143584" w:rsidRDefault="00D64125">
            <w:pPr>
              <w:pStyle w:val="Htableleft"/>
              <w:rPr>
                <w:rFonts w:cs="Arial"/>
                <w:highlight w:val="yellow"/>
              </w:rPr>
            </w:pPr>
            <w:r>
              <w:rPr>
                <w:b/>
                <w:highlight w:val="yellow"/>
              </w:rPr>
              <w:t>Обобщаващ доклад</w:t>
            </w:r>
            <w:r>
              <w:rPr>
                <w:highlight w:val="yellow"/>
              </w:rPr>
              <w:t xml:space="preserve"> (на ниво ЕС)</w:t>
            </w:r>
          </w:p>
          <w:p w:rsidR="00143584" w:rsidRDefault="00D64125">
            <w:pPr>
              <w:pStyle w:val="Htableleft"/>
              <w:rPr>
                <w:rFonts w:cs="Arial"/>
                <w:highlight w:val="yellow"/>
              </w:rPr>
            </w:pPr>
            <w:r>
              <w:rPr>
                <w:highlight w:val="yellow"/>
              </w:rPr>
              <w:t xml:space="preserve">Считано от 2016 г., Комисията представя ежегодно на </w:t>
            </w:r>
            <w:r>
              <w:rPr>
                <w:highlight w:val="yellow"/>
              </w:rPr>
              <w:lastRenderedPageBreak/>
              <w:t xml:space="preserve">Европейския парламент, Съвета, Европейския икономически и социален комитет и Комитета на регионите обобщаващ доклад за изпълнението на програмите, финансирани от европейските структурни и инвестиционни фондове. </w:t>
            </w:r>
          </w:p>
        </w:tc>
        <w:tc>
          <w:tcPr>
            <w:tcW w:w="2268" w:type="dxa"/>
            <w:shd w:val="clear" w:color="auto" w:fill="auto"/>
          </w:tcPr>
          <w:p w:rsidR="00143584" w:rsidRDefault="00D64125">
            <w:pPr>
              <w:pStyle w:val="Htableleft"/>
              <w:rPr>
                <w:rFonts w:cs="Arial"/>
                <w:highlight w:val="yellow"/>
              </w:rPr>
            </w:pPr>
            <w:r>
              <w:rPr>
                <w:highlight w:val="yellow"/>
              </w:rPr>
              <w:lastRenderedPageBreak/>
              <w:t>Регламент (ЕС) № 1303/2013, член 53, параграф 1</w:t>
            </w:r>
          </w:p>
        </w:tc>
        <w:tc>
          <w:tcPr>
            <w:tcW w:w="6525" w:type="dxa"/>
            <w:shd w:val="clear" w:color="auto" w:fill="auto"/>
          </w:tcPr>
          <w:p w:rsidR="00143584" w:rsidRDefault="00D64125">
            <w:pPr>
              <w:pStyle w:val="Htableleft"/>
              <w:rPr>
                <w:rFonts w:cs="Arial"/>
                <w:highlight w:val="yellow"/>
              </w:rPr>
            </w:pPr>
            <w:r>
              <w:rPr>
                <w:highlight w:val="yellow"/>
              </w:rPr>
              <w:t xml:space="preserve">ГДИ за 2017 г. предоставя информация също така за обобщаващите доклади за изпълнението на европейските структурни и </w:t>
            </w:r>
            <w:r>
              <w:rPr>
                <w:highlight w:val="yellow"/>
              </w:rPr>
              <w:lastRenderedPageBreak/>
              <w:t>инвестиционни фондове, които се представят ежегодно.  През 2017 г. обобщаващият доклад ще бъде част от стратегическия доклад.</w:t>
            </w:r>
          </w:p>
        </w:tc>
      </w:tr>
      <w:tr w:rsidR="00143584">
        <w:trPr>
          <w:jc w:val="center"/>
        </w:trPr>
        <w:tc>
          <w:tcPr>
            <w:tcW w:w="14742" w:type="dxa"/>
            <w:gridSpan w:val="3"/>
            <w:shd w:val="clear" w:color="auto" w:fill="auto"/>
          </w:tcPr>
          <w:p w:rsidR="00143584" w:rsidRDefault="00143584">
            <w:pPr>
              <w:pStyle w:val="Htableleft"/>
              <w:rPr>
                <w:rFonts w:cs="Arial"/>
                <w:b/>
                <w:color w:val="648659" w:themeColor="accent6" w:themeShade="BF"/>
                <w:highlight w:val="yellow"/>
              </w:rPr>
            </w:pPr>
          </w:p>
          <w:p w:rsidR="00143584" w:rsidRDefault="00143584">
            <w:pPr>
              <w:pStyle w:val="Htableleft"/>
              <w:rPr>
                <w:rFonts w:cs="Arial"/>
                <w:b/>
                <w:color w:val="648659" w:themeColor="accent6" w:themeShade="BF"/>
                <w:highlight w:val="yellow"/>
              </w:rPr>
            </w:pPr>
          </w:p>
          <w:p w:rsidR="00143584" w:rsidRDefault="00D64125">
            <w:pPr>
              <w:pStyle w:val="Htableleft"/>
              <w:rPr>
                <w:rFonts w:cs="Arial"/>
                <w:b/>
                <w:highlight w:val="yellow"/>
              </w:rPr>
            </w:pPr>
            <w:r>
              <w:rPr>
                <w:b/>
                <w:color w:val="648659" w:themeColor="accent6" w:themeShade="BF"/>
                <w:highlight w:val="yellow"/>
              </w:rPr>
              <w:t>Докладване, свързано с ОСП</w:t>
            </w:r>
          </w:p>
        </w:tc>
      </w:tr>
      <w:tr w:rsidR="00143584">
        <w:trPr>
          <w:jc w:val="center"/>
        </w:trPr>
        <w:tc>
          <w:tcPr>
            <w:tcW w:w="5949" w:type="dxa"/>
            <w:shd w:val="clear" w:color="auto" w:fill="auto"/>
          </w:tcPr>
          <w:p w:rsidR="00143584" w:rsidRDefault="00D64125">
            <w:pPr>
              <w:pStyle w:val="Htableleft"/>
              <w:rPr>
                <w:rFonts w:cs="Arial"/>
                <w:highlight w:val="yellow"/>
              </w:rPr>
            </w:pPr>
            <w:r>
              <w:rPr>
                <w:b/>
                <w:highlight w:val="yellow"/>
              </w:rPr>
              <w:t xml:space="preserve">Доклад за изпълнението на ОСП </w:t>
            </w:r>
            <w:r>
              <w:rPr>
                <w:highlight w:val="yellow"/>
              </w:rPr>
              <w:t>(на ниво ЕС)</w:t>
            </w:r>
          </w:p>
          <w:p w:rsidR="00143584" w:rsidRDefault="00D64125">
            <w:pPr>
              <w:pStyle w:val="Htableleft"/>
              <w:rPr>
                <w:rFonts w:cs="Arial"/>
                <w:highlight w:val="yellow"/>
              </w:rPr>
            </w:pPr>
            <w:r>
              <w:rPr>
                <w:highlight w:val="yellow"/>
              </w:rPr>
              <w:t>Комисията представя първоначален доклад за прилагането на член 110 от Регламент (ЕС) № 1306/2013. Този доклад се отнася до мониторинга и оценката на ОСП и първите резултати от нейното изпълнение. Този доклад се представя на Европейския парламент и на Съвета до 31 декември 2018 г.</w:t>
            </w:r>
          </w:p>
        </w:tc>
        <w:tc>
          <w:tcPr>
            <w:tcW w:w="2268" w:type="dxa"/>
            <w:shd w:val="clear" w:color="auto" w:fill="auto"/>
          </w:tcPr>
          <w:p w:rsidR="00143584" w:rsidRDefault="00D64125">
            <w:pPr>
              <w:pStyle w:val="Htableleft"/>
              <w:rPr>
                <w:rFonts w:cs="Arial"/>
                <w:highlight w:val="yellow"/>
              </w:rPr>
            </w:pPr>
            <w:r>
              <w:rPr>
                <w:highlight w:val="yellow"/>
              </w:rPr>
              <w:t>Регламент (ЕС) № 1306/2013, член 110, параграф 5</w:t>
            </w:r>
          </w:p>
        </w:tc>
        <w:tc>
          <w:tcPr>
            <w:tcW w:w="6525" w:type="dxa"/>
            <w:shd w:val="clear" w:color="auto" w:fill="auto"/>
          </w:tcPr>
          <w:p w:rsidR="00143584" w:rsidRDefault="00D64125">
            <w:pPr>
              <w:pStyle w:val="Htableleft"/>
              <w:rPr>
                <w:rFonts w:cs="Arial"/>
                <w:highlight w:val="yellow"/>
              </w:rPr>
            </w:pPr>
            <w:r>
              <w:rPr>
                <w:highlight w:val="yellow"/>
              </w:rPr>
              <w:t xml:space="preserve">ГДИ за 2017 г. ще включва обобщение на констатациите от всички оценки на ПРСР, както и промени в стойностите на показателите за резултатите. Тези сведения съответно ще се използват като един от източниците на информация относно изпълнението на мерките за развитие на селските райони за целите на изготвянето на доклада за ОСП. </w:t>
            </w:r>
          </w:p>
        </w:tc>
      </w:tr>
    </w:tbl>
    <w:p w:rsidR="00143584" w:rsidRDefault="00143584">
      <w:pPr>
        <w:pStyle w:val="HStandard"/>
        <w:rPr>
          <w:rFonts w:cs="Arial"/>
          <w:highlight w:val="yellow"/>
        </w:rPr>
      </w:pPr>
    </w:p>
    <w:p w:rsidR="00143584" w:rsidRDefault="00143584">
      <w:pPr>
        <w:pStyle w:val="HStandard"/>
        <w:rPr>
          <w:rFonts w:cs="Arial"/>
          <w:highlight w:val="yellow"/>
        </w:rPr>
        <w:sectPr w:rsidR="00143584">
          <w:headerReference w:type="default" r:id="rId26"/>
          <w:footerReference w:type="default" r:id="rId27"/>
          <w:headerReference w:type="first" r:id="rId28"/>
          <w:footerReference w:type="first" r:id="rId29"/>
          <w:pgSz w:w="16838" w:h="11906" w:orient="landscape" w:code="9"/>
          <w:pgMar w:top="1418" w:right="820" w:bottom="1418" w:left="1418" w:header="737" w:footer="1021" w:gutter="0"/>
          <w:cols w:space="708"/>
          <w:titlePg/>
          <w:docGrid w:linePitch="360"/>
        </w:sectPr>
      </w:pPr>
    </w:p>
    <w:p w:rsidR="00143584" w:rsidRDefault="00D64125">
      <w:pPr>
        <w:pStyle w:val="HHeading2"/>
        <w:rPr>
          <w:rFonts w:cs="Arial"/>
          <w:highlight w:val="yellow"/>
        </w:rPr>
      </w:pPr>
      <w:bookmarkStart w:id="29" w:name="_Toc460936100"/>
      <w:bookmarkStart w:id="30" w:name="_Toc474938224"/>
      <w:r>
        <w:rPr>
          <w:highlight w:val="yellow"/>
        </w:rPr>
        <w:lastRenderedPageBreak/>
        <w:t>Връзки между докладването през 2017 г. и общите изисквания за докладване във връзка с развитието на селските райони през периода 2014—2020 г.</w:t>
      </w:r>
      <w:bookmarkEnd w:id="29"/>
      <w:bookmarkEnd w:id="30"/>
    </w:p>
    <w:p w:rsidR="00143584" w:rsidRDefault="00D64125">
      <w:pPr>
        <w:pStyle w:val="HStandard"/>
        <w:rPr>
          <w:rFonts w:cs="Arial"/>
          <w:highlight w:val="yellow"/>
        </w:rPr>
      </w:pPr>
      <w:r>
        <w:rPr>
          <w:highlight w:val="yellow"/>
        </w:rPr>
        <w:t>Изискванията за докладване във връзка с оценката през 2017 г. са тясно свързани с докладването във връзка с оценката през целия програмен период. Тъй като задачите във връзка с оценката стават по-сложни към края на програмния период, системата за мониторинг и оценка трябва да бъде правилно създадена и развивана. По този начин ще може да се предоставя информация за оценката през целия програмен период, както и за последващата оценка.</w:t>
      </w:r>
    </w:p>
    <w:p w:rsidR="00143584" w:rsidRDefault="00D64125">
      <w:pPr>
        <w:pStyle w:val="HStandard"/>
        <w:rPr>
          <w:rFonts w:cs="Arial"/>
          <w:i/>
          <w:highlight w:val="yellow"/>
        </w:rPr>
      </w:pPr>
      <w:r>
        <w:rPr>
          <w:i/>
          <w:highlight w:val="yellow"/>
        </w:rPr>
        <w:t xml:space="preserve">Обобщението на изискванията за докладване през целия програмен период 2014—2020 г. е дадено в приложение 2 към част III от насоките. В приложение 6 към част III е обяснено какво се изисква (задължително) и какви са препоръчителните практики, когато се докладва във връзка с оценката в рамките на ГДИ през програмния период. Представени са също предложения как могат да бъдат свързани помежду си различните раздели на ГДИ (стандартен и преработен (разширен), за да се предостави по-подробна информация за оценката. </w:t>
      </w:r>
    </w:p>
    <w:p w:rsidR="00143584" w:rsidRDefault="00D64125">
      <w:pPr>
        <w:pStyle w:val="HHeading5"/>
        <w:rPr>
          <w:rFonts w:cs="Arial"/>
          <w:highlight w:val="yellow"/>
        </w:rPr>
      </w:pPr>
      <w:r>
        <w:rPr>
          <w:highlight w:val="yellow"/>
        </w:rPr>
        <w:t>Допълнителни материали</w:t>
      </w:r>
    </w:p>
    <w:p w:rsidR="00143584" w:rsidRDefault="00D64125">
      <w:pPr>
        <w:pStyle w:val="HBox"/>
        <w:rPr>
          <w:highlight w:val="yellow"/>
        </w:rPr>
      </w:pPr>
      <w:r>
        <w:rPr>
          <w:highlight w:val="yellow"/>
        </w:rPr>
        <w:t xml:space="preserve">Насоки: Изготвяне и изпълнение на плана за оценка на ПРСР за периода 2014—2020 г., Бюро за оценка за периода 2014—2020 г., част I, глава 5.5 и част III, приложение 14, Брюксел, 2015 г., </w:t>
      </w:r>
      <w:hyperlink r:id="rId30" w:history="1">
        <w:r>
          <w:rPr>
            <w:rStyle w:val="Hyperlink"/>
            <w:highlight w:val="yellow"/>
          </w:rPr>
          <w:t xml:space="preserve"> </w:t>
        </w:r>
        <w:r>
          <w:rPr>
            <w:rStyle w:val="Hyperlink"/>
            <w:highlight w:val="yellow"/>
            <w:lang w:val="en-GB"/>
          </w:rPr>
          <w:t>http</w:t>
        </w:r>
        <w:r>
          <w:rPr>
            <w:rStyle w:val="Hyperlink"/>
            <w:highlight w:val="yellow"/>
          </w:rPr>
          <w:t>://</w:t>
        </w:r>
        <w:r>
          <w:rPr>
            <w:rStyle w:val="Hyperlink"/>
            <w:highlight w:val="yellow"/>
            <w:lang w:val="en-GB"/>
          </w:rPr>
          <w:t>enrd</w:t>
        </w:r>
        <w:r>
          <w:rPr>
            <w:rStyle w:val="Hyperlink"/>
            <w:highlight w:val="yellow"/>
          </w:rPr>
          <w:t>.</w:t>
        </w:r>
        <w:r>
          <w:rPr>
            <w:rStyle w:val="Hyperlink"/>
            <w:highlight w:val="yellow"/>
            <w:lang w:val="en-GB"/>
          </w:rPr>
          <w:t>ec</w:t>
        </w:r>
        <w:r>
          <w:rPr>
            <w:rStyle w:val="Hyperlink"/>
            <w:highlight w:val="yellow"/>
          </w:rPr>
          <w:t>.</w:t>
        </w:r>
        <w:r>
          <w:rPr>
            <w:rStyle w:val="Hyperlink"/>
            <w:highlight w:val="yellow"/>
            <w:lang w:val="en-GB"/>
          </w:rPr>
          <w:t>europa</w:t>
        </w:r>
        <w:r>
          <w:rPr>
            <w:rStyle w:val="Hyperlink"/>
            <w:highlight w:val="yellow"/>
          </w:rPr>
          <w:t>.</w:t>
        </w:r>
        <w:r>
          <w:rPr>
            <w:rStyle w:val="Hyperlink"/>
            <w:highlight w:val="yellow"/>
            <w:lang w:val="en-GB"/>
          </w:rPr>
          <w:t>eu</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publications</w:t>
        </w:r>
        <w:r>
          <w:rPr>
            <w:rStyle w:val="Hyperlink"/>
            <w:highlight w:val="yellow"/>
          </w:rPr>
          <w:t>/</w:t>
        </w:r>
        <w:r>
          <w:rPr>
            <w:rStyle w:val="Hyperlink"/>
            <w:highlight w:val="yellow"/>
            <w:lang w:val="en-GB"/>
          </w:rPr>
          <w:t>e</w:t>
        </w:r>
        <w:r>
          <w:rPr>
            <w:rStyle w:val="Hyperlink"/>
            <w:highlight w:val="yellow"/>
          </w:rPr>
          <w:t>-</w:t>
        </w:r>
        <w:r>
          <w:rPr>
            <w:rStyle w:val="Hyperlink"/>
            <w:highlight w:val="yellow"/>
            <w:lang w:val="en-GB"/>
          </w:rPr>
          <w:t>library</w:t>
        </w:r>
        <w:r>
          <w:rPr>
            <w:rStyle w:val="Hyperlink"/>
            <w:highlight w:val="yellow"/>
          </w:rPr>
          <w:t>_</w:t>
        </w:r>
        <w:r>
          <w:rPr>
            <w:rStyle w:val="Hyperlink"/>
            <w:highlight w:val="yellow"/>
            <w:lang w:val="en-GB"/>
          </w:rPr>
          <w:t>en</w:t>
        </w:r>
        <w:r>
          <w:rPr>
            <w:rStyle w:val="Hyperlink"/>
            <w:highlight w:val="yellow"/>
          </w:rPr>
          <w:t xml:space="preserve"> </w:t>
        </w:r>
      </w:hyperlink>
    </w:p>
    <w:p w:rsidR="00143584" w:rsidRDefault="00D64125">
      <w:pPr>
        <w:pStyle w:val="HHeading1"/>
        <w:rPr>
          <w:rFonts w:cs="Arial"/>
          <w:highlight w:val="yellow"/>
        </w:rPr>
      </w:pPr>
      <w:bookmarkStart w:id="31" w:name="_Toc460936101"/>
      <w:bookmarkStart w:id="32" w:name="_Toc474938225"/>
      <w:r>
        <w:rPr>
          <w:highlight w:val="yellow"/>
        </w:rPr>
        <w:lastRenderedPageBreak/>
        <w:t>Осигуряване на висококачествена оценка през 2017 г.</w:t>
      </w:r>
      <w:bookmarkEnd w:id="31"/>
      <w:bookmarkEnd w:id="32"/>
    </w:p>
    <w:p w:rsidR="00143584" w:rsidRDefault="00D64125">
      <w:pPr>
        <w:pStyle w:val="HHeading2"/>
        <w:rPr>
          <w:rFonts w:cs="Arial"/>
          <w:highlight w:val="yellow"/>
        </w:rPr>
      </w:pPr>
      <w:bookmarkStart w:id="33" w:name="_Toc460936102"/>
      <w:bookmarkStart w:id="34" w:name="_Toc474938226"/>
      <w:r>
        <w:rPr>
          <w:highlight w:val="yellow"/>
        </w:rPr>
        <w:t>Внимателно планиране и подготовка за оценката</w:t>
      </w:r>
      <w:bookmarkEnd w:id="33"/>
      <w:bookmarkEnd w:id="34"/>
    </w:p>
    <w:p w:rsidR="00143584" w:rsidRDefault="00D64125">
      <w:pPr>
        <w:pStyle w:val="HStandard"/>
        <w:rPr>
          <w:rFonts w:cs="Arial"/>
          <w:highlight w:val="yellow"/>
        </w:rPr>
      </w:pPr>
      <w:r>
        <w:rPr>
          <w:highlight w:val="yellow"/>
        </w:rPr>
        <w:t>Ограничено е времето за извършване на задачите във връзка с оценката, по които трябва да се докладва през 2017 г. Затова предварителното планиране и подготовката са от първостепенно значение, за да може УО да осигури необходимата информация в преработения (разширения) ГДИ и да го представи на Комисията до края на месец юни 2017 г.</w:t>
      </w:r>
    </w:p>
    <w:p w:rsidR="00143584" w:rsidRDefault="00D64125">
      <w:pPr>
        <w:pStyle w:val="HStandard"/>
        <w:rPr>
          <w:rFonts w:cs="Arial"/>
          <w:highlight w:val="yellow"/>
        </w:rPr>
      </w:pPr>
      <w:r>
        <w:rPr>
          <w:highlight w:val="yellow"/>
        </w:rPr>
        <w:t xml:space="preserve">През текущия програмен период УО </w:t>
      </w:r>
      <w:r>
        <w:rPr>
          <w:b/>
          <w:highlight w:val="yellow"/>
        </w:rPr>
        <w:t>трябва да планират оценките</w:t>
      </w:r>
      <w:r>
        <w:rPr>
          <w:highlight w:val="yellow"/>
        </w:rPr>
        <w:t xml:space="preserve"> от самото начало с помощта на план за оценка, който е част от програмата за развитие на селските райони</w:t>
      </w:r>
      <w:r>
        <w:rPr>
          <w:rStyle w:val="FootnoteReference"/>
          <w:highlight w:val="yellow"/>
        </w:rPr>
        <w:footnoteReference w:id="18"/>
      </w:r>
      <w:r>
        <w:rPr>
          <w:highlight w:val="yellow"/>
        </w:rPr>
        <w:t xml:space="preserve">. Тъй като планът за оценка се разработва предварително — на етапа на програмиране, често пъти той обхваща само минималните изисквания на общо ниво. Все пак планът за оценка може да бъде доуточнен при извършването на изменения в програмата и/или допълнен от по-подробен вътрешен документ за планиране. Този документ може да съдържа по-обширна информация за планираните дейности във връзка с оценката, темите и техния график. </w:t>
      </w:r>
    </w:p>
    <w:p w:rsidR="00143584" w:rsidRDefault="00D64125">
      <w:pPr>
        <w:pStyle w:val="HStandard"/>
        <w:rPr>
          <w:rFonts w:cs="Arial"/>
          <w:highlight w:val="yellow"/>
        </w:rPr>
      </w:pPr>
      <w:r>
        <w:rPr>
          <w:highlight w:val="yellow"/>
        </w:rPr>
        <w:t xml:space="preserve">От първостепенно значение за улесняването на оценката през 2017 г. е на ранен етап да бъдат определени потребностите и дейностите, свързани с оценката на ПРСР. Поради това съответните заинтересовани страни трябва на ранен етап от процеса на изпълнение да отделят ресурси и да се подготвят за прилагането на методите за оценка. </w:t>
      </w:r>
    </w:p>
    <w:p w:rsidR="00143584" w:rsidRDefault="00D64125">
      <w:pPr>
        <w:pStyle w:val="HHeadingfigures"/>
        <w:rPr>
          <w:highlight w:val="yellow"/>
        </w:rPr>
      </w:pPr>
      <w:bookmarkStart w:id="35" w:name="_Toc460936151"/>
      <w:bookmarkStart w:id="36" w:name="_Toc474937850"/>
      <w:r>
        <w:rPr>
          <w:highlight w:val="yellow"/>
        </w:rPr>
        <w:t>Обзор на процеса на оценка</w:t>
      </w:r>
      <w:bookmarkEnd w:id="35"/>
      <w:bookmarkEnd w:id="36"/>
    </w:p>
    <w:p w:rsidR="00143584" w:rsidRDefault="009A4382">
      <w:pPr>
        <w:pStyle w:val="HStandard"/>
        <w:jc w:val="center"/>
        <w:rPr>
          <w:rFonts w:cs="Arial"/>
          <w:highlight w:val="yellow"/>
        </w:rPr>
      </w:pPr>
      <w:r w:rsidRPr="00D64125">
        <w:rPr>
          <w:noProof/>
          <w:highlight w:val="yellow"/>
          <w:lang w:val="en-GB" w:eastAsia="en-GB" w:bidi="ar-SA"/>
        </w:rPr>
        <w:drawing>
          <wp:inline distT="0" distB="0" distL="0" distR="0" wp14:anchorId="273A1F4E" wp14:editId="7BCFB93E">
            <wp:extent cx="5759450" cy="19513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951314"/>
                    </a:xfrm>
                    <a:prstGeom prst="rect">
                      <a:avLst/>
                    </a:prstGeom>
                    <a:noFill/>
                    <a:ln>
                      <a:noFill/>
                    </a:ln>
                  </pic:spPr>
                </pic:pic>
              </a:graphicData>
            </a:graphic>
          </wp:inline>
        </w:drawing>
      </w:r>
    </w:p>
    <w:p w:rsidR="00143584" w:rsidRDefault="00D64125">
      <w:pPr>
        <w:pStyle w:val="HSource"/>
        <w:rPr>
          <w:rFonts w:cs="Arial"/>
          <w:highlight w:val="yellow"/>
        </w:rPr>
      </w:pPr>
      <w:r>
        <w:rPr>
          <w:highlight w:val="yellow"/>
        </w:rPr>
        <w:t>Източник: Европейско бюро за оценка в областта на развитието на селските райони, 2015 г.</w:t>
      </w:r>
    </w:p>
    <w:p w:rsidR="00143584" w:rsidRDefault="00D64125">
      <w:pPr>
        <w:pStyle w:val="HHeading2"/>
        <w:rPr>
          <w:rFonts w:cs="Arial"/>
          <w:highlight w:val="yellow"/>
        </w:rPr>
      </w:pPr>
      <w:bookmarkStart w:id="37" w:name="_Toc460936103"/>
      <w:bookmarkStart w:id="38" w:name="_Toc474938227"/>
      <w:r>
        <w:rPr>
          <w:highlight w:val="yellow"/>
        </w:rPr>
        <w:t>Осигуряване на качеството и контрол на качеството в процеса на оценка</w:t>
      </w:r>
      <w:bookmarkEnd w:id="37"/>
      <w:bookmarkEnd w:id="38"/>
    </w:p>
    <w:p w:rsidR="00143584" w:rsidRDefault="00D64125">
      <w:pPr>
        <w:pStyle w:val="HStandard"/>
        <w:rPr>
          <w:rFonts w:cs="Arial"/>
          <w:highlight w:val="yellow"/>
        </w:rPr>
      </w:pPr>
      <w:r>
        <w:rPr>
          <w:highlight w:val="yellow"/>
        </w:rPr>
        <w:t xml:space="preserve">Силно се препоръчва в процеса на оценка да бъдат вградени компоненти за осигуряване на качеството и за контрол на качеството. </w:t>
      </w:r>
      <w:r>
        <w:rPr>
          <w:b/>
          <w:highlight w:val="yellow"/>
        </w:rPr>
        <w:t xml:space="preserve">Осигуряването на качество </w:t>
      </w:r>
      <w:r>
        <w:rPr>
          <w:highlight w:val="yellow"/>
        </w:rPr>
        <w:t xml:space="preserve">е съсредоточено върху процеса и представлява проактивен начин за недопускане на резултати с ниско качество. Осигуряването на качеството включва елементи като наблюдение, разработване на стандарти за качество и непрекъснато подобряване. </w:t>
      </w:r>
      <w:r>
        <w:rPr>
          <w:b/>
          <w:highlight w:val="yellow"/>
        </w:rPr>
        <w:t>Контролът на качеството</w:t>
      </w:r>
      <w:r>
        <w:rPr>
          <w:highlight w:val="yellow"/>
        </w:rPr>
        <w:t xml:space="preserve">, от друга страна, е ориентиран към продукта и гарантира, че полученият резултат отговаря на очакваното. Контрол на качеството обикновено се осъществява в края на процеса. </w:t>
      </w:r>
    </w:p>
    <w:p w:rsidR="00143584" w:rsidRDefault="00D64125">
      <w:pPr>
        <w:pStyle w:val="HStandard"/>
        <w:rPr>
          <w:rFonts w:cs="Arial"/>
          <w:highlight w:val="yellow"/>
        </w:rPr>
      </w:pPr>
      <w:r>
        <w:rPr>
          <w:b/>
          <w:highlight w:val="yellow"/>
        </w:rPr>
        <w:t>УО</w:t>
      </w:r>
      <w:r>
        <w:rPr>
          <w:highlight w:val="yellow"/>
        </w:rPr>
        <w:t xml:space="preserve"> носи </w:t>
      </w:r>
      <w:r>
        <w:rPr>
          <w:b/>
          <w:highlight w:val="yellow"/>
        </w:rPr>
        <w:t>цялостната отговорност за контрола на качеството</w:t>
      </w:r>
      <w:r>
        <w:rPr>
          <w:highlight w:val="yellow"/>
        </w:rPr>
        <w:t xml:space="preserve"> на оценките. УО използват различни средства за гарантиране на качеството, например съставяне на точни задания, подбор на квалифицирани оценители, сформиране на ръководни групи за оценка, поддържане </w:t>
      </w:r>
      <w:r>
        <w:rPr>
          <w:highlight w:val="yellow"/>
        </w:rPr>
        <w:lastRenderedPageBreak/>
        <w:t xml:space="preserve">на редовни контакти с доставчиците на данни, редовна комуникация с оценителите и налагане на висок стандарт при докладването във връзка с оценката и т.н. Способността на </w:t>
      </w:r>
      <w:r>
        <w:rPr>
          <w:b/>
          <w:highlight w:val="yellow"/>
        </w:rPr>
        <w:t>оценителя</w:t>
      </w:r>
      <w:r>
        <w:rPr>
          <w:highlight w:val="yellow"/>
        </w:rPr>
        <w:t xml:space="preserve"> да използва усъвършенствани методи за оценка и да попълва съществуващите пропуски в данните също оказва влияние върху качеството на оценката. </w:t>
      </w:r>
      <w:r>
        <w:rPr>
          <w:b/>
          <w:highlight w:val="yellow"/>
        </w:rPr>
        <w:t>Други страни</w:t>
      </w:r>
      <w:r>
        <w:rPr>
          <w:highlight w:val="yellow"/>
        </w:rPr>
        <w:t>, които може да допринесат за повишаване на качеството на оценката, са:</w:t>
      </w:r>
    </w:p>
    <w:p w:rsidR="00143584" w:rsidRDefault="00D64125">
      <w:pPr>
        <w:pStyle w:val="Hlistbullet"/>
        <w:rPr>
          <w:rFonts w:cs="Arial"/>
          <w:highlight w:val="yellow"/>
        </w:rPr>
      </w:pPr>
      <w:r>
        <w:rPr>
          <w:highlight w:val="yellow"/>
        </w:rPr>
        <w:t>ръководните групи (ако такива са сформирани) може да гарантират както професионалния капацитет на оценителите, така и качеството на докладите за оценка,</w:t>
      </w:r>
    </w:p>
    <w:p w:rsidR="00143584" w:rsidRDefault="00D64125">
      <w:pPr>
        <w:pStyle w:val="Hlistbullet"/>
        <w:rPr>
          <w:rFonts w:cs="Arial"/>
          <w:highlight w:val="yellow"/>
        </w:rPr>
      </w:pPr>
      <w:r>
        <w:rPr>
          <w:highlight w:val="yellow"/>
        </w:rPr>
        <w:t>разплащателните агенции може да оказват съдействие, като предоставят по-висококачествени данни за оценките,</w:t>
      </w:r>
    </w:p>
    <w:p w:rsidR="00143584" w:rsidRDefault="00D64125">
      <w:pPr>
        <w:pStyle w:val="Hlistbullet"/>
        <w:rPr>
          <w:rFonts w:cs="Arial"/>
          <w:highlight w:val="yellow"/>
        </w:rPr>
      </w:pPr>
      <w:r>
        <w:rPr>
          <w:highlight w:val="yellow"/>
        </w:rPr>
        <w:t xml:space="preserve">бенефициерите по програмите, техните асоциации и обществеността (данъкоплатците), които проявяват интерес към основаните на доказателства препоръки и високото качество на оценката.   </w:t>
      </w:r>
    </w:p>
    <w:p w:rsidR="00143584" w:rsidRDefault="00D64125">
      <w:pPr>
        <w:pStyle w:val="HStandard"/>
        <w:rPr>
          <w:rFonts w:cs="Arial"/>
          <w:highlight w:val="yellow"/>
        </w:rPr>
      </w:pPr>
      <w:r>
        <w:rPr>
          <w:highlight w:val="yellow"/>
        </w:rPr>
        <w:t xml:space="preserve">Най-често използваните </w:t>
      </w:r>
      <w:r>
        <w:rPr>
          <w:b/>
          <w:highlight w:val="yellow"/>
        </w:rPr>
        <w:t>инструменти за осигуряване на качеството</w:t>
      </w:r>
      <w:r>
        <w:rPr>
          <w:highlight w:val="yellow"/>
        </w:rPr>
        <w:t xml:space="preserve"> в процеса на оценка са контролни списъци, описи на съдържанието и общи и подробни карти на процесите. Възможно е тези инструменти да се разработят поотделно, но за УО и другите заинтересовани страни, които са ангажирани с оценката (например членовете на ръководната група за оценка), може да е от полза да разработят изчерпателен </w:t>
      </w:r>
      <w:r>
        <w:rPr>
          <w:b/>
          <w:highlight w:val="yellow"/>
        </w:rPr>
        <w:t>наръчник за осигуряване на качеството на оценката</w:t>
      </w:r>
      <w:r>
        <w:rPr>
          <w:highlight w:val="yellow"/>
        </w:rPr>
        <w:t xml:space="preserve"> с подробни карти на процесите (представящи последователно задачите и отговорностите на основните заинтересовани страни, които трябва да се спазват на всеки етап) и контролни списъци за всеки етап. Изчерпателният наръчник за осигуряване на качеството на оценката може да се използва също така като ръководство за изграждане на капацитет. От съществено значение е поддържането на институционална памет във връзка с оценката.  </w:t>
      </w:r>
    </w:p>
    <w:p w:rsidR="00143584" w:rsidRDefault="00D64125">
      <w:pPr>
        <w:pStyle w:val="HHeading5"/>
        <w:rPr>
          <w:rFonts w:cs="Arial"/>
          <w:highlight w:val="yellow"/>
        </w:rPr>
      </w:pPr>
      <w:r>
        <w:rPr>
          <w:highlight w:val="yellow"/>
        </w:rPr>
        <w:t>Осигуряване на качеството при планиране на оценката</w:t>
      </w:r>
    </w:p>
    <w:p w:rsidR="00143584" w:rsidRDefault="00D64125">
      <w:pPr>
        <w:pStyle w:val="HStandard"/>
        <w:rPr>
          <w:rFonts w:cs="Arial"/>
          <w:highlight w:val="yellow"/>
        </w:rPr>
      </w:pPr>
      <w:r>
        <w:rPr>
          <w:highlight w:val="yellow"/>
        </w:rPr>
        <w:t xml:space="preserve">След като бъдат очертани цялостният процес и графикът за оценката, трябва да се проучат потребностите за целите на оценката. Обикновено се съставя </w:t>
      </w:r>
      <w:r>
        <w:rPr>
          <w:b/>
          <w:highlight w:val="yellow"/>
        </w:rPr>
        <w:t>обяснителна бележка</w:t>
      </w:r>
      <w:r>
        <w:rPr>
          <w:highlight w:val="yellow"/>
        </w:rPr>
        <w:t xml:space="preserve">, за да се прецизира фокусът в планирането на процеса на оценка и да се извърши подготовката за заданието. Най-често описът на съдържанието на обяснителната бележка включва: тема, период на осъществяване, обхват и ключови области с поставен акцент, както и функции на заинтересованите страни. </w:t>
      </w:r>
    </w:p>
    <w:p w:rsidR="00143584" w:rsidRDefault="00D64125">
      <w:pPr>
        <w:pStyle w:val="HStandard"/>
        <w:rPr>
          <w:rFonts w:cs="Arial"/>
          <w:highlight w:val="yellow"/>
        </w:rPr>
      </w:pPr>
      <w:r>
        <w:rPr>
          <w:highlight w:val="yellow"/>
        </w:rPr>
        <w:t>На етапа на планирането трябва да бъдат изготвени</w:t>
      </w:r>
      <w:r>
        <w:rPr>
          <w:b/>
          <w:highlight w:val="yellow"/>
        </w:rPr>
        <w:t xml:space="preserve"> планове за комуникация и изграждане на капацитет</w:t>
      </w:r>
      <w:r>
        <w:rPr>
          <w:highlight w:val="yellow"/>
        </w:rPr>
        <w:t xml:space="preserve"> за оценката, за да се увеличи до максимум качеството на оценката и използването на резултатите от оценката. Може да се използва опис на съдържанието или контролен списък, за да се осигури включването на основните заинтересовани страни, използването на правилни комуникационни канали и инструменти, определянето на отговорностите във връзка с комуникацията и оптималният ѝ график. </w:t>
      </w:r>
    </w:p>
    <w:p w:rsidR="00143584" w:rsidRDefault="00D64125">
      <w:pPr>
        <w:pStyle w:val="HHeading5"/>
        <w:rPr>
          <w:rFonts w:cs="Arial"/>
          <w:highlight w:val="yellow"/>
        </w:rPr>
      </w:pPr>
      <w:r>
        <w:rPr>
          <w:highlight w:val="yellow"/>
        </w:rPr>
        <w:t>Осигуряване на качеството при подготовката на оценката</w:t>
      </w:r>
    </w:p>
    <w:p w:rsidR="00143584" w:rsidRDefault="00D64125">
      <w:pPr>
        <w:pStyle w:val="HStandard"/>
        <w:rPr>
          <w:rFonts w:cs="Arial"/>
          <w:highlight w:val="yellow"/>
        </w:rPr>
      </w:pPr>
      <w:r>
        <w:rPr>
          <w:highlight w:val="yellow"/>
        </w:rPr>
        <w:t xml:space="preserve">Най-важните въпроси са постигането на високо качество на интервенционната логика, въпросите за оценка, показателите, подхода към оценката, прегледа на информацията и данните, фокуса на оценката, пропуските в данните и степента, в която темата може да бъде оценена. Тези въпроси оказват влияние върху изготвянето на </w:t>
      </w:r>
      <w:r>
        <w:rPr>
          <w:b/>
          <w:highlight w:val="yellow"/>
        </w:rPr>
        <w:t>заданието</w:t>
      </w:r>
      <w:r>
        <w:rPr>
          <w:highlight w:val="yellow"/>
        </w:rPr>
        <w:t xml:space="preserve"> и договора, който се сключва с оценителя. Систематичен и критичен преглед на предложените въпроси за оценка може да се направи с помощта на контролен списък, съдържащ насочващи въпроси като „Обхващат ли ВО всички цели и потребности във връзка с оценката? Ясно ли са формулирани въпросите? Може ли на тези ВО да се даде отговор въз основа на данните, които са налични или може да бъдат събрани?“.</w:t>
      </w:r>
    </w:p>
    <w:p w:rsidR="00143584" w:rsidRDefault="00D64125">
      <w:pPr>
        <w:pStyle w:val="HStandard"/>
        <w:rPr>
          <w:rFonts w:cs="Arial"/>
          <w:highlight w:val="yellow"/>
        </w:rPr>
      </w:pPr>
      <w:r>
        <w:rPr>
          <w:highlight w:val="yellow"/>
        </w:rPr>
        <w:lastRenderedPageBreak/>
        <w:t xml:space="preserve">Важно е, когато се изготвя заданието, в него да се включи </w:t>
      </w:r>
      <w:r>
        <w:rPr>
          <w:b/>
          <w:highlight w:val="yellow"/>
        </w:rPr>
        <w:t>таблица за оценка на качеството</w:t>
      </w:r>
      <w:r>
        <w:rPr>
          <w:highlight w:val="yellow"/>
        </w:rPr>
        <w:t xml:space="preserve">, въз основа на която ще се преценява качеството на окончателния доклад. Контролният списък може да включва също така критерии за качество, свързани със съдържанието (точност, уместност, релевантност и яснота), както и оценяването на предложения процес и график за оценка (вж. част III, приложение 5: Контролен списък за оценяване на качеството на доклада за оценка). </w:t>
      </w:r>
    </w:p>
    <w:p w:rsidR="00143584" w:rsidRDefault="00D64125">
      <w:pPr>
        <w:pStyle w:val="HHeading5"/>
        <w:rPr>
          <w:rFonts w:cs="Arial"/>
          <w:highlight w:val="yellow"/>
        </w:rPr>
      </w:pPr>
      <w:r>
        <w:rPr>
          <w:highlight w:val="yellow"/>
        </w:rPr>
        <w:t>Осигуряване на качеството при структурирането и извършването на оценката</w:t>
      </w:r>
    </w:p>
    <w:p w:rsidR="00143584" w:rsidRDefault="00D64125">
      <w:pPr>
        <w:pStyle w:val="HStandard"/>
        <w:rPr>
          <w:rFonts w:cs="Arial"/>
          <w:highlight w:val="yellow"/>
        </w:rPr>
      </w:pPr>
      <w:r>
        <w:rPr>
          <w:highlight w:val="yellow"/>
        </w:rPr>
        <w:t xml:space="preserve">Процесът на осигуряване на качеството започва с извършването на оценката. Като отправна точка се използва заданието.  </w:t>
      </w:r>
    </w:p>
    <w:p w:rsidR="00143584" w:rsidRDefault="00D64125">
      <w:pPr>
        <w:pStyle w:val="HStandard"/>
        <w:rPr>
          <w:rFonts w:cs="Arial"/>
          <w:highlight w:val="yellow"/>
        </w:rPr>
      </w:pPr>
      <w:r>
        <w:rPr>
          <w:highlight w:val="yellow"/>
        </w:rPr>
        <w:t xml:space="preserve">Препоръчва се да се разработят </w:t>
      </w:r>
      <w:r>
        <w:rPr>
          <w:b/>
          <w:highlight w:val="yellow"/>
        </w:rPr>
        <w:t>стандарти за качество</w:t>
      </w:r>
      <w:r>
        <w:rPr>
          <w:highlight w:val="yellow"/>
        </w:rPr>
        <w:t xml:space="preserve"> за първоначалния доклад (включително критерии за съдържанието, като например методически подходи и методи за събиране на данни, както и критерии за оперативния план и процеса на оценка). Първоначалният доклад може да съдържа също така раздел относно осигуряването на качеството, който се изготвя от оценителя. Наред с това за клиента е също толкова важно да се гарантира наличието на вътрешни и външни процеси, осигуряващи навременното предоставяне на материали на оценителя.</w:t>
      </w:r>
    </w:p>
    <w:p w:rsidR="00143584" w:rsidRDefault="00D64125">
      <w:pPr>
        <w:pStyle w:val="HStandard"/>
        <w:rPr>
          <w:rFonts w:cs="Arial"/>
          <w:highlight w:val="yellow"/>
        </w:rPr>
      </w:pPr>
      <w:r>
        <w:rPr>
          <w:highlight w:val="yellow"/>
        </w:rPr>
        <w:t xml:space="preserve">Клиентът и/или ръководната група може да разработи и използва контролни списъци за проверка на съдържанието и качеството на доклада за напредъка и на проекта на окончателния доклад. Тези инструменти може да спомогнат за повишаването на качеството и фокуса на окончателния доклад, както и за предоставянето на систематична и конструктивна обратна информация на оценителя. </w:t>
      </w:r>
    </w:p>
    <w:p w:rsidR="00143584" w:rsidRDefault="00D64125">
      <w:pPr>
        <w:pStyle w:val="HStandard"/>
        <w:rPr>
          <w:rFonts w:cs="Arial"/>
          <w:highlight w:val="yellow"/>
        </w:rPr>
      </w:pPr>
      <w:r>
        <w:rPr>
          <w:highlight w:val="yellow"/>
        </w:rPr>
        <w:t>Окончателният доклад подлежи на оценка на качеството, като за предпочитане се използва таблицата за оценяване на качеството, включена в заданието</w:t>
      </w:r>
      <w:r>
        <w:rPr>
          <w:rStyle w:val="FootnoteReference"/>
          <w:highlight w:val="yellow"/>
        </w:rPr>
        <w:footnoteReference w:id="19"/>
      </w:r>
      <w:r>
        <w:rPr>
          <w:highlight w:val="yellow"/>
        </w:rPr>
        <w:t xml:space="preserve">. </w:t>
      </w:r>
    </w:p>
    <w:p w:rsidR="00143584" w:rsidRDefault="00D64125">
      <w:pPr>
        <w:pStyle w:val="HHeading5"/>
        <w:rPr>
          <w:rFonts w:cs="Arial"/>
          <w:highlight w:val="yellow"/>
        </w:rPr>
      </w:pPr>
      <w:r>
        <w:rPr>
          <w:highlight w:val="yellow"/>
        </w:rPr>
        <w:t xml:space="preserve">Осигуряване на качеството при разпространението на констатациите от оценката </w:t>
      </w:r>
    </w:p>
    <w:p w:rsidR="00143584" w:rsidRDefault="00D64125">
      <w:pPr>
        <w:pStyle w:val="HStandard"/>
        <w:rPr>
          <w:rFonts w:cs="Arial"/>
          <w:highlight w:val="yellow"/>
        </w:rPr>
      </w:pPr>
      <w:r>
        <w:rPr>
          <w:highlight w:val="yellow"/>
        </w:rPr>
        <w:t xml:space="preserve">УО трябва да състави план, график и </w:t>
      </w:r>
      <w:r>
        <w:rPr>
          <w:b/>
          <w:highlight w:val="yellow"/>
        </w:rPr>
        <w:t xml:space="preserve">контролен списък за разпространение и последващи действия във връзка с препоръките </w:t>
      </w:r>
      <w:r>
        <w:rPr>
          <w:highlight w:val="yellow"/>
        </w:rPr>
        <w:t xml:space="preserve">в оценката. Редовно трябва да се прави оценка на изпълнението на този план. Добра практика е УО и оценителите да си предоставят взаимно обратна информация в края на оценката. Ако желае, в края на процеса УО може да оцени и качеството на комуникацията във връзка с оценката. </w:t>
      </w:r>
    </w:p>
    <w:p w:rsidR="00143584" w:rsidRDefault="00D64125">
      <w:pPr>
        <w:pStyle w:val="HHeading5"/>
        <w:rPr>
          <w:rFonts w:cs="Arial"/>
          <w:highlight w:val="yellow"/>
        </w:rPr>
      </w:pPr>
      <w:r>
        <w:rPr>
          <w:highlight w:val="yellow"/>
        </w:rPr>
        <w:t>Допълнителни материали</w:t>
      </w:r>
    </w:p>
    <w:p w:rsidR="00143584" w:rsidRDefault="00D64125">
      <w:pPr>
        <w:pStyle w:val="HBox"/>
        <w:jc w:val="left"/>
        <w:rPr>
          <w:rFonts w:cs="Arial"/>
          <w:highlight w:val="yellow"/>
        </w:rPr>
      </w:pPr>
      <w:r>
        <w:rPr>
          <w:highlight w:val="yellow"/>
        </w:rPr>
        <w:t xml:space="preserve">Насоки: Изготвяне и изпълнение на плана за оценка на ПРСР за периода 2014—2020 г., глава 5.3, Бюро за оценка за периода 2014—2020 г., Брюксел, 2015 г., </w:t>
      </w:r>
      <w:r>
        <w:rPr>
          <w:rStyle w:val="Hyperlink"/>
          <w:highlight w:val="yellow"/>
          <w:lang w:val="en-GB"/>
        </w:rPr>
        <w:t>http</w:t>
      </w:r>
      <w:r>
        <w:rPr>
          <w:rStyle w:val="Hyperlink"/>
          <w:highlight w:val="yellow"/>
        </w:rPr>
        <w:t>://</w:t>
      </w:r>
      <w:hyperlink r:id="rId32" w:history="1">
        <w:r>
          <w:rPr>
            <w:rStyle w:val="Hyperlink"/>
            <w:highlight w:val="yellow"/>
            <w:lang w:val="en-GB"/>
          </w:rPr>
          <w:t>enrd</w:t>
        </w:r>
      </w:hyperlink>
      <w:r>
        <w:rPr>
          <w:rStyle w:val="Hyperlink"/>
          <w:highlight w:val="yellow"/>
        </w:rPr>
        <w:t>.</w:t>
      </w:r>
      <w:r>
        <w:rPr>
          <w:rStyle w:val="Hyperlink"/>
          <w:highlight w:val="yellow"/>
          <w:lang w:val="en-GB"/>
        </w:rPr>
        <w:t>ec</w:t>
      </w:r>
      <w:r>
        <w:rPr>
          <w:rStyle w:val="Hyperlink"/>
          <w:highlight w:val="yellow"/>
        </w:rPr>
        <w:t>.</w:t>
      </w:r>
      <w:r>
        <w:rPr>
          <w:rStyle w:val="Hyperlink"/>
          <w:highlight w:val="yellow"/>
          <w:lang w:val="en-GB"/>
        </w:rPr>
        <w:t>europa</w:t>
      </w:r>
      <w:r>
        <w:rPr>
          <w:rStyle w:val="Hyperlink"/>
          <w:highlight w:val="yellow"/>
        </w:rPr>
        <w:t>.</w:t>
      </w:r>
      <w:r>
        <w:rPr>
          <w:rStyle w:val="Hyperlink"/>
          <w:highlight w:val="yellow"/>
          <w:lang w:val="en-GB"/>
        </w:rPr>
        <w:t>eu</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publications</w:t>
      </w:r>
      <w:r>
        <w:rPr>
          <w:rStyle w:val="Hyperlink"/>
          <w:highlight w:val="yellow"/>
        </w:rPr>
        <w:t>/</w:t>
      </w:r>
      <w:r>
        <w:rPr>
          <w:rStyle w:val="Hyperlink"/>
          <w:highlight w:val="yellow"/>
          <w:lang w:val="en-GB"/>
        </w:rPr>
        <w:t>e</w:t>
      </w:r>
      <w:r>
        <w:rPr>
          <w:rStyle w:val="Hyperlink"/>
          <w:highlight w:val="yellow"/>
        </w:rPr>
        <w:t>-</w:t>
      </w:r>
      <w:r>
        <w:rPr>
          <w:rStyle w:val="Hyperlink"/>
          <w:highlight w:val="yellow"/>
          <w:lang w:val="en-GB"/>
        </w:rPr>
        <w:t>library</w:t>
      </w:r>
      <w:r>
        <w:rPr>
          <w:rStyle w:val="Hyperlink"/>
          <w:highlight w:val="yellow"/>
        </w:rPr>
        <w:t>_</w:t>
      </w:r>
      <w:r>
        <w:rPr>
          <w:rStyle w:val="Hyperlink"/>
          <w:highlight w:val="yellow"/>
          <w:lang w:val="en-GB"/>
        </w:rPr>
        <w:t>en</w:t>
      </w:r>
    </w:p>
    <w:p w:rsidR="00143584" w:rsidRDefault="00D64125">
      <w:pPr>
        <w:pStyle w:val="HBox"/>
        <w:rPr>
          <w:rStyle w:val="Hyperlink"/>
          <w:highlight w:val="yellow"/>
        </w:rPr>
      </w:pPr>
      <w:r>
        <w:rPr>
          <w:highlight w:val="yellow"/>
        </w:rPr>
        <w:t xml:space="preserve">Успешна реализация на вашата ПРСР: Насоки за последваща оценка на ПРСР за периода 2007—2013 г., част I, глава 1.2 и част III, приложение 4, Бюро за оценка за периода 2007—2013 г., Брюксел, 2015 г., </w:t>
      </w:r>
      <w:r>
        <w:rPr>
          <w:rStyle w:val="Hyperlink"/>
          <w:highlight w:val="yellow"/>
        </w:rPr>
        <w:t>http://enrd.ec.europa.eu/enrd-static/evaluation/library/evaluation-helpdesk-publications/en/evaluation-helpdesk-publications_en.html</w:t>
      </w:r>
    </w:p>
    <w:p w:rsidR="00143584" w:rsidRDefault="00D64125">
      <w:pPr>
        <w:pStyle w:val="HHeading1"/>
        <w:rPr>
          <w:rFonts w:cs="Arial"/>
          <w:highlight w:val="yellow"/>
        </w:rPr>
      </w:pPr>
      <w:bookmarkStart w:id="39" w:name="_Toc460936104"/>
      <w:bookmarkStart w:id="40" w:name="_Toc474938228"/>
      <w:r>
        <w:rPr>
          <w:highlight w:val="yellow"/>
        </w:rPr>
        <w:lastRenderedPageBreak/>
        <w:t>Разпространение, комуникация и пОСЛЕДВАЩИ ДЕЙСТВИЯ ВЪВ ВРЪЗКА С резултатите от оценката</w:t>
      </w:r>
      <w:bookmarkEnd w:id="39"/>
      <w:bookmarkEnd w:id="40"/>
    </w:p>
    <w:p w:rsidR="00143584" w:rsidRDefault="00D64125">
      <w:pPr>
        <w:pStyle w:val="HHeading2"/>
        <w:rPr>
          <w:highlight w:val="yellow"/>
        </w:rPr>
      </w:pPr>
      <w:bookmarkStart w:id="41" w:name="_Toc460936105"/>
      <w:bookmarkStart w:id="42" w:name="_Toc474938229"/>
      <w:r>
        <w:rPr>
          <w:highlight w:val="yellow"/>
        </w:rPr>
        <w:t>Разпространение и комуникация във връзка с оценката през 2017 г.</w:t>
      </w:r>
      <w:bookmarkEnd w:id="41"/>
      <w:bookmarkEnd w:id="42"/>
    </w:p>
    <w:p w:rsidR="00143584" w:rsidRDefault="00D64125">
      <w:pPr>
        <w:pStyle w:val="HStandard"/>
        <w:rPr>
          <w:rFonts w:cs="Arial"/>
          <w:highlight w:val="yellow"/>
        </w:rPr>
      </w:pPr>
      <w:r>
        <w:rPr>
          <w:highlight w:val="yellow"/>
        </w:rPr>
        <w:t xml:space="preserve">Значението на дадена оценка зависи от нейното разпространение, от комуникацията във връзка с нея и, накрая, от използването на констатациите в нея с цел подобряване на политиката. </w:t>
      </w:r>
    </w:p>
    <w:p w:rsidR="00143584" w:rsidRDefault="00D64125">
      <w:pPr>
        <w:pStyle w:val="HStandard"/>
        <w:rPr>
          <w:rFonts w:cs="Arial"/>
          <w:highlight w:val="yellow"/>
        </w:rPr>
      </w:pPr>
      <w:r>
        <w:rPr>
          <w:highlight w:val="yellow"/>
        </w:rPr>
        <w:t xml:space="preserve">Що се отнася до разпространението, изключително важно е докладването във връзка с оценката в ГДИ за 2017 г. да бъде публично оповестено, например на уебсайта на УО. Освен това, за да се повиши прозрачността, докладите за оценка трябва да бъдат разпространявани сред участниците в процеса на оценка и всички съответни заинтересовани страни. Препоръчва се практиката на изготвяне на </w:t>
      </w:r>
      <w:r>
        <w:rPr>
          <w:b/>
          <w:highlight w:val="yellow"/>
        </w:rPr>
        <w:t xml:space="preserve">резюме за гражданите, </w:t>
      </w:r>
      <w:r>
        <w:rPr>
          <w:highlight w:val="yellow"/>
        </w:rPr>
        <w:t>включващо основните констатации от оценките. Може да е от полза също така резюмето за гражданите да се преведе на английски език.</w:t>
      </w:r>
    </w:p>
    <w:p w:rsidR="00143584" w:rsidRDefault="00D64125">
      <w:pPr>
        <w:pStyle w:val="HStandard"/>
        <w:rPr>
          <w:rFonts w:cs="Arial"/>
          <w:highlight w:val="yellow"/>
        </w:rPr>
      </w:pPr>
      <w:r>
        <w:rPr>
          <w:highlight w:val="yellow"/>
        </w:rPr>
        <w:t xml:space="preserve">Комуникация е налице по време на целия процес на оценка, но най-важните дейности във връзка с комуникацията са накрая, след приключването на работата по резултатите и препоръките. Комуникационните дейности трябва да следват </w:t>
      </w:r>
      <w:r>
        <w:rPr>
          <w:b/>
          <w:highlight w:val="yellow"/>
        </w:rPr>
        <w:t>плана за комуникация във връзка с оценката</w:t>
      </w:r>
      <w:r>
        <w:rPr>
          <w:highlight w:val="yellow"/>
        </w:rPr>
        <w:t>, разработен в началото на процеса на оценка. Комуникацията трябва да бъде съсредоточена най-вече върху резултатите и постиженията на ПРСР. В случай на ниска степен на усвояване на мерките, може да се представят резултати от други проучвания, свързани с ПРСР (например за ефективността на използването на водата).</w:t>
      </w:r>
    </w:p>
    <w:p w:rsidR="00143584" w:rsidRDefault="00D64125">
      <w:pPr>
        <w:pStyle w:val="HStandard"/>
        <w:rPr>
          <w:rFonts w:cs="Arial"/>
          <w:highlight w:val="yellow"/>
        </w:rPr>
      </w:pPr>
      <w:r>
        <w:rPr>
          <w:highlight w:val="yellow"/>
        </w:rPr>
        <w:t xml:space="preserve">Планът за комуникация във връзка с оценката се наблюдава и оценява, за да се провери неговата ефективност и ефикасност при предаване на основните послания към целевата аудитория. </w:t>
      </w:r>
    </w:p>
    <w:p w:rsidR="00143584" w:rsidRDefault="00D64125">
      <w:pPr>
        <w:pStyle w:val="HHeading2"/>
        <w:rPr>
          <w:highlight w:val="yellow"/>
        </w:rPr>
      </w:pPr>
      <w:bookmarkStart w:id="43" w:name="_Toc460936106"/>
      <w:bookmarkStart w:id="44" w:name="_Toc474938230"/>
      <w:r>
        <w:rPr>
          <w:highlight w:val="yellow"/>
        </w:rPr>
        <w:t>Последващи действия във връзка с констатациите от оценката</w:t>
      </w:r>
      <w:bookmarkEnd w:id="43"/>
      <w:bookmarkEnd w:id="44"/>
    </w:p>
    <w:p w:rsidR="00143584" w:rsidRDefault="00D64125">
      <w:pPr>
        <w:pStyle w:val="HStandard"/>
        <w:rPr>
          <w:rFonts w:cs="Arial"/>
          <w:highlight w:val="yellow"/>
        </w:rPr>
      </w:pPr>
      <w:r>
        <w:rPr>
          <w:highlight w:val="yellow"/>
        </w:rPr>
        <w:t>Като част от управлението на програмите на ЕС, оценката представлява стратегически инструмент за управление. Когато се използват ефективно, последващите действия във връзка с констатациите от оценката водят до:</w:t>
      </w:r>
    </w:p>
    <w:p w:rsidR="00143584" w:rsidRDefault="00D64125">
      <w:pPr>
        <w:pStyle w:val="Hlistbullet"/>
        <w:rPr>
          <w:rFonts w:cs="Arial"/>
          <w:highlight w:val="yellow"/>
        </w:rPr>
      </w:pPr>
      <w:r>
        <w:rPr>
          <w:highlight w:val="yellow"/>
        </w:rPr>
        <w:t xml:space="preserve">подобряване на планирането и изпълнението на програмите, </w:t>
      </w:r>
    </w:p>
    <w:p w:rsidR="00143584" w:rsidRDefault="00D64125">
      <w:pPr>
        <w:pStyle w:val="Hlistbullet"/>
        <w:rPr>
          <w:rFonts w:cs="Arial"/>
          <w:highlight w:val="yellow"/>
        </w:rPr>
      </w:pPr>
      <w:r>
        <w:rPr>
          <w:highlight w:val="yellow"/>
        </w:rPr>
        <w:t>по-добри и по-голям брой резултати и въздействия от програмите,</w:t>
      </w:r>
    </w:p>
    <w:p w:rsidR="00143584" w:rsidRDefault="00D64125">
      <w:pPr>
        <w:pStyle w:val="Hlistbullet"/>
        <w:rPr>
          <w:rFonts w:cs="Arial"/>
          <w:highlight w:val="yellow"/>
        </w:rPr>
      </w:pPr>
      <w:r>
        <w:rPr>
          <w:highlight w:val="yellow"/>
        </w:rPr>
        <w:t>засилено използване на оценките,</w:t>
      </w:r>
    </w:p>
    <w:p w:rsidR="00143584" w:rsidRDefault="00D64125">
      <w:pPr>
        <w:pStyle w:val="Hlistbullet"/>
        <w:rPr>
          <w:rFonts w:cs="Arial"/>
          <w:highlight w:val="yellow"/>
        </w:rPr>
      </w:pPr>
      <w:r>
        <w:rPr>
          <w:highlight w:val="yellow"/>
        </w:rPr>
        <w:t>стимулиране на култура на оценка, основана на организационно обучение и повишаване на отговорността за резултатите,</w:t>
      </w:r>
    </w:p>
    <w:p w:rsidR="00143584" w:rsidRDefault="00D64125">
      <w:pPr>
        <w:pStyle w:val="Hlistbullet"/>
        <w:rPr>
          <w:rFonts w:cs="Arial"/>
          <w:highlight w:val="yellow"/>
        </w:rPr>
      </w:pPr>
      <w:r>
        <w:rPr>
          <w:highlight w:val="yellow"/>
        </w:rPr>
        <w:t>улесняване на дискусията относно оценката на програмата,</w:t>
      </w:r>
    </w:p>
    <w:p w:rsidR="00143584" w:rsidRDefault="00D64125">
      <w:pPr>
        <w:pStyle w:val="Hlistbullet"/>
        <w:rPr>
          <w:rFonts w:cs="Arial"/>
          <w:highlight w:val="yellow"/>
        </w:rPr>
      </w:pPr>
      <w:r>
        <w:rPr>
          <w:highlight w:val="yellow"/>
        </w:rPr>
        <w:t>мотивиране на заинтересованите страни и програмните ръководители активно да подкрепят и участват в подобряването на изпълнението на ПРСР, както и</w:t>
      </w:r>
    </w:p>
    <w:p w:rsidR="00143584" w:rsidRDefault="00D64125">
      <w:pPr>
        <w:pStyle w:val="Hlistbullet"/>
        <w:rPr>
          <w:highlight w:val="yellow"/>
        </w:rPr>
      </w:pPr>
      <w:r>
        <w:rPr>
          <w:highlight w:val="yellow"/>
        </w:rPr>
        <w:t>подобряване на публичните политики.</w:t>
      </w:r>
    </w:p>
    <w:p w:rsidR="00143584" w:rsidRDefault="00D64125">
      <w:pPr>
        <w:pStyle w:val="HStandard"/>
        <w:rPr>
          <w:rFonts w:cs="Arial"/>
          <w:highlight w:val="yellow"/>
        </w:rPr>
      </w:pPr>
      <w:r>
        <w:rPr>
          <w:highlight w:val="yellow"/>
        </w:rPr>
        <w:t xml:space="preserve">Ако оценката изпълнява тази роля, всички участващи заинтересовани страни, и по-специално управляващите органи и лицата, отговорни за изработването на политиката, трябва да обръщат сериозно внимание на констатациите и препоръките в нея. </w:t>
      </w:r>
    </w:p>
    <w:p w:rsidR="00143584" w:rsidRDefault="00D64125">
      <w:pPr>
        <w:pStyle w:val="H-Heading4"/>
        <w:rPr>
          <w:highlight w:val="yellow"/>
        </w:rPr>
      </w:pPr>
      <w:r>
        <w:rPr>
          <w:highlight w:val="yellow"/>
        </w:rPr>
        <w:lastRenderedPageBreak/>
        <w:t>Допълнителни материали</w:t>
      </w:r>
    </w:p>
    <w:p w:rsidR="00143584" w:rsidRDefault="00D64125">
      <w:pPr>
        <w:pStyle w:val="HBox"/>
        <w:rPr>
          <w:rFonts w:cs="Arial"/>
          <w:highlight w:val="yellow"/>
        </w:rPr>
      </w:pPr>
      <w:r>
        <w:rPr>
          <w:highlight w:val="yellow"/>
        </w:rPr>
        <w:t xml:space="preserve">Насоки: Изготвяне и изпълнение на плана за оценка на ПРСР за периода 2014—2020 г., глава 3.6, Бюро за оценка за периода 2014—2020 г., Брюксел, 2015 г., </w:t>
      </w:r>
      <w:hyperlink r:id="rId33" w:history="1">
        <w:r>
          <w:rPr>
            <w:rStyle w:val="Hyperlink"/>
            <w:highlight w:val="yellow"/>
            <w:lang w:val="en-GB"/>
          </w:rPr>
          <w:t>http</w:t>
        </w:r>
        <w:r>
          <w:rPr>
            <w:rStyle w:val="Hyperlink"/>
            <w:highlight w:val="yellow"/>
          </w:rPr>
          <w:t>://</w:t>
        </w:r>
        <w:r>
          <w:rPr>
            <w:rStyle w:val="Hyperlink"/>
            <w:highlight w:val="yellow"/>
            <w:lang w:val="en-GB"/>
          </w:rPr>
          <w:t>enrd</w:t>
        </w:r>
        <w:r>
          <w:rPr>
            <w:rStyle w:val="Hyperlink"/>
            <w:highlight w:val="yellow"/>
          </w:rPr>
          <w:t>.</w:t>
        </w:r>
        <w:r>
          <w:rPr>
            <w:rStyle w:val="Hyperlink"/>
            <w:highlight w:val="yellow"/>
            <w:lang w:val="en-GB"/>
          </w:rPr>
          <w:t>ec</w:t>
        </w:r>
        <w:r>
          <w:rPr>
            <w:rStyle w:val="Hyperlink"/>
            <w:highlight w:val="yellow"/>
          </w:rPr>
          <w:t>.</w:t>
        </w:r>
        <w:r>
          <w:rPr>
            <w:rStyle w:val="Hyperlink"/>
            <w:highlight w:val="yellow"/>
            <w:lang w:val="en-GB"/>
          </w:rPr>
          <w:t>europa</w:t>
        </w:r>
        <w:r>
          <w:rPr>
            <w:rStyle w:val="Hyperlink"/>
            <w:highlight w:val="yellow"/>
          </w:rPr>
          <w:t>.</w:t>
        </w:r>
        <w:r>
          <w:rPr>
            <w:rStyle w:val="Hyperlink"/>
            <w:highlight w:val="yellow"/>
            <w:lang w:val="en-GB"/>
          </w:rPr>
          <w:t>eu</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publications</w:t>
        </w:r>
        <w:r>
          <w:rPr>
            <w:rStyle w:val="Hyperlink"/>
            <w:highlight w:val="yellow"/>
          </w:rPr>
          <w:t>/</w:t>
        </w:r>
        <w:r>
          <w:rPr>
            <w:rStyle w:val="Hyperlink"/>
            <w:highlight w:val="yellow"/>
            <w:lang w:val="en-GB"/>
          </w:rPr>
          <w:t>e</w:t>
        </w:r>
        <w:r>
          <w:rPr>
            <w:rStyle w:val="Hyperlink"/>
            <w:highlight w:val="yellow"/>
          </w:rPr>
          <w:t>-</w:t>
        </w:r>
        <w:r>
          <w:rPr>
            <w:rStyle w:val="Hyperlink"/>
            <w:highlight w:val="yellow"/>
            <w:lang w:val="en-GB"/>
          </w:rPr>
          <w:t>library</w:t>
        </w:r>
        <w:r>
          <w:rPr>
            <w:rStyle w:val="Hyperlink"/>
            <w:highlight w:val="yellow"/>
          </w:rPr>
          <w:t>_</w:t>
        </w:r>
        <w:r>
          <w:rPr>
            <w:rStyle w:val="Hyperlink"/>
            <w:highlight w:val="yellow"/>
            <w:lang w:val="en-GB"/>
          </w:rPr>
          <w:t>en</w:t>
        </w:r>
      </w:hyperlink>
    </w:p>
    <w:p w:rsidR="00143584" w:rsidRDefault="00143584">
      <w:pPr>
        <w:pStyle w:val="HBox"/>
        <w:rPr>
          <w:rFonts w:cs="Arial"/>
          <w:highlight w:val="yellow"/>
        </w:rPr>
      </w:pPr>
    </w:p>
    <w:p w:rsidR="00143584" w:rsidRDefault="00D64125">
      <w:pPr>
        <w:pStyle w:val="HBox"/>
        <w:rPr>
          <w:rFonts w:cs="Arial"/>
          <w:color w:val="546393" w:themeColor="accent3"/>
        </w:rPr>
      </w:pPr>
      <w:r>
        <w:rPr>
          <w:highlight w:val="yellow"/>
        </w:rPr>
        <w:t xml:space="preserve">Успешна реализация на вашата ПРСР: Насоки за последваща оценка на ПРСР за периода 2007—2013 г., глава 1.2.3, Бюро за оценка за периода 2007—2013 г., Брюксел, 2015 г., </w:t>
      </w:r>
      <w:r>
        <w:rPr>
          <w:rStyle w:val="Hyperlink"/>
          <w:highlight w:val="yellow"/>
        </w:rPr>
        <w:t>http://enrd.ec.europa.eu/enrd-static/evaluation/library/evaluation-helpdesk-publications/en/evaluation-helpdesk-publications_en.html</w:t>
      </w:r>
    </w:p>
    <w:p w:rsidR="00143584" w:rsidRDefault="00D64125">
      <w:pPr>
        <w:spacing w:before="0" w:after="0" w:line="240" w:lineRule="auto"/>
        <w:jc w:val="left"/>
        <w:rPr>
          <w:rFonts w:cs="Arial"/>
          <w:b/>
          <w:caps/>
          <w:noProof/>
          <w:color w:val="F07E31"/>
          <w:sz w:val="20"/>
          <w:szCs w:val="20"/>
        </w:rPr>
      </w:pPr>
      <w:bookmarkStart w:id="45" w:name="_Toc460936107"/>
      <w:r>
        <w:br w:type="page"/>
      </w:r>
    </w:p>
    <w:p w:rsidR="00143584" w:rsidRDefault="00D64125">
      <w:pPr>
        <w:pStyle w:val="HHeading9"/>
        <w:rPr>
          <w:rFonts w:cs="Arial"/>
        </w:rPr>
      </w:pPr>
      <w:bookmarkStart w:id="46" w:name="_Toc474938231"/>
      <w:r>
        <w:lastRenderedPageBreak/>
        <w:t>PART II SETTING UP THE SYSTEM TO ANSWER EVALUATION QUESTIONS AND ASSESSING RDP ACHIEVEMENTS</w:t>
      </w:r>
      <w:bookmarkEnd w:id="45"/>
      <w:bookmarkEnd w:id="46"/>
      <w:r>
        <w:t xml:space="preserve"> </w:t>
      </w:r>
    </w:p>
    <w:p w:rsidR="00143584" w:rsidRDefault="00D64125">
      <w:pPr>
        <w:pStyle w:val="HStandard"/>
        <w:rPr>
          <w:rFonts w:cs="Arial"/>
        </w:rPr>
      </w:pPr>
      <w: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Pr>
          <w:rStyle w:val="FootnoteReference"/>
        </w:rPr>
        <w:footnoteReference w:id="20"/>
      </w:r>
      <w:r>
        <w:t xml:space="preserve">. </w:t>
      </w:r>
    </w:p>
    <w:p w:rsidR="00143584" w:rsidRDefault="00D64125">
      <w:pPr>
        <w:pStyle w:val="HStandard"/>
        <w:rPr>
          <w:rFonts w:cs="Arial"/>
        </w:rPr>
      </w:pPr>
      <w:r>
        <w:rPr>
          <w:b/>
        </w:rPr>
        <w:t>The common evaluation questions</w:t>
      </w:r>
      <w:r>
        <w:t xml:space="preserve"> (CEQs)</w:t>
      </w:r>
      <w:r>
        <w:rPr>
          <w:rStyle w:val="FootnoteReference"/>
          <w:rFonts w:eastAsiaTheme="majorEastAsia"/>
        </w:rPr>
        <w:footnoteReference w:id="21"/>
      </w:r>
      <w: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143584" w:rsidRDefault="00D64125">
      <w:pPr>
        <w:pStyle w:val="HStandard"/>
        <w:rPr>
          <w:rFonts w:cs="Arial"/>
        </w:rPr>
      </w:pPr>
      <w:r>
        <w:rPr>
          <w:b/>
        </w:rPr>
        <w:t>Programme-specific evaluation questions</w:t>
      </w:r>
      <w:r>
        <w:t xml:space="preserve"> (PSEQs) may be developed by Member States to capture programme-specific achievements towards RDP policy objectives, results and impacts. </w:t>
      </w:r>
    </w:p>
    <w:p w:rsidR="00143584" w:rsidRDefault="00D64125">
      <w:pPr>
        <w:pStyle w:val="HHeading5"/>
      </w:pPr>
      <w:r>
        <w:t xml:space="preserve">Legal requirements related to evaluation questions </w:t>
      </w:r>
    </w:p>
    <w:p w:rsidR="00143584" w:rsidRDefault="00D64125">
      <w:pPr>
        <w:pStyle w:val="HStandard"/>
        <w:rPr>
          <w:rFonts w:cs="Arial"/>
        </w:rPr>
      </w:pPr>
      <w:r>
        <w:t xml:space="preserve">It is a </w:t>
      </w:r>
      <w:r>
        <w:rPr>
          <w:b/>
        </w:rPr>
        <w:t>legal requirement</w:t>
      </w:r>
      <w:r>
        <w:t xml:space="preserve"> to answer CEQs and PSEQs</w:t>
      </w:r>
      <w:r>
        <w:rPr>
          <w:rStyle w:val="FootnoteReference"/>
        </w:rPr>
        <w:footnoteReference w:id="22"/>
      </w:r>
      <w:r>
        <w:t xml:space="preserve"> at different points in time during the programming period and also after programme implementation. Member States shall provide evidence-based answers:</w:t>
      </w:r>
    </w:p>
    <w:p w:rsidR="00143584" w:rsidRDefault="00D64125">
      <w:pPr>
        <w:pStyle w:val="Hlistbullet"/>
        <w:rPr>
          <w:rFonts w:eastAsiaTheme="majorEastAsia" w:cs="Arial"/>
        </w:rPr>
      </w:pPr>
      <w:r>
        <w:t xml:space="preserve">In the Annual Implementation Report (AIR) </w:t>
      </w:r>
      <w:r>
        <w:rPr>
          <w:rFonts w:eastAsiaTheme="majorEastAsia"/>
          <w:b/>
        </w:rPr>
        <w:t>2017</w:t>
      </w:r>
      <w:r>
        <w:t>, EQs related to the RDP focus areas and evaluation questions related to other RDP aspects (synergies, TA and NRNs) shall be answered by means of common, additional</w:t>
      </w:r>
      <w:r>
        <w:rPr>
          <w:rStyle w:val="FootnoteReference"/>
          <w:rFonts w:eastAsiaTheme="majorEastAsia"/>
        </w:rPr>
        <w:footnoteReference w:id="23"/>
      </w:r>
      <w:r>
        <w:t xml:space="preserve"> and programme-specific result indicators</w:t>
      </w:r>
      <w:r>
        <w:rPr>
          <w:rStyle w:val="FootnoteReference"/>
          <w:rFonts w:eastAsiaTheme="majorEastAsia"/>
        </w:rPr>
        <w:footnoteReference w:id="24"/>
      </w:r>
      <w:r>
        <w:t xml:space="preserve">; </w:t>
      </w:r>
    </w:p>
    <w:p w:rsidR="00143584" w:rsidRDefault="00D64125">
      <w:pPr>
        <w:pStyle w:val="Hlistbullet"/>
        <w:rPr>
          <w:rFonts w:eastAsiaTheme="majorEastAsia"/>
        </w:rPr>
      </w:pPr>
      <w:r>
        <w:t xml:space="preserve">In the AIR </w:t>
      </w:r>
      <w:r>
        <w:rPr>
          <w:rFonts w:eastAsiaTheme="majorEastAsia"/>
          <w:b/>
        </w:rPr>
        <w:t>2019</w:t>
      </w:r>
      <w:r>
        <w:t xml:space="preserve"> </w:t>
      </w:r>
      <w:r>
        <w:rPr>
          <w:rFonts w:eastAsiaTheme="majorEastAsia"/>
          <w:b/>
        </w:rPr>
        <w:t>and in the ex post evaluation report</w:t>
      </w:r>
      <w:r>
        <w:t>, all CEQs and PSEQs shall be answered by means of common, additional and programme</w:t>
      </w:r>
      <w:r>
        <w:noBreakHyphen/>
        <w:t>specific result and impact indicators.</w:t>
      </w:r>
    </w:p>
    <w:p w:rsidR="00143584" w:rsidRDefault="00D64125">
      <w:pPr>
        <w:pStyle w:val="HHeading5"/>
      </w:pPr>
      <w:r>
        <w:t xml:space="preserve">Steps in setting up the system to answer evaluation questions </w:t>
      </w:r>
    </w:p>
    <w:p w:rsidR="00143584" w:rsidRDefault="00D64125">
      <w:pPr>
        <w:pStyle w:val="HStandard"/>
        <w:rPr>
          <w:rFonts w:eastAsiaTheme="majorEastAsia" w:cs="Arial"/>
        </w:rPr>
      </w:pPr>
      <w:r>
        <w:t xml:space="preserve">Once the evaluation is carefully planned, the major steps in setting up the system to answer the evaluation questions are taken in the preparing, structuring and conducting phases of the evaluation. </w:t>
      </w:r>
    </w:p>
    <w:p w:rsidR="00143584" w:rsidRDefault="00D64125">
      <w:pPr>
        <w:pStyle w:val="HHeadingfigures"/>
      </w:pPr>
      <w:bookmarkStart w:id="47" w:name="_Toc460936152"/>
      <w:bookmarkStart w:id="48" w:name="_Toc474937851"/>
      <w:r>
        <w:lastRenderedPageBreak/>
        <w:t>Major steps in setting up the system to answer evaluation questions</w:t>
      </w:r>
      <w:bookmarkEnd w:id="47"/>
      <w:bookmarkEnd w:id="48"/>
    </w:p>
    <w:p w:rsidR="00143584" w:rsidRDefault="00D64125">
      <w:pPr>
        <w:jc w:val="center"/>
        <w:rPr>
          <w:rFonts w:cs="Arial"/>
        </w:rPr>
      </w:pPr>
      <w:r>
        <w:rPr>
          <w:rFonts w:cs="Arial"/>
          <w:noProof/>
          <w:lang w:val="en-GB" w:eastAsia="en-GB" w:bidi="ar-SA"/>
        </w:rPr>
        <w:drawing>
          <wp:inline distT="0" distB="0" distL="0" distR="0">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4">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rsidR="00143584" w:rsidRDefault="00D64125">
      <w:pPr>
        <w:pStyle w:val="HSource"/>
        <w:rPr>
          <w:rFonts w:cs="Arial"/>
        </w:rPr>
      </w:pPr>
      <w:r>
        <w:t>Source: European Evaluation Helpdesk for Rural Development. 2015</w:t>
      </w:r>
    </w:p>
    <w:p w:rsidR="00143584" w:rsidRDefault="00D64125">
      <w:pPr>
        <w:pStyle w:val="HStandard"/>
        <w:rPr>
          <w:rFonts w:cs="Arial"/>
        </w:rPr>
      </w:pPr>
      <w:r>
        <w:rPr>
          <w:b/>
        </w:rPr>
        <w:t xml:space="preserve">Preparing the evaluation </w:t>
      </w:r>
      <w: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43584" w:rsidRDefault="00D64125">
      <w:pPr>
        <w:pStyle w:val="HStandard"/>
        <w:rPr>
          <w:rFonts w:cs="Arial"/>
        </w:rPr>
      </w:pPr>
      <w:r>
        <w:rPr>
          <w:b/>
        </w:rPr>
        <w:t xml:space="preserve">Structuring the evaluation </w:t>
      </w:r>
      <w: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143584" w:rsidRDefault="00D64125">
      <w:pPr>
        <w:pStyle w:val="HStandard"/>
        <w:rPr>
          <w:rFonts w:eastAsiaTheme="majorEastAsia" w:cs="Arial"/>
        </w:rPr>
      </w:pPr>
      <w:r>
        <w:rPr>
          <w:b/>
        </w:rPr>
        <w:t xml:space="preserve">Conducting the evaluation </w:t>
      </w:r>
      <w:r>
        <w:t>(see chapter 7): The conducting phase is led by the evaluators independent from the MA. This phase starts with 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143584" w:rsidRDefault="00D64125">
      <w:pPr>
        <w:pStyle w:val="Hlistbullet"/>
        <w:numPr>
          <w:ilvl w:val="0"/>
          <w:numId w:val="0"/>
        </w:numPr>
        <w:tabs>
          <w:tab w:val="left" w:pos="1985"/>
        </w:tabs>
        <w:rPr>
          <w:rFonts w:eastAsiaTheme="majorEastAsia" w:cs="Arial"/>
        </w:rPr>
      </w:pPr>
      <w:r>
        <w:rPr>
          <w:rFonts w:eastAsiaTheme="majorEastAsia"/>
          <w:i/>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143584" w:rsidRDefault="00143584">
      <w:pPr>
        <w:pStyle w:val="HStandard"/>
        <w:rPr>
          <w:rFonts w:cs="Arial"/>
        </w:rPr>
        <w:sectPr w:rsidR="00143584">
          <w:headerReference w:type="default" r:id="rId35"/>
          <w:footerReference w:type="default" r:id="rId36"/>
          <w:headerReference w:type="first" r:id="rId37"/>
          <w:footerReference w:type="first" r:id="rId38"/>
          <w:pgSz w:w="11906" w:h="16838" w:code="9"/>
          <w:pgMar w:top="1418" w:right="1418" w:bottom="1418" w:left="1418" w:header="737" w:footer="1021" w:gutter="0"/>
          <w:cols w:space="708"/>
          <w:titlePg/>
          <w:docGrid w:linePitch="360"/>
        </w:sectPr>
      </w:pPr>
    </w:p>
    <w:p w:rsidR="00143584" w:rsidRDefault="00D64125">
      <w:pPr>
        <w:pStyle w:val="HHeading1"/>
        <w:rPr>
          <w:rFonts w:cs="Arial"/>
          <w:highlight w:val="yellow"/>
        </w:rPr>
      </w:pPr>
      <w:bookmarkStart w:id="49" w:name="_Toc460936108"/>
      <w:bookmarkStart w:id="50" w:name="_Toc474938232"/>
      <w:r>
        <w:rPr>
          <w:highlight w:val="yellow"/>
        </w:rPr>
        <w:lastRenderedPageBreak/>
        <w:t>ПОДГОТОВКА ЗА ОЦЕНКАТА</w:t>
      </w:r>
      <w:bookmarkEnd w:id="49"/>
      <w:bookmarkEnd w:id="50"/>
    </w:p>
    <w:p w:rsidR="00143584" w:rsidRDefault="00D64125">
      <w:pPr>
        <w:pStyle w:val="HStandard"/>
        <w:rPr>
          <w:rFonts w:eastAsia="Arial Unicode MS" w:cs="Arial"/>
          <w:highlight w:val="yellow"/>
        </w:rPr>
      </w:pPr>
      <w:r>
        <w:rPr>
          <w:highlight w:val="yellow"/>
        </w:rPr>
        <w:t xml:space="preserve">Държавите членки са започнали да планират оценката с помощта на </w:t>
      </w:r>
      <w:r>
        <w:rPr>
          <w:b/>
          <w:highlight w:val="yellow"/>
        </w:rPr>
        <w:t>план за оценка</w:t>
      </w:r>
      <w:r>
        <w:rPr>
          <w:highlight w:val="yellow"/>
        </w:rPr>
        <w:t>, който е част от програмата за развитие на селските райони</w:t>
      </w:r>
      <w:r>
        <w:rPr>
          <w:highlight w:val="yellow"/>
          <w:vertAlign w:val="superscript"/>
        </w:rPr>
        <w:footnoteReference w:id="25"/>
      </w:r>
      <w:r>
        <w:rPr>
          <w:highlight w:val="yellow"/>
        </w:rPr>
        <w:t xml:space="preserve">. Наред с това някои държави членки са допълнили плана за оценка с по-подробен вътрешен документ за планиране, който обикновено съдържа по-обширна информация за предвидените дейности във връзка с оценката, темите и техния график. </w:t>
      </w:r>
    </w:p>
    <w:p w:rsidR="00143584" w:rsidRDefault="00D64125">
      <w:pPr>
        <w:pStyle w:val="HStandard"/>
        <w:rPr>
          <w:rFonts w:eastAsia="Arial Unicode MS" w:cs="Arial"/>
          <w:highlight w:val="yellow"/>
        </w:rPr>
      </w:pPr>
      <w:r>
        <w:rPr>
          <w:highlight w:val="yellow"/>
        </w:rPr>
        <w:t xml:space="preserve">След като ПРСР бъде одобрена, УО, в сътрудничество с други съответни заинтересовани страни във връзка с оценката, трябва да започне подготовка за оценката, която подлежи на докладване през 2017 г., както и през следващите години.  Основният акцент трябва да се постави върху създаването на система за отговор на ВО. </w:t>
      </w:r>
    </w:p>
    <w:p w:rsidR="00143584" w:rsidRDefault="00D64125">
      <w:pPr>
        <w:pStyle w:val="HStandard"/>
        <w:rPr>
          <w:rFonts w:cs="Arial"/>
          <w:highlight w:val="yellow"/>
        </w:rPr>
      </w:pPr>
      <w:r>
        <w:rPr>
          <w:highlight w:val="yellow"/>
        </w:rPr>
        <w:t xml:space="preserve">На етапа на подготовката за докладването във връзка с оценката през 2017 г. (и за целия програмен период) е важно програмните органи да гарантират, че: </w:t>
      </w:r>
    </w:p>
    <w:p w:rsidR="00143584" w:rsidRDefault="00D64125">
      <w:pPr>
        <w:pStyle w:val="Hlistbullet"/>
        <w:rPr>
          <w:rFonts w:cs="Arial"/>
          <w:highlight w:val="yellow"/>
        </w:rPr>
      </w:pPr>
      <w:r>
        <w:rPr>
          <w:highlight w:val="yellow"/>
        </w:rPr>
        <w:t>съответните заинтересовани страни ясно разбират и утвърждават интервенционната логика на ПРСР, общите и специфичните за програмата цели на ниво ЕС и очакваните ефекти (вж. част II, глава 5.1),</w:t>
      </w:r>
    </w:p>
    <w:p w:rsidR="00143584" w:rsidRDefault="00D64125">
      <w:pPr>
        <w:pStyle w:val="Hlistbullet"/>
        <w:rPr>
          <w:rFonts w:cs="Arial"/>
          <w:highlight w:val="yellow"/>
        </w:rPr>
      </w:pPr>
      <w:r>
        <w:rPr>
          <w:highlight w:val="yellow"/>
        </w:rPr>
        <w:t>общите и специфичните за програмата елементи на оценката на ниво ЕС (ВО и показатели) и тяхната връзка с интервенционната логика на ПРСР (общи и свързани с областите с поставен акцент цели, мерки и подмерки) са определени и са известни на съответните заинтересовани страни и че последните са в състояние да преценят дали елементите на оценката са достатъчни, за да отразят всички ефекти от ПРСР (вж. част II, глава 5.2),</w:t>
      </w:r>
    </w:p>
    <w:p w:rsidR="00143584" w:rsidRDefault="00D64125">
      <w:pPr>
        <w:pStyle w:val="Hlistbullet"/>
        <w:rPr>
          <w:rFonts w:cs="Arial"/>
          <w:highlight w:val="yellow"/>
        </w:rPr>
      </w:pPr>
      <w:r>
        <w:rPr>
          <w:highlight w:val="yellow"/>
        </w:rPr>
        <w:t xml:space="preserve">дадени са определения на всички термини, използвани при формулиране на целите на ПРСР, областите с поставен акцент, мерките, ВО (и техните критерии за преценка) и показателите (вж. част II, глава 5.2), </w:t>
      </w:r>
    </w:p>
    <w:p w:rsidR="00143584" w:rsidRDefault="00D64125">
      <w:pPr>
        <w:pStyle w:val="Hlistbullet"/>
        <w:rPr>
          <w:rFonts w:cs="Arial"/>
          <w:highlight w:val="yellow"/>
        </w:rPr>
      </w:pPr>
      <w:r>
        <w:rPr>
          <w:highlight w:val="yellow"/>
        </w:rPr>
        <w:t>съответните заинтересовани страни във връзка с оценката са запознати с подходите към оценката</w:t>
      </w:r>
      <w:r>
        <w:rPr>
          <w:rStyle w:val="FootnoteReference"/>
          <w:highlight w:val="yellow"/>
        </w:rPr>
        <w:footnoteReference w:id="26"/>
      </w:r>
      <w:r>
        <w:rPr>
          <w:highlight w:val="yellow"/>
        </w:rPr>
        <w:t xml:space="preserve"> и доколко те са подходящи за целите на оценката, като се отчита наличието на данни, както и тяхното качество и честота (вж. част II, глава 6.1),</w:t>
      </w:r>
    </w:p>
    <w:p w:rsidR="00143584" w:rsidRDefault="00D64125">
      <w:pPr>
        <w:pStyle w:val="Hlistbullet"/>
        <w:rPr>
          <w:rFonts w:cs="Arial"/>
          <w:highlight w:val="yellow"/>
        </w:rPr>
      </w:pPr>
      <w:r>
        <w:rPr>
          <w:highlight w:val="yellow"/>
        </w:rPr>
        <w:t xml:space="preserve">системата за мониторинг е адаптирана към потребностите на оценката, например от бенефициерите се събират данни за показателите за резултатите и допълнителна информация (вж. част II, глава 6.2), </w:t>
      </w:r>
    </w:p>
    <w:p w:rsidR="00143584" w:rsidRDefault="00D64125">
      <w:pPr>
        <w:pStyle w:val="Hlistbullet"/>
        <w:rPr>
          <w:rFonts w:cs="Arial"/>
          <w:highlight w:val="yellow"/>
        </w:rPr>
      </w:pPr>
      <w:r>
        <w:rPr>
          <w:highlight w:val="yellow"/>
        </w:rPr>
        <w:t xml:space="preserve">съществуващите източници на данни, доставчиците на данни, механизмите за адаптиране на данните към потребностите на ПРСР и пропуските в данните са признати и са определени процедури за попълване на посочените пропуски (вж. част II, глава 6.2). </w:t>
      </w:r>
    </w:p>
    <w:p w:rsidR="00143584" w:rsidRDefault="00D64125">
      <w:pPr>
        <w:pStyle w:val="Hlistbullet"/>
        <w:numPr>
          <w:ilvl w:val="0"/>
          <w:numId w:val="0"/>
        </w:numPr>
        <w:rPr>
          <w:rFonts w:cs="Arial"/>
          <w:highlight w:val="yellow"/>
        </w:rPr>
      </w:pPr>
      <w:r>
        <w:rPr>
          <w:highlight w:val="yellow"/>
        </w:rPr>
        <w:t>За изпълнението на тези задачи трябва да се сформира звено за управление на оценката, което да се обезпечи с персонал, притежаващ необходимите знания и умения. Ако е възможно, всички съответни заинтересовани страни</w:t>
      </w:r>
      <w:r>
        <w:rPr>
          <w:rStyle w:val="FootnoteReference"/>
          <w:highlight w:val="yellow"/>
        </w:rPr>
        <w:footnoteReference w:id="27"/>
      </w:r>
      <w:r>
        <w:rPr>
          <w:highlight w:val="yellow"/>
        </w:rPr>
        <w:t xml:space="preserve"> трябва да бъдат включени в работните групи или ръководните групи, занимаващи се с оценката (вж. част I, глава 3). </w:t>
      </w:r>
    </w:p>
    <w:p w:rsidR="00143584" w:rsidRDefault="00D64125">
      <w:pPr>
        <w:pStyle w:val="HStandard"/>
        <w:rPr>
          <w:rFonts w:cs="Arial"/>
          <w:highlight w:val="yellow"/>
        </w:rPr>
      </w:pPr>
      <w:r>
        <w:rPr>
          <w:highlight w:val="yellow"/>
        </w:rPr>
        <w:t xml:space="preserve">Когато приключи този подготвителен етап, може да започне реалната работа по извършване на оценката или ако УО желае да сключи договор с външен оценител, може да се състави заданието. </w:t>
      </w:r>
    </w:p>
    <w:p w:rsidR="00143584" w:rsidRDefault="00D64125">
      <w:pPr>
        <w:pStyle w:val="HHeading5"/>
        <w:rPr>
          <w:rFonts w:cs="Arial"/>
          <w:highlight w:val="yellow"/>
        </w:rPr>
      </w:pPr>
      <w:r>
        <w:rPr>
          <w:highlight w:val="yellow"/>
        </w:rPr>
        <w:t>Допълнителни материали</w:t>
      </w:r>
    </w:p>
    <w:p w:rsidR="00143584" w:rsidRDefault="00D64125">
      <w:pPr>
        <w:pStyle w:val="HBox"/>
        <w:rPr>
          <w:rFonts w:cs="Arial"/>
          <w:highlight w:val="yellow"/>
        </w:rPr>
      </w:pPr>
      <w:r>
        <w:rPr>
          <w:highlight w:val="yellow"/>
        </w:rPr>
        <w:lastRenderedPageBreak/>
        <w:t xml:space="preserve">Насоки: Изготвяне и изпълнение на плана за оценка на ПРСР за периода 2014—2020 г., Бюро за оценка за периода 2014—2020 г., част I, глава 3.4 и част II, глава 6.4, Брюксел, 2015 г., </w:t>
      </w:r>
      <w:hyperlink r:id="rId39" w:history="1">
        <w:r>
          <w:rPr>
            <w:rStyle w:val="Hyperlink"/>
            <w:highlight w:val="yellow"/>
            <w:lang w:val="en-GB"/>
          </w:rPr>
          <w:t>http</w:t>
        </w:r>
        <w:r>
          <w:rPr>
            <w:rStyle w:val="Hyperlink"/>
            <w:highlight w:val="yellow"/>
          </w:rPr>
          <w:t>://</w:t>
        </w:r>
        <w:r>
          <w:rPr>
            <w:rStyle w:val="Hyperlink"/>
            <w:highlight w:val="yellow"/>
            <w:lang w:val="en-GB"/>
          </w:rPr>
          <w:t>enrd</w:t>
        </w:r>
        <w:r>
          <w:rPr>
            <w:rStyle w:val="Hyperlink"/>
            <w:highlight w:val="yellow"/>
          </w:rPr>
          <w:t>.</w:t>
        </w:r>
        <w:r>
          <w:rPr>
            <w:rStyle w:val="Hyperlink"/>
            <w:highlight w:val="yellow"/>
            <w:lang w:val="en-GB"/>
          </w:rPr>
          <w:t>ec</w:t>
        </w:r>
        <w:r>
          <w:rPr>
            <w:rStyle w:val="Hyperlink"/>
            <w:highlight w:val="yellow"/>
          </w:rPr>
          <w:t>.</w:t>
        </w:r>
        <w:r>
          <w:rPr>
            <w:rStyle w:val="Hyperlink"/>
            <w:highlight w:val="yellow"/>
            <w:lang w:val="en-GB"/>
          </w:rPr>
          <w:t>europa</w:t>
        </w:r>
        <w:r>
          <w:rPr>
            <w:rStyle w:val="Hyperlink"/>
            <w:highlight w:val="yellow"/>
          </w:rPr>
          <w:t>.</w:t>
        </w:r>
        <w:r>
          <w:rPr>
            <w:rStyle w:val="Hyperlink"/>
            <w:highlight w:val="yellow"/>
            <w:lang w:val="en-GB"/>
          </w:rPr>
          <w:t>eu</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publications</w:t>
        </w:r>
        <w:r>
          <w:rPr>
            <w:rStyle w:val="Hyperlink"/>
            <w:highlight w:val="yellow"/>
          </w:rPr>
          <w:t>/</w:t>
        </w:r>
        <w:r>
          <w:rPr>
            <w:rStyle w:val="Hyperlink"/>
            <w:highlight w:val="yellow"/>
            <w:lang w:val="en-GB"/>
          </w:rPr>
          <w:t>e</w:t>
        </w:r>
        <w:r>
          <w:rPr>
            <w:rStyle w:val="Hyperlink"/>
            <w:highlight w:val="yellow"/>
          </w:rPr>
          <w:t>-</w:t>
        </w:r>
        <w:r>
          <w:rPr>
            <w:rStyle w:val="Hyperlink"/>
            <w:highlight w:val="yellow"/>
            <w:lang w:val="en-GB"/>
          </w:rPr>
          <w:t>library</w:t>
        </w:r>
        <w:r>
          <w:rPr>
            <w:rStyle w:val="Hyperlink"/>
            <w:highlight w:val="yellow"/>
          </w:rPr>
          <w:t>_</w:t>
        </w:r>
        <w:r>
          <w:rPr>
            <w:rStyle w:val="Hyperlink"/>
            <w:highlight w:val="yellow"/>
            <w:lang w:val="en-GB"/>
          </w:rPr>
          <w:t>en</w:t>
        </w:r>
      </w:hyperlink>
    </w:p>
    <w:p w:rsidR="00143584" w:rsidRDefault="00D64125">
      <w:pPr>
        <w:pStyle w:val="HBox"/>
        <w:rPr>
          <w:rFonts w:cs="Arial"/>
          <w:highlight w:val="yellow"/>
        </w:rPr>
      </w:pPr>
      <w:r>
        <w:rPr>
          <w:highlight w:val="yellow"/>
        </w:rPr>
        <w:t>Успешна реализация на вашата ПРСР: Насоки за последваща оценка на ПРСР за периода 2007—2013 г., част II, глави 1, 4 и 5 и част III, приложения 5 и 6, Бюро за оценка за периода 2007—2013 г., Брюксел, 2015 г.,</w:t>
      </w:r>
    </w:p>
    <w:p w:rsidR="00143584" w:rsidRDefault="00D64125">
      <w:pPr>
        <w:pStyle w:val="HBox"/>
        <w:rPr>
          <w:rStyle w:val="Hyperlink"/>
          <w:highlight w:val="yellow"/>
        </w:rPr>
      </w:pPr>
      <w:r>
        <w:rPr>
          <w:rStyle w:val="Hyperlink"/>
          <w:highlight w:val="yellow"/>
        </w:rPr>
        <w:t>http://enrd.ec.europa.eu/enrd-static/evaluation/library/evaluation-helpdesk-publications/en/evaluation-helpdesk-publications_en.html.</w:t>
      </w:r>
    </w:p>
    <w:p w:rsidR="00143584" w:rsidRDefault="00D64125">
      <w:pPr>
        <w:pStyle w:val="HHeading2"/>
        <w:rPr>
          <w:rFonts w:cs="Arial"/>
          <w:highlight w:val="yellow"/>
        </w:rPr>
      </w:pPr>
      <w:bookmarkStart w:id="51" w:name="_Toc428969470"/>
      <w:bookmarkStart w:id="52" w:name="_Toc460936109"/>
      <w:bookmarkStart w:id="53" w:name="_Toc474938233"/>
      <w:r>
        <w:rPr>
          <w:highlight w:val="yellow"/>
        </w:rPr>
        <w:t>Преразглеждане на интервенционната логика на ПРСР</w:t>
      </w:r>
      <w:bookmarkEnd w:id="51"/>
      <w:bookmarkEnd w:id="52"/>
      <w:bookmarkEnd w:id="53"/>
      <w:r>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143584">
        <w:trPr>
          <w:jc w:val="center"/>
        </w:trPr>
        <w:tc>
          <w:tcPr>
            <w:tcW w:w="9014" w:type="dxa"/>
            <w:shd w:val="clear" w:color="auto" w:fill="F6B183" w:themeFill="background2" w:themeFillTint="99"/>
          </w:tcPr>
          <w:p w:rsidR="00143584" w:rsidRDefault="00D64125">
            <w:pPr>
              <w:pStyle w:val="HStandard"/>
              <w:rPr>
                <w:rFonts w:cs="Arial"/>
                <w:highlight w:val="yellow"/>
              </w:rPr>
            </w:pPr>
            <w:r>
              <w:rPr>
                <w:highlight w:val="yellow"/>
              </w:rPr>
              <w:t>Преразглеждане на интервенционната логика може да се наложи, ако предварителните констатации не са били достатъчно надеждни или не са взети изцяло предвид при създаването на ПРСР, както и вследствие на изменение на ПРСР. Освен това е възможно някои промени в контекста на ПРСР да са засегнали релевантността на интервенционната логика по отношение на потребностите, които първоначално са били установени при проектирането на програмата. Възможно е също така към момента на оценката на ПРСР да са придобили по-голямо значение други потребности.</w:t>
            </w:r>
          </w:p>
        </w:tc>
      </w:tr>
      <w:tr w:rsidR="00143584">
        <w:trPr>
          <w:jc w:val="center"/>
        </w:trPr>
        <w:tc>
          <w:tcPr>
            <w:tcW w:w="9014" w:type="dxa"/>
            <w:shd w:val="clear" w:color="auto" w:fill="FCE5D5" w:themeFill="background2" w:themeFillTint="33"/>
          </w:tcPr>
          <w:p w:rsidR="00143584" w:rsidRDefault="00D64125">
            <w:pPr>
              <w:pStyle w:val="HHeading5"/>
              <w:rPr>
                <w:rFonts w:cs="Arial"/>
                <w:highlight w:val="yellow"/>
              </w:rPr>
            </w:pPr>
            <w:r>
              <w:rPr>
                <w:highlight w:val="yellow"/>
              </w:rPr>
              <w:t>Препоръчани етапи на работа:</w:t>
            </w:r>
          </w:p>
          <w:p w:rsidR="00143584" w:rsidRDefault="00D64125">
            <w:pPr>
              <w:pStyle w:val="HStandard"/>
              <w:rPr>
                <w:rFonts w:cs="Arial"/>
                <w:highlight w:val="yellow"/>
              </w:rPr>
            </w:pPr>
            <w:r>
              <w:rPr>
                <w:highlight w:val="yellow"/>
              </w:rPr>
              <w:t>Само ако горепосочените промени са били установени, се препоръчва:</w:t>
            </w:r>
          </w:p>
          <w:p w:rsidR="00143584" w:rsidRDefault="00D64125">
            <w:pPr>
              <w:pStyle w:val="Hlistbullet"/>
              <w:rPr>
                <w:rFonts w:cs="Arial"/>
                <w:highlight w:val="yellow"/>
              </w:rPr>
            </w:pPr>
            <w:r>
              <w:rPr>
                <w:b/>
                <w:highlight w:val="yellow"/>
              </w:rPr>
              <w:t>да се преразгледат предварителните констатации</w:t>
            </w:r>
            <w:r>
              <w:rPr>
                <w:highlight w:val="yellow"/>
              </w:rPr>
              <w:t xml:space="preserve"> по отношение на съгласуваността и релевантността на интервенционната логика на ПРСР, както и</w:t>
            </w:r>
          </w:p>
          <w:p w:rsidR="00143584" w:rsidRDefault="00D64125">
            <w:pPr>
              <w:pStyle w:val="Hlistbullet"/>
              <w:rPr>
                <w:rFonts w:cs="Arial"/>
                <w:highlight w:val="yellow"/>
              </w:rPr>
            </w:pPr>
            <w:r>
              <w:rPr>
                <w:b/>
                <w:highlight w:val="yellow"/>
              </w:rPr>
              <w:t>да се прецени дали предвидените преки ефекти от ПРСР</w:t>
            </w:r>
            <w:r>
              <w:rPr>
                <w:highlight w:val="yellow"/>
              </w:rPr>
              <w:t xml:space="preserve"> за бенефициерите все още са валидни и дали очакваните полезни взаимодействия между приоритетите може да бъдат постигнати на нивото на цялата програма</w:t>
            </w:r>
            <w:r>
              <w:rPr>
                <w:rStyle w:val="FootnoteReference"/>
                <w:highlight w:val="yellow"/>
              </w:rPr>
              <w:footnoteReference w:id="28"/>
            </w:r>
            <w:r>
              <w:rPr>
                <w:highlight w:val="yellow"/>
              </w:rPr>
              <w:t xml:space="preserve">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вж. инструмента за преценка на различните ефекти от програмата в приложение 10, част III)</w:t>
            </w:r>
          </w:p>
        </w:tc>
      </w:tr>
      <w:tr w:rsidR="00143584">
        <w:trPr>
          <w:jc w:val="center"/>
        </w:trPr>
        <w:tc>
          <w:tcPr>
            <w:tcW w:w="9014" w:type="dxa"/>
          </w:tcPr>
          <w:p w:rsidR="00143584" w:rsidRDefault="00D64125">
            <w:pPr>
              <w:pStyle w:val="HStandard"/>
              <w:rPr>
                <w:rFonts w:cs="Arial"/>
                <w:color w:val="DDDDDD" w:themeColor="background1"/>
                <w:highlight w:val="yellow"/>
              </w:rPr>
            </w:pPr>
            <w:r>
              <w:rPr>
                <w:b/>
                <w:highlight w:val="yellow"/>
              </w:rPr>
              <w:t>Очакван резултат</w:t>
            </w:r>
            <w:r>
              <w:rPr>
                <w:highlight w:val="yellow"/>
              </w:rPr>
              <w:t>: Преразгледана интервенционна логика</w:t>
            </w:r>
          </w:p>
        </w:tc>
      </w:tr>
    </w:tbl>
    <w:p w:rsidR="00143584" w:rsidRDefault="00D64125">
      <w:pPr>
        <w:pStyle w:val="HHeading5"/>
        <w:rPr>
          <w:rFonts w:cs="Arial"/>
          <w:highlight w:val="yellow"/>
        </w:rPr>
      </w:pPr>
      <w:r>
        <w:rPr>
          <w:highlight w:val="yellow"/>
        </w:rPr>
        <w:t>Преразглеждане на предварителните констатации и непреките ефекти от програмата</w:t>
      </w:r>
    </w:p>
    <w:p w:rsidR="00143584" w:rsidRDefault="00D64125">
      <w:pPr>
        <w:pStyle w:val="HStandard"/>
        <w:rPr>
          <w:rFonts w:cs="Arial"/>
          <w:highlight w:val="yellow"/>
        </w:rPr>
      </w:pPr>
      <w:r>
        <w:rPr>
          <w:highlight w:val="yellow"/>
        </w:rPr>
        <w:t>По време на проектирането на програмата лицето, което извършва предварителната оценка, вече е проверило:</w:t>
      </w:r>
    </w:p>
    <w:p w:rsidR="00143584" w:rsidRDefault="00D64125">
      <w:pPr>
        <w:pStyle w:val="Hlistbullet"/>
        <w:rPr>
          <w:rFonts w:cs="Arial"/>
          <w:highlight w:val="yellow"/>
        </w:rPr>
      </w:pPr>
      <w:r>
        <w:rPr>
          <w:highlight w:val="yellow"/>
        </w:rPr>
        <w:t>външната съгласуваност на интервенционната логика</w:t>
      </w:r>
      <w:r>
        <w:rPr>
          <w:rStyle w:val="FootnoteReference"/>
          <w:highlight w:val="yellow"/>
        </w:rPr>
        <w:footnoteReference w:id="29"/>
      </w:r>
      <w:r>
        <w:rPr>
          <w:highlight w:val="yellow"/>
        </w:rPr>
        <w:t xml:space="preserve"> с целите на политиката на ЕС (приноса на ПРСР към стратегията „Европа 2020“</w:t>
      </w:r>
      <w:r>
        <w:rPr>
          <w:highlight w:val="yellow"/>
          <w:vertAlign w:val="superscript"/>
        </w:rPr>
        <w:footnoteReference w:id="30"/>
      </w:r>
      <w:r>
        <w:rPr>
          <w:highlight w:val="yellow"/>
        </w:rPr>
        <w:t xml:space="preserve"> и ОСП</w:t>
      </w:r>
      <w:r>
        <w:rPr>
          <w:highlight w:val="yellow"/>
          <w:vertAlign w:val="superscript"/>
        </w:rPr>
        <w:footnoteReference w:id="31"/>
      </w:r>
      <w:r>
        <w:rPr>
          <w:highlight w:val="yellow"/>
        </w:rPr>
        <w:t xml:space="preserve">), </w:t>
      </w:r>
    </w:p>
    <w:p w:rsidR="00143584" w:rsidRDefault="00D64125">
      <w:pPr>
        <w:pStyle w:val="Hlistbullet"/>
        <w:rPr>
          <w:rFonts w:cs="Arial"/>
          <w:highlight w:val="yellow"/>
        </w:rPr>
      </w:pPr>
      <w:r>
        <w:rPr>
          <w:highlight w:val="yellow"/>
        </w:rPr>
        <w:t>релевантността при удовлетворяване на най-важните потребности на територията на програмата, произтичащи от SWOT анализа и оценката на потребностите, както и</w:t>
      </w:r>
    </w:p>
    <w:p w:rsidR="00143584" w:rsidRDefault="00D64125">
      <w:pPr>
        <w:pStyle w:val="Hlistbullet"/>
        <w:rPr>
          <w:highlight w:val="yellow"/>
        </w:rPr>
      </w:pPr>
      <w:r>
        <w:rPr>
          <w:highlight w:val="yellow"/>
        </w:rPr>
        <w:t xml:space="preserve">вътрешната съгласуваност между целите на програмата, планираните ресурси (бюджет и форми на подпомагане), комбинацията от мерки и очакваните крайни продукти, резултати и въздействия от ПРСР. </w:t>
      </w:r>
    </w:p>
    <w:p w:rsidR="00143584" w:rsidRDefault="00D64125">
      <w:pPr>
        <w:pStyle w:val="HStandard"/>
        <w:rPr>
          <w:rFonts w:eastAsiaTheme="majorEastAsia" w:cs="Arial"/>
          <w:highlight w:val="yellow"/>
        </w:rPr>
      </w:pPr>
      <w:r>
        <w:rPr>
          <w:rFonts w:eastAsiaTheme="majorEastAsia"/>
          <w:highlight w:val="yellow"/>
        </w:rPr>
        <w:lastRenderedPageBreak/>
        <w:t xml:space="preserve">Когато оценяват вътрешната съгласуваност, оценителите трябва да обръщат внимание също така на:   </w:t>
      </w:r>
    </w:p>
    <w:p w:rsidR="00143584" w:rsidRDefault="00D64125">
      <w:pPr>
        <w:pStyle w:val="Hlistbullet"/>
        <w:rPr>
          <w:rFonts w:eastAsiaTheme="majorEastAsia" w:cs="Arial"/>
          <w:highlight w:val="yellow"/>
        </w:rPr>
      </w:pPr>
      <w:r>
        <w:rPr>
          <w:rFonts w:eastAsiaTheme="majorEastAsia"/>
          <w:b/>
          <w:highlight w:val="yellow"/>
        </w:rPr>
        <w:t>вторичния принос</w:t>
      </w:r>
      <w:r>
        <w:rPr>
          <w:rFonts w:eastAsiaTheme="majorEastAsia"/>
          <w:highlight w:val="yellow"/>
        </w:rPr>
        <w:t xml:space="preserve"> на операциите към области с поставен акцент, различни от тези, по които са били програмирани. Това включва операциите, които се осъществяват чрез стратегиите за ВОМР. Според правната рамка се изисква обозначаване на предвидения вторичен принос в хода на проектирането на програмата/предварителната оценка, както и посочване на потенциалния вторичен принос за всяка отделна операция в базата данни за операциите. Валидността на това обозначаване може да се преразгледа в хода на подготовката за оценката и, ако е необходимо, да се направи корекция</w:t>
      </w:r>
      <w:r>
        <w:rPr>
          <w:rStyle w:val="FootnoteReference"/>
          <w:rFonts w:eastAsiaTheme="majorEastAsia"/>
          <w:highlight w:val="yellow"/>
        </w:rPr>
        <w:footnoteReference w:id="32"/>
      </w:r>
      <w:r>
        <w:rPr>
          <w:rFonts w:eastAsiaTheme="majorEastAsia"/>
          <w:highlight w:val="yellow"/>
        </w:rPr>
        <w:t>,</w:t>
      </w:r>
    </w:p>
    <w:p w:rsidR="00143584" w:rsidRDefault="00D64125">
      <w:pPr>
        <w:pStyle w:val="Hlistbullet"/>
        <w:rPr>
          <w:rFonts w:eastAsiaTheme="majorEastAsia" w:cs="Arial"/>
          <w:highlight w:val="yellow"/>
        </w:rPr>
      </w:pPr>
      <w:r>
        <w:rPr>
          <w:rFonts w:eastAsiaTheme="majorEastAsia"/>
          <w:b/>
          <w:highlight w:val="yellow"/>
        </w:rPr>
        <w:t xml:space="preserve">хоризонталните ефекти, </w:t>
      </w:r>
      <w:r>
        <w:rPr>
          <w:rFonts w:eastAsiaTheme="majorEastAsia"/>
          <w:highlight w:val="yellow"/>
        </w:rPr>
        <w:t xml:space="preserve">които представляват хоризонтални ефекти между мерките, между областите с поставен акцент или между приоритетите. Положителните хоризонтални ефекти често се наричат </w:t>
      </w:r>
      <w:r>
        <w:rPr>
          <w:b/>
          <w:highlight w:val="yellow"/>
        </w:rPr>
        <w:t>полезни взаимодействия.</w:t>
      </w:r>
      <w:r>
        <w:rPr>
          <w:rFonts w:eastAsiaTheme="majorEastAsia"/>
          <w:highlight w:val="yellow"/>
        </w:rPr>
        <w:t xml:space="preserve"> Хоризонтални ефекти са налице, когато мерките, областите с поставен акцент или приоритетите взаимно отслабват или усилват своите ефекти. Хоризонталните ефекти може да бъдат предвидени или непредвидени. В рамките на ПРСР често има възможност даден инструмент на политиката в една област да окаже въздействие върху друга област. Например с даден инструмент на политиката за области, които са изправени пред природни ограничения, може да бъдат подобрени резултатите на местните фирми и (евентуално) да се достигне до икономически растеж и създаването на работни места в селския район. Що се отнася до полезните взаимодействия, като пример може да се посочи инвестирането в разнообразяване извън дейностите в земеделските стопанства, с което може да се повиши конкурентоспособността на селскостопанския сектор.  </w:t>
      </w:r>
    </w:p>
    <w:p w:rsidR="00143584" w:rsidRDefault="00D64125">
      <w:pPr>
        <w:pStyle w:val="HStandard"/>
        <w:rPr>
          <w:rFonts w:eastAsiaTheme="majorEastAsia" w:cs="Arial"/>
          <w:highlight w:val="yellow"/>
        </w:rPr>
      </w:pPr>
      <w:r>
        <w:rPr>
          <w:rFonts w:eastAsiaTheme="majorEastAsia"/>
          <w:highlight w:val="yellow"/>
        </w:rPr>
        <w:t xml:space="preserve">Интервенционната логика трябва да се преценява не само по отношение на преките и предвидените ефекти от програмата, но и по отношение на няколко типа други ефекти, които може да играят важна роля в изпълнението на програмата. Тези ефекти може да влияят върху предвидените постижения на ПРСР и върху очакваните резултати и въздействия както в положителна, така и в отрицателна посока. Въпреки че впоследствие оценителят ще има задачата да определи окончателните ефекти от програмата, отговарящите за програмата органи трябва да изградят своя представа за това какво може да постигне тяхната програма освен планираното. </w:t>
      </w:r>
    </w:p>
    <w:p w:rsidR="00143584" w:rsidRDefault="00D64125">
      <w:pPr>
        <w:pStyle w:val="HStandard"/>
        <w:rPr>
          <w:rFonts w:eastAsiaTheme="majorEastAsia" w:cs="Arial"/>
          <w:highlight w:val="yellow"/>
        </w:rPr>
      </w:pPr>
      <w:r>
        <w:rPr>
          <w:rFonts w:eastAsiaTheme="majorEastAsia"/>
          <w:highlight w:val="yellow"/>
        </w:rPr>
        <w:t>Интервенционната логика на ПРСР, а именно нейните приоритети, области с поставен акцент и мерки, може да породи непреки ефекти</w:t>
      </w:r>
      <w:r>
        <w:rPr>
          <w:rStyle w:val="FootnoteReference"/>
          <w:rFonts w:eastAsiaTheme="majorEastAsia"/>
          <w:highlight w:val="yellow"/>
        </w:rPr>
        <w:footnoteReference w:id="33"/>
      </w:r>
      <w:r>
        <w:rPr>
          <w:rFonts w:eastAsiaTheme="majorEastAsia"/>
          <w:highlight w:val="yellow"/>
        </w:rPr>
        <w:t xml:space="preserve">, които може да са предвидени (посочени в анализа на контекста) или непредвидени (не са били включени в анализа на контекста и не са обозначени с показателя за контекста). </w:t>
      </w:r>
    </w:p>
    <w:p w:rsidR="00143584" w:rsidRDefault="00D64125">
      <w:pPr>
        <w:pStyle w:val="HStandard"/>
        <w:rPr>
          <w:rFonts w:eastAsiaTheme="majorEastAsia" w:cs="Arial"/>
          <w:highlight w:val="yellow"/>
        </w:rPr>
      </w:pPr>
      <w:r>
        <w:rPr>
          <w:rFonts w:eastAsiaTheme="majorEastAsia"/>
          <w:b/>
          <w:highlight w:val="yellow"/>
        </w:rPr>
        <w:t>Непреки ефекти от програмата</w:t>
      </w:r>
      <w:r>
        <w:rPr>
          <w:rFonts w:eastAsiaTheme="majorEastAsia"/>
          <w:highlight w:val="yellow"/>
        </w:rPr>
        <w:t>, на които трябва да се обърне внимание при преразглеждане на интервенционната логика на ПРСР:</w:t>
      </w:r>
    </w:p>
    <w:p w:rsidR="00143584" w:rsidRDefault="00D64125">
      <w:pPr>
        <w:pStyle w:val="Hlistbullet"/>
        <w:rPr>
          <w:rFonts w:cs="Arial"/>
          <w:highlight w:val="yellow"/>
        </w:rPr>
      </w:pPr>
      <w:r>
        <w:rPr>
          <w:b/>
          <w:highlight w:val="yellow"/>
        </w:rPr>
        <w:t>Ефект на ливъридж</w:t>
      </w:r>
      <w:r>
        <w:rPr>
          <w:highlight w:val="yellow"/>
        </w:rPr>
        <w:t xml:space="preserve"> представлява тенденцията при публичните интервенции да се насърчават частните разходи сред преките бенефициери (например земеделски стопанин, който получава субсидия, има по-голяма възможност да инвестира в имущество, което не е част от стопанската му дейност). Ефектът на ливъридж обикновено е непредвиден.</w:t>
      </w:r>
    </w:p>
    <w:p w:rsidR="00143584" w:rsidRDefault="00D64125">
      <w:pPr>
        <w:pStyle w:val="Hlistbullet"/>
        <w:rPr>
          <w:rFonts w:cs="Arial"/>
          <w:highlight w:val="yellow"/>
        </w:rPr>
      </w:pPr>
      <w:r>
        <w:rPr>
          <w:b/>
          <w:highlight w:val="yellow"/>
        </w:rPr>
        <w:t>Ефект на безполезната подкрепа</w:t>
      </w:r>
      <w:r>
        <w:rPr>
          <w:highlight w:val="yellow"/>
        </w:rPr>
        <w:t xml:space="preserve"> представлява промените в икономическото, екологичното или социалното положение на бенефициерите по програмата, които биха настъпили и без интервенцията (например земеделските стопани така или иначе биха </w:t>
      </w:r>
      <w:r>
        <w:rPr>
          <w:highlight w:val="yellow"/>
        </w:rPr>
        <w:lastRenderedPageBreak/>
        <w:t xml:space="preserve">инвестирали на по-късен етап и без субсидията или със собствени средства или биха използвали заеми). Ефектът на безполезната подкрепа обикновено е непредвиден ефект.  </w:t>
      </w:r>
    </w:p>
    <w:p w:rsidR="00143584" w:rsidRDefault="00D64125">
      <w:pPr>
        <w:pStyle w:val="Hlistbullet"/>
        <w:rPr>
          <w:rFonts w:cs="Arial"/>
          <w:highlight w:val="yellow"/>
        </w:rPr>
      </w:pPr>
      <w:r>
        <w:rPr>
          <w:b/>
          <w:highlight w:val="yellow"/>
        </w:rPr>
        <w:t>Ефект на общото равновесие</w:t>
      </w:r>
      <w:r>
        <w:rPr>
          <w:highlight w:val="yellow"/>
        </w:rPr>
        <w:t xml:space="preserve"> е налице тогава, когато интервенциите по програмата оказват положително или отрицателно въздействие върху субекти, които не са участници в ПРСР. Тези ефекти обикновено играят по-важна роля при оценката на големи програми, отколкото при оценката на малки програми, и включват:  </w:t>
      </w:r>
    </w:p>
    <w:p w:rsidR="00143584" w:rsidRDefault="00D64125">
      <w:pPr>
        <w:pStyle w:val="Hlistbullet2"/>
        <w:rPr>
          <w:rFonts w:eastAsiaTheme="majorEastAsia"/>
          <w:highlight w:val="yellow"/>
        </w:rPr>
      </w:pPr>
      <w:r>
        <w:rPr>
          <w:i/>
          <w:highlight w:val="yellow"/>
        </w:rPr>
        <w:t>мултиплициращ ефект</w:t>
      </w:r>
      <w:r>
        <w:rPr>
          <w:highlight w:val="yellow"/>
        </w:rPr>
        <w:t xml:space="preserve"> вследствие на по-високия доход и потребление, генерирани от ПРСР. Мултиплициращите ефекти са кумулативни и при тях се отчита фактът, че част от генерирания доход се изразходва отново и генерира друг доход и т.н. в няколко последователни цикъла. От гледна точка на околната среда, предвиденото подпомагане на избрани биологични видове може да доведе до подпомагането и на други видове. Мултиплициращите ефекти са положителни, често предвидени и очаквани. </w:t>
      </w:r>
    </w:p>
    <w:p w:rsidR="00143584" w:rsidRDefault="00D64125">
      <w:pPr>
        <w:pStyle w:val="Hlistbullet2"/>
        <w:rPr>
          <w:rFonts w:eastAsiaTheme="majorEastAsia"/>
          <w:highlight w:val="yellow"/>
        </w:rPr>
      </w:pPr>
      <w:r>
        <w:rPr>
          <w:i/>
          <w:highlight w:val="yellow"/>
        </w:rPr>
        <w:t>ефект на изместването</w:t>
      </w:r>
      <w:r>
        <w:rPr>
          <w:highlight w:val="yellow"/>
        </w:rPr>
        <w:t xml:space="preserve"> възниква в даден район по програмата за сметка на други райони. Например подпомагането по програмата се отразява положително върху заетостта за сметка на увеличаването на безработицата в съседните райони. От гледна точка на околната среда, предвиденото подпомагане на земеделска земя с висока природна стойност може да доведе до влошаване на земеделската земя в съседните райони. Ефектите на изместване може да са непредвидени (ако предизвикват допълнителни регионални различия) или предвидени (ако допринасят за балансиране на различията между регионите).</w:t>
      </w:r>
    </w:p>
    <w:p w:rsidR="00143584" w:rsidRDefault="00D64125">
      <w:pPr>
        <w:pStyle w:val="Hlistbullet2"/>
        <w:rPr>
          <w:rFonts w:eastAsiaTheme="majorEastAsia"/>
          <w:highlight w:val="yellow"/>
        </w:rPr>
      </w:pPr>
      <w:r>
        <w:rPr>
          <w:i/>
          <w:highlight w:val="yellow"/>
        </w:rPr>
        <w:t>ефект на заместването</w:t>
      </w:r>
      <w:r>
        <w:rPr>
          <w:highlight w:val="yellow"/>
        </w:rPr>
        <w:t xml:space="preserve"> се получава в полза на преките бенефициери по програмата, но за сметка на единици, които не отговарят на изискванията или не участват в дадена програма. Например подпомагането на дребните земеделски стопани по отношение на технологията за напояване може да повиши тяхната конкурентоспособност спрямо големите стопанства, които не получават подпомагане. Ефектите на заместването може да са непредвидени (ако подпомагането се получава от субекти, които вече са били обхванати) или предвидени (ако допринасят за балансиране на социално-икономическото положение в района по програмата).</w:t>
      </w:r>
    </w:p>
    <w:p w:rsidR="00143584" w:rsidRDefault="00D64125">
      <w:pPr>
        <w:pStyle w:val="HHeadingfigures"/>
        <w:rPr>
          <w:highlight w:val="yellow"/>
        </w:rPr>
      </w:pPr>
      <w:r>
        <w:br w:type="column"/>
      </w:r>
      <w:bookmarkStart w:id="54" w:name="_Toc460936153"/>
      <w:bookmarkStart w:id="55" w:name="_Toc474937852"/>
      <w:r>
        <w:rPr>
          <w:highlight w:val="yellow"/>
        </w:rPr>
        <w:lastRenderedPageBreak/>
        <w:t>Различни типове ефекти от програмата</w:t>
      </w:r>
      <w:bookmarkEnd w:id="54"/>
      <w:bookmarkEnd w:id="55"/>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407"/>
        <w:gridCol w:w="2506"/>
        <w:gridCol w:w="2506"/>
        <w:gridCol w:w="2506"/>
      </w:tblGrid>
      <w:tr w:rsidR="00143584">
        <w:trPr>
          <w:trHeight w:val="1176"/>
          <w:jc w:val="center"/>
        </w:trPr>
        <w:tc>
          <w:tcPr>
            <w:tcW w:w="2006" w:type="dxa"/>
            <w:tcBorders>
              <w:top w:val="nil"/>
              <w:left w:val="nil"/>
            </w:tcBorders>
          </w:tcPr>
          <w:p w:rsidR="00143584" w:rsidRDefault="00143584">
            <w:pPr>
              <w:rPr>
                <w:rFonts w:cs="Arial"/>
                <w:highlight w:val="yellow"/>
              </w:rPr>
            </w:pPr>
          </w:p>
        </w:tc>
        <w:tc>
          <w:tcPr>
            <w:tcW w:w="2006" w:type="dxa"/>
            <w:tcBorders>
              <w:bottom w:val="single" w:sz="4" w:space="0" w:color="6F6F6F" w:themeColor="text1"/>
            </w:tcBorders>
            <w:shd w:val="clear" w:color="auto" w:fill="57825E" w:themeFill="accent4"/>
          </w:tcPr>
          <w:p w:rsidR="00143584" w:rsidRDefault="00D64125">
            <w:pPr>
              <w:jc w:val="left"/>
              <w:rPr>
                <w:rFonts w:cs="Arial"/>
                <w:b/>
                <w:color w:val="FFFFFF" w:themeColor="accent1"/>
                <w:highlight w:val="yellow"/>
              </w:rPr>
            </w:pPr>
            <w:r>
              <w:rPr>
                <w:b/>
                <w:color w:val="FFFFFF" w:themeColor="accent1"/>
                <w:highlight w:val="yellow"/>
              </w:rPr>
              <w:t>Приоритет за РСР/</w:t>
            </w:r>
          </w:p>
          <w:p w:rsidR="00143584" w:rsidRDefault="00143584">
            <w:pPr>
              <w:jc w:val="left"/>
              <w:rPr>
                <w:rFonts w:cs="Arial"/>
                <w:b/>
                <w:color w:val="FFFFFF" w:themeColor="accent1"/>
                <w:highlight w:val="yellow"/>
              </w:rPr>
            </w:pPr>
          </w:p>
          <w:p w:rsidR="00143584" w:rsidRDefault="00D64125">
            <w:pPr>
              <w:jc w:val="left"/>
              <w:rPr>
                <w:rFonts w:cs="Arial"/>
                <w:b/>
                <w:color w:val="FFFFFF" w:themeColor="accent1"/>
                <w:highlight w:val="yellow"/>
              </w:rPr>
            </w:pPr>
            <w:r>
              <w:rPr>
                <w:b/>
                <w:color w:val="FFFFFF" w:themeColor="accent1"/>
                <w:highlight w:val="yellow"/>
              </w:rPr>
              <w:t>Въздействия</w:t>
            </w:r>
          </w:p>
        </w:tc>
        <w:tc>
          <w:tcPr>
            <w:tcW w:w="2006" w:type="dxa"/>
            <w:shd w:val="clear" w:color="auto" w:fill="F07E31" w:themeFill="background2"/>
          </w:tcPr>
          <w:p w:rsidR="00143584" w:rsidRDefault="00D64125">
            <w:pPr>
              <w:jc w:val="left"/>
              <w:rPr>
                <w:rFonts w:cs="Arial"/>
                <w:b/>
                <w:color w:val="FFFFFF" w:themeColor="accent1"/>
                <w:highlight w:val="yellow"/>
              </w:rPr>
            </w:pPr>
            <w:r>
              <w:rPr>
                <w:b/>
                <w:color w:val="FFFFFF" w:themeColor="accent1"/>
                <w:highlight w:val="yellow"/>
              </w:rPr>
              <w:t>Област с поставен акцент за РСР/</w:t>
            </w:r>
          </w:p>
          <w:p w:rsidR="00143584" w:rsidRDefault="00D64125">
            <w:pPr>
              <w:jc w:val="left"/>
              <w:rPr>
                <w:rFonts w:cs="Arial"/>
                <w:b/>
                <w:color w:val="FFFFFF" w:themeColor="accent1"/>
                <w:highlight w:val="yellow"/>
              </w:rPr>
            </w:pPr>
            <w:r>
              <w:rPr>
                <w:b/>
                <w:color w:val="FFFFFF" w:themeColor="accent1"/>
                <w:highlight w:val="yellow"/>
              </w:rPr>
              <w:t xml:space="preserve">Резултати от мерките и комбинации от мерки </w:t>
            </w:r>
          </w:p>
        </w:tc>
        <w:tc>
          <w:tcPr>
            <w:tcW w:w="2006" w:type="dxa"/>
            <w:shd w:val="clear" w:color="auto" w:fill="F7A833" w:themeFill="accent5"/>
          </w:tcPr>
          <w:p w:rsidR="00143584" w:rsidRDefault="00D64125">
            <w:pPr>
              <w:jc w:val="left"/>
              <w:rPr>
                <w:rFonts w:cs="Arial"/>
                <w:b/>
                <w:color w:val="FFFFFF" w:themeColor="accent1"/>
                <w:highlight w:val="yellow"/>
              </w:rPr>
            </w:pPr>
            <w:r>
              <w:rPr>
                <w:b/>
                <w:color w:val="FFFFFF" w:themeColor="accent1"/>
                <w:highlight w:val="yellow"/>
              </w:rPr>
              <w:t>Мярка за РСР</w:t>
            </w:r>
          </w:p>
          <w:p w:rsidR="00143584" w:rsidRDefault="00143584">
            <w:pPr>
              <w:jc w:val="left"/>
              <w:rPr>
                <w:rFonts w:cs="Arial"/>
                <w:b/>
                <w:color w:val="FFFFFF" w:themeColor="accent1"/>
                <w:highlight w:val="yellow"/>
              </w:rPr>
            </w:pPr>
          </w:p>
          <w:p w:rsidR="00143584" w:rsidRDefault="00143584">
            <w:pPr>
              <w:jc w:val="left"/>
              <w:rPr>
                <w:rFonts w:cs="Arial"/>
                <w:b/>
                <w:color w:val="FFFFFF" w:themeColor="accent1"/>
                <w:highlight w:val="yellow"/>
              </w:rPr>
            </w:pPr>
          </w:p>
        </w:tc>
      </w:tr>
      <w:tr w:rsidR="00143584">
        <w:trPr>
          <w:trHeight w:val="1208"/>
          <w:jc w:val="center"/>
        </w:trPr>
        <w:tc>
          <w:tcPr>
            <w:tcW w:w="2006" w:type="dxa"/>
            <w:shd w:val="clear" w:color="auto" w:fill="57825E" w:themeFill="accent4"/>
          </w:tcPr>
          <w:p w:rsidR="00143584" w:rsidRDefault="00D64125">
            <w:pPr>
              <w:jc w:val="left"/>
              <w:rPr>
                <w:rFonts w:cs="Arial"/>
                <w:b/>
                <w:color w:val="FFFFFF" w:themeColor="accent1"/>
                <w:highlight w:val="yellow"/>
              </w:rPr>
            </w:pPr>
            <w:r>
              <w:rPr>
                <w:b/>
                <w:color w:val="FFFFFF" w:themeColor="accent1"/>
                <w:highlight w:val="yellow"/>
              </w:rPr>
              <w:t>Приоритет за РСР/</w:t>
            </w:r>
          </w:p>
          <w:p w:rsidR="00143584" w:rsidRDefault="00143584">
            <w:pPr>
              <w:jc w:val="left"/>
              <w:rPr>
                <w:rFonts w:cs="Arial"/>
                <w:b/>
                <w:color w:val="FFFFFF" w:themeColor="accent1"/>
                <w:highlight w:val="yellow"/>
              </w:rPr>
            </w:pPr>
          </w:p>
          <w:p w:rsidR="00143584" w:rsidRDefault="00D64125">
            <w:pPr>
              <w:jc w:val="left"/>
              <w:rPr>
                <w:rFonts w:cs="Arial"/>
                <w:b/>
                <w:color w:val="FFFFFF" w:themeColor="accent1"/>
                <w:highlight w:val="yellow"/>
              </w:rPr>
            </w:pPr>
            <w:r>
              <w:rPr>
                <w:b/>
                <w:color w:val="FFFFFF" w:themeColor="accent1"/>
                <w:highlight w:val="yellow"/>
              </w:rPr>
              <w:t>Въздействия</w:t>
            </w:r>
          </w:p>
        </w:tc>
        <w:tc>
          <w:tcPr>
            <w:tcW w:w="2006" w:type="dxa"/>
            <w:shd w:val="clear" w:color="auto" w:fill="B8D0BC" w:themeFill="accent4" w:themeFillTint="66"/>
          </w:tcPr>
          <w:p w:rsidR="00143584" w:rsidRDefault="00D64125">
            <w:pPr>
              <w:jc w:val="left"/>
              <w:rPr>
                <w:rFonts w:cs="Arial"/>
                <w:highlight w:val="yellow"/>
              </w:rPr>
            </w:pPr>
            <w:r>
              <w:rPr>
                <w:highlight w:val="yellow"/>
              </w:rPr>
              <w:t>Хоризонтални ефекти (положителни = полезни взаимодействия и отрицателни)</w:t>
            </w:r>
          </w:p>
          <w:p w:rsidR="00143584" w:rsidRDefault="00D64125">
            <w:pPr>
              <w:jc w:val="left"/>
              <w:rPr>
                <w:rFonts w:cs="Arial"/>
                <w:highlight w:val="yellow"/>
              </w:rPr>
            </w:pPr>
            <w:r>
              <w:rPr>
                <w:highlight w:val="yellow"/>
              </w:rPr>
              <w:t>Предвидени/непредвидени</w:t>
            </w:r>
          </w:p>
        </w:tc>
        <w:tc>
          <w:tcPr>
            <w:tcW w:w="2006" w:type="dxa"/>
            <w:tcBorders>
              <w:bottom w:val="single" w:sz="4" w:space="0" w:color="6F6F6F" w:themeColor="text1"/>
            </w:tcBorders>
          </w:tcPr>
          <w:p w:rsidR="00143584" w:rsidRDefault="00143584">
            <w:pPr>
              <w:jc w:val="left"/>
              <w:rPr>
                <w:rFonts w:cs="Arial"/>
                <w:highlight w:val="yellow"/>
              </w:rPr>
            </w:pPr>
          </w:p>
        </w:tc>
        <w:tc>
          <w:tcPr>
            <w:tcW w:w="2006" w:type="dxa"/>
          </w:tcPr>
          <w:p w:rsidR="00143584" w:rsidRDefault="00143584">
            <w:pPr>
              <w:jc w:val="left"/>
              <w:rPr>
                <w:rFonts w:cs="Arial"/>
                <w:highlight w:val="yellow"/>
              </w:rPr>
            </w:pPr>
          </w:p>
        </w:tc>
      </w:tr>
      <w:tr w:rsidR="00143584">
        <w:trPr>
          <w:trHeight w:val="1269"/>
          <w:jc w:val="center"/>
        </w:trPr>
        <w:tc>
          <w:tcPr>
            <w:tcW w:w="2006" w:type="dxa"/>
            <w:shd w:val="clear" w:color="auto" w:fill="F07E31" w:themeFill="background2"/>
          </w:tcPr>
          <w:p w:rsidR="00143584" w:rsidRDefault="00D64125">
            <w:pPr>
              <w:jc w:val="left"/>
              <w:rPr>
                <w:rFonts w:cs="Arial"/>
                <w:b/>
                <w:color w:val="FFFFFF" w:themeColor="accent1"/>
                <w:highlight w:val="yellow"/>
              </w:rPr>
            </w:pPr>
            <w:r>
              <w:rPr>
                <w:b/>
                <w:color w:val="FFFFFF" w:themeColor="accent1"/>
                <w:highlight w:val="yellow"/>
              </w:rPr>
              <w:t>Област с поставен акцент за РСР/</w:t>
            </w:r>
          </w:p>
          <w:p w:rsidR="00143584" w:rsidRDefault="00D64125">
            <w:pPr>
              <w:jc w:val="left"/>
              <w:rPr>
                <w:rFonts w:cs="Arial"/>
                <w:b/>
                <w:color w:val="FFFFFF" w:themeColor="accent1"/>
                <w:highlight w:val="yellow"/>
              </w:rPr>
            </w:pPr>
            <w:r>
              <w:rPr>
                <w:b/>
                <w:color w:val="FFFFFF" w:themeColor="accent1"/>
                <w:highlight w:val="yellow"/>
              </w:rPr>
              <w:t>Резултати от мерките и комбинации от мерки</w:t>
            </w:r>
          </w:p>
        </w:tc>
        <w:tc>
          <w:tcPr>
            <w:tcW w:w="2006" w:type="dxa"/>
          </w:tcPr>
          <w:p w:rsidR="00143584" w:rsidRDefault="00D64125">
            <w:pPr>
              <w:jc w:val="left"/>
              <w:rPr>
                <w:rFonts w:cs="Arial"/>
                <w:highlight w:val="yellow"/>
              </w:rPr>
            </w:pPr>
            <w:r>
              <w:rPr>
                <w:highlight w:val="yellow"/>
              </w:rPr>
              <w:t>Първични/вторични</w:t>
            </w:r>
          </w:p>
          <w:p w:rsidR="00143584" w:rsidRDefault="00D64125">
            <w:pPr>
              <w:jc w:val="left"/>
              <w:rPr>
                <w:rFonts w:cs="Arial"/>
                <w:highlight w:val="yellow"/>
              </w:rPr>
            </w:pPr>
            <w:r>
              <w:rPr>
                <w:highlight w:val="yellow"/>
              </w:rPr>
              <w:t xml:space="preserve">Преки/непреки </w:t>
            </w:r>
          </w:p>
          <w:p w:rsidR="00143584" w:rsidRDefault="00D64125">
            <w:pPr>
              <w:jc w:val="left"/>
              <w:rPr>
                <w:rFonts w:cs="Arial"/>
                <w:highlight w:val="yellow"/>
              </w:rPr>
            </w:pPr>
            <w:r>
              <w:rPr>
                <w:highlight w:val="yellow"/>
              </w:rPr>
              <w:t>Предвидени/непредвидени</w:t>
            </w:r>
          </w:p>
        </w:tc>
        <w:tc>
          <w:tcPr>
            <w:tcW w:w="2006" w:type="dxa"/>
            <w:shd w:val="clear" w:color="auto" w:fill="F9CBAC" w:themeFill="background2" w:themeFillTint="66"/>
          </w:tcPr>
          <w:p w:rsidR="00143584" w:rsidRDefault="00D64125">
            <w:pPr>
              <w:jc w:val="left"/>
              <w:rPr>
                <w:rFonts w:cs="Arial"/>
                <w:highlight w:val="yellow"/>
              </w:rPr>
            </w:pPr>
            <w:r>
              <w:rPr>
                <w:highlight w:val="yellow"/>
              </w:rPr>
              <w:t>Хоризонтални ефекти (положителни = полезни взаимодействия и отрицателни)</w:t>
            </w:r>
          </w:p>
          <w:p w:rsidR="00143584" w:rsidRDefault="00D64125">
            <w:pPr>
              <w:jc w:val="left"/>
              <w:rPr>
                <w:rFonts w:cs="Arial"/>
                <w:highlight w:val="yellow"/>
              </w:rPr>
            </w:pPr>
            <w:r>
              <w:rPr>
                <w:highlight w:val="yellow"/>
              </w:rPr>
              <w:t>Предвидени/непредвидени</w:t>
            </w:r>
          </w:p>
        </w:tc>
        <w:tc>
          <w:tcPr>
            <w:tcW w:w="2006" w:type="dxa"/>
            <w:tcBorders>
              <w:bottom w:val="single" w:sz="4" w:space="0" w:color="6F6F6F" w:themeColor="text1"/>
            </w:tcBorders>
          </w:tcPr>
          <w:p w:rsidR="00143584" w:rsidRDefault="00143584">
            <w:pPr>
              <w:jc w:val="left"/>
              <w:rPr>
                <w:rFonts w:cs="Arial"/>
                <w:highlight w:val="yellow"/>
              </w:rPr>
            </w:pPr>
          </w:p>
        </w:tc>
      </w:tr>
      <w:tr w:rsidR="00143584">
        <w:trPr>
          <w:trHeight w:val="1117"/>
          <w:jc w:val="center"/>
        </w:trPr>
        <w:tc>
          <w:tcPr>
            <w:tcW w:w="2006" w:type="dxa"/>
            <w:shd w:val="clear" w:color="auto" w:fill="F7A833" w:themeFill="accent5"/>
          </w:tcPr>
          <w:p w:rsidR="00143584" w:rsidRDefault="00D64125">
            <w:pPr>
              <w:jc w:val="left"/>
              <w:rPr>
                <w:rFonts w:cs="Arial"/>
                <w:b/>
                <w:color w:val="FFFFFF" w:themeColor="accent1"/>
                <w:highlight w:val="yellow"/>
              </w:rPr>
            </w:pPr>
            <w:r>
              <w:rPr>
                <w:b/>
                <w:color w:val="FFFFFF" w:themeColor="accent1"/>
                <w:highlight w:val="yellow"/>
              </w:rPr>
              <w:t>Мярка за РСР</w:t>
            </w:r>
          </w:p>
        </w:tc>
        <w:tc>
          <w:tcPr>
            <w:tcW w:w="2006" w:type="dxa"/>
          </w:tcPr>
          <w:p w:rsidR="00143584" w:rsidRDefault="00D64125">
            <w:pPr>
              <w:jc w:val="left"/>
              <w:rPr>
                <w:rFonts w:cs="Arial"/>
                <w:highlight w:val="yellow"/>
              </w:rPr>
            </w:pPr>
            <w:r>
              <w:rPr>
                <w:highlight w:val="yellow"/>
              </w:rPr>
              <w:t>Първични/вторични</w:t>
            </w:r>
          </w:p>
          <w:p w:rsidR="00143584" w:rsidRDefault="00D64125">
            <w:pPr>
              <w:jc w:val="left"/>
              <w:rPr>
                <w:rFonts w:cs="Arial"/>
                <w:highlight w:val="yellow"/>
              </w:rPr>
            </w:pPr>
            <w:r>
              <w:rPr>
                <w:highlight w:val="yellow"/>
              </w:rPr>
              <w:t xml:space="preserve">Преки/непреки </w:t>
            </w:r>
          </w:p>
          <w:p w:rsidR="00143584" w:rsidRDefault="00D64125">
            <w:pPr>
              <w:jc w:val="left"/>
              <w:rPr>
                <w:rFonts w:cs="Arial"/>
                <w:highlight w:val="yellow"/>
              </w:rPr>
            </w:pPr>
            <w:r>
              <w:rPr>
                <w:highlight w:val="yellow"/>
              </w:rPr>
              <w:t>Предвидени/непредвидени</w:t>
            </w:r>
          </w:p>
        </w:tc>
        <w:tc>
          <w:tcPr>
            <w:tcW w:w="2006" w:type="dxa"/>
          </w:tcPr>
          <w:p w:rsidR="00143584" w:rsidRDefault="00D64125">
            <w:pPr>
              <w:jc w:val="left"/>
              <w:rPr>
                <w:rFonts w:cs="Arial"/>
                <w:highlight w:val="yellow"/>
              </w:rPr>
            </w:pPr>
            <w:r>
              <w:rPr>
                <w:highlight w:val="yellow"/>
              </w:rPr>
              <w:t>Първични/вторични</w:t>
            </w:r>
          </w:p>
          <w:p w:rsidR="00143584" w:rsidRDefault="00D64125">
            <w:pPr>
              <w:jc w:val="left"/>
              <w:rPr>
                <w:rFonts w:cs="Arial"/>
                <w:highlight w:val="yellow"/>
              </w:rPr>
            </w:pPr>
            <w:r>
              <w:rPr>
                <w:highlight w:val="yellow"/>
              </w:rPr>
              <w:t xml:space="preserve">Преки/непреки </w:t>
            </w:r>
          </w:p>
          <w:p w:rsidR="00143584" w:rsidRDefault="00D64125">
            <w:pPr>
              <w:jc w:val="left"/>
              <w:rPr>
                <w:rFonts w:cs="Arial"/>
                <w:highlight w:val="yellow"/>
              </w:rPr>
            </w:pPr>
            <w:r>
              <w:rPr>
                <w:highlight w:val="yellow"/>
              </w:rPr>
              <w:t>Предвидени/непредвидени</w:t>
            </w:r>
          </w:p>
        </w:tc>
        <w:tc>
          <w:tcPr>
            <w:tcW w:w="2006" w:type="dxa"/>
            <w:shd w:val="clear" w:color="auto" w:fill="FBDCAD" w:themeFill="accent5" w:themeFillTint="66"/>
          </w:tcPr>
          <w:p w:rsidR="00143584" w:rsidRDefault="00D64125">
            <w:pPr>
              <w:jc w:val="left"/>
              <w:rPr>
                <w:rFonts w:cs="Arial"/>
                <w:highlight w:val="yellow"/>
              </w:rPr>
            </w:pPr>
            <w:r>
              <w:rPr>
                <w:highlight w:val="yellow"/>
              </w:rPr>
              <w:t>Хоризонтални ефекти (положителни = полезни взаимодействия и отрицателни)</w:t>
            </w:r>
          </w:p>
          <w:p w:rsidR="00143584" w:rsidRDefault="00D64125">
            <w:pPr>
              <w:jc w:val="left"/>
              <w:rPr>
                <w:rFonts w:cs="Arial"/>
                <w:highlight w:val="yellow"/>
              </w:rPr>
            </w:pPr>
            <w:r>
              <w:rPr>
                <w:highlight w:val="yellow"/>
              </w:rPr>
              <w:t>Предвидени/непредвидени</w:t>
            </w:r>
          </w:p>
        </w:tc>
      </w:tr>
    </w:tbl>
    <w:p w:rsidR="00143584" w:rsidRDefault="00D64125">
      <w:pPr>
        <w:pStyle w:val="HStandard"/>
        <w:spacing w:before="120"/>
        <w:rPr>
          <w:rFonts w:eastAsiaTheme="majorEastAsia"/>
          <w:i/>
          <w:highlight w:val="yellow"/>
        </w:rPr>
      </w:pPr>
      <w:r>
        <w:rPr>
          <w:rFonts w:eastAsiaTheme="majorEastAsia"/>
          <w:i/>
          <w:highlight w:val="yellow"/>
        </w:rPr>
        <w:t xml:space="preserve">Инструмент за качествена оценка на първичния и вторичния принос на операциите по линия на ПРСР и за проследяване на хоризонталните ефекти/полезните взаимодействия е представен в част III, приложение 10.  </w:t>
      </w:r>
    </w:p>
    <w:p w:rsidR="00143584" w:rsidRDefault="00D64125">
      <w:pPr>
        <w:pStyle w:val="HHeading5"/>
        <w:rPr>
          <w:rFonts w:eastAsiaTheme="majorEastAsia" w:cs="Arial"/>
          <w:highlight w:val="yellow"/>
        </w:rPr>
      </w:pPr>
      <w:r>
        <w:rPr>
          <w:rFonts w:eastAsiaTheme="majorEastAsia"/>
          <w:highlight w:val="yellow"/>
        </w:rPr>
        <w:t>Специфични особености на LEADER</w:t>
      </w:r>
    </w:p>
    <w:p w:rsidR="00143584" w:rsidRDefault="00D64125">
      <w:pPr>
        <w:pStyle w:val="HStandard"/>
        <w:rPr>
          <w:rFonts w:eastAsiaTheme="majorEastAsia" w:cs="Arial"/>
          <w:highlight w:val="yellow"/>
        </w:rPr>
      </w:pPr>
      <w:r>
        <w:rPr>
          <w:rFonts w:eastAsiaTheme="majorEastAsia"/>
          <w:highlight w:val="yellow"/>
        </w:rPr>
        <w:t xml:space="preserve">LEADER се програмира в област с поставен акцент 6Б (област с поставен акцент 6А в Обединеното кралство). Това е също така областта с поставен акцент, за която се очаква първичен принос и в която създаването на работни места и делът на засегнатото селско население са включени като целеви показатели. </w:t>
      </w:r>
    </w:p>
    <w:p w:rsidR="00143584" w:rsidRDefault="00D64125">
      <w:pPr>
        <w:pStyle w:val="HStandard"/>
        <w:rPr>
          <w:rFonts w:eastAsiaTheme="majorEastAsia" w:cs="Arial"/>
          <w:highlight w:val="yellow"/>
        </w:rPr>
      </w:pPr>
      <w:r>
        <w:rPr>
          <w:rFonts w:eastAsiaTheme="majorEastAsia"/>
          <w:highlight w:val="yellow"/>
        </w:rPr>
        <w:t>LEADER обаче се осъществява чрез стратегии за местно развитие (стратегия за ВОМР), които всъщност приличат на малки програми, подпомагащи широк кръг от операции. Обхватът е различен в различните държави членки/региони</w:t>
      </w:r>
      <w:r>
        <w:rPr>
          <w:rStyle w:val="FootnoteReference"/>
          <w:rFonts w:eastAsiaTheme="majorEastAsia"/>
          <w:highlight w:val="yellow"/>
        </w:rPr>
        <w:footnoteReference w:id="34"/>
      </w:r>
      <w:r>
        <w:rPr>
          <w:rFonts w:eastAsiaTheme="majorEastAsia"/>
          <w:highlight w:val="yellow"/>
        </w:rPr>
        <w:t xml:space="preserve">. Това предполага, че проектите, които са финансирани в рамките на мерки по стратегията за ВОМР, ще допринесат за редица области с поставен акцент, а не само за ОПА 6Б (вторичен принос на LEADER). </w:t>
      </w:r>
    </w:p>
    <w:p w:rsidR="00143584" w:rsidRDefault="00D64125">
      <w:pPr>
        <w:pStyle w:val="HStandard"/>
        <w:rPr>
          <w:rFonts w:eastAsiaTheme="majorEastAsia" w:cs="Arial"/>
          <w:highlight w:val="yellow"/>
        </w:rPr>
      </w:pPr>
      <w:r>
        <w:rPr>
          <w:highlight w:val="yellow"/>
        </w:rPr>
        <w:t xml:space="preserve">Може да се разграничат </w:t>
      </w:r>
      <w:r>
        <w:rPr>
          <w:rFonts w:eastAsiaTheme="majorEastAsia"/>
          <w:b/>
          <w:highlight w:val="yellow"/>
        </w:rPr>
        <w:t>два вида вторичен принос</w:t>
      </w:r>
      <w:r>
        <w:rPr>
          <w:rFonts w:eastAsiaTheme="majorEastAsia"/>
          <w:highlight w:val="yellow"/>
        </w:rPr>
        <w:t xml:space="preserve"> към ОПА от проектите по LEADER  (елементи на данни, които имат отношение към LEADER, следва да се събират за всеки проект)</w:t>
      </w:r>
      <w:r>
        <w:rPr>
          <w:rStyle w:val="FootnoteReference"/>
          <w:highlight w:val="yellow"/>
        </w:rPr>
        <w:footnoteReference w:id="35"/>
      </w:r>
      <w:r>
        <w:rPr>
          <w:rFonts w:eastAsiaTheme="majorEastAsia"/>
          <w:highlight w:val="yellow"/>
        </w:rPr>
        <w:t>:</w:t>
      </w:r>
    </w:p>
    <w:p w:rsidR="00143584" w:rsidRDefault="00D64125">
      <w:pPr>
        <w:pStyle w:val="Hlistbullet"/>
        <w:rPr>
          <w:rFonts w:eastAsiaTheme="majorEastAsia" w:cs="Arial"/>
          <w:highlight w:val="yellow"/>
        </w:rPr>
      </w:pPr>
      <w:r>
        <w:rPr>
          <w:highlight w:val="yellow"/>
        </w:rPr>
        <w:t xml:space="preserve">преобладаващ принос към ОПА, </w:t>
      </w:r>
    </w:p>
    <w:p w:rsidR="00143584" w:rsidRDefault="00D64125">
      <w:pPr>
        <w:pStyle w:val="Hlistbullet"/>
        <w:rPr>
          <w:rFonts w:eastAsiaTheme="majorEastAsia"/>
          <w:highlight w:val="yellow"/>
        </w:rPr>
      </w:pPr>
      <w:r>
        <w:rPr>
          <w:highlight w:val="yellow"/>
        </w:rPr>
        <w:t xml:space="preserve">допълнителен принос към ОПА. </w:t>
      </w:r>
    </w:p>
    <w:p w:rsidR="00143584" w:rsidRDefault="00D64125">
      <w:pPr>
        <w:pStyle w:val="HStandard"/>
        <w:rPr>
          <w:rFonts w:eastAsiaTheme="majorEastAsia" w:cs="Arial"/>
          <w:highlight w:val="yellow"/>
        </w:rPr>
      </w:pPr>
      <w:r>
        <w:rPr>
          <w:rFonts w:eastAsiaTheme="majorEastAsia"/>
          <w:highlight w:val="yellow"/>
        </w:rPr>
        <w:lastRenderedPageBreak/>
        <w:t xml:space="preserve">Това означава, че при оценяването на интервенционната логика на ПРСР трябва да се обърне внимание на вторичния принос на LEADER към области с поставен акцент, различни от ОПА 6Б, по която обикновено се програмира LEADER. Когато се очаква принос чрез стратегията за ВОМР, тогава неговата валидност трябва да се потвърди. За тази цел трябва да бъде създадена база данни на операциите на ниво местни групи за действие (МГД), подобно на базата данни на операциите по ПРСР, в която да се въвеждат всички операции с първичен и вторичен принос от стратегията за ВОМР, свързани със стойностите на показателите за резултатите, използвани при оценяването на постиженията в рамките на областите с поставен акцент. Приносът по LEADER може да се пресметне, като се използват </w:t>
      </w:r>
      <w:r>
        <w:rPr>
          <w:rFonts w:eastAsiaTheme="majorEastAsia"/>
          <w:b/>
          <w:highlight w:val="yellow"/>
        </w:rPr>
        <w:t>извадки</w:t>
      </w:r>
      <w:r>
        <w:rPr>
          <w:rFonts w:eastAsiaTheme="majorEastAsia"/>
          <w:highlight w:val="yellow"/>
        </w:rPr>
        <w:t xml:space="preserve"> от бенефициери, които са обозначили съответните ОПА като преобладаващ или допълнителен принос в базата данни на операциите на МГД.</w:t>
      </w:r>
    </w:p>
    <w:p w:rsidR="00143584" w:rsidRDefault="00D64125">
      <w:pPr>
        <w:pStyle w:val="HStandard"/>
        <w:rPr>
          <w:rFonts w:cs="Arial"/>
          <w:highlight w:val="yellow"/>
        </w:rPr>
      </w:pPr>
      <w:r>
        <w:rPr>
          <w:highlight w:val="yellow"/>
        </w:rPr>
        <w:t xml:space="preserve">Друга особеност на LEADER е свързана с </w:t>
      </w:r>
      <w:r>
        <w:rPr>
          <w:b/>
          <w:highlight w:val="yellow"/>
        </w:rPr>
        <w:t>метода LEADER</w:t>
      </w:r>
      <w:r>
        <w:rPr>
          <w:highlight w:val="yellow"/>
        </w:rPr>
        <w:t xml:space="preserve">, който се изразява в 7 принципа (партньорство, „от долу нагоре“, мултисекторни и базирани на района стратегии, иновации, изграждане на мрежи и сътрудничество) и генерира </w:t>
      </w:r>
      <w:r>
        <w:rPr>
          <w:b/>
          <w:highlight w:val="yellow"/>
        </w:rPr>
        <w:t>добавената стойност на LEADER</w:t>
      </w:r>
      <w:r>
        <w:rPr>
          <w:highlight w:val="yellow"/>
        </w:rPr>
        <w:t xml:space="preserve">, например увеличен социален капитал или подобрено местно управление. В много случаи принципите на LEADER и добавената стойност на LEADER не се формулират като специфични за програмата цели, свързани с LEADER, нито се включват като тема за оценяване в плана за оценка. Във всеки случай тези ефекти трябва да се вземат предвид при преразглеждането на LEADER в интервенционната логика на ПРСР. Това спомага за отчитането на тези ефекти (положителни и отрицателни) и за ясното им формулиране. По този начин може да бъдат идентифицирани също така допълнителни теми за оценка по отношение на LEADER. </w:t>
      </w:r>
    </w:p>
    <w:p w:rsidR="00143584" w:rsidRDefault="00D64125">
      <w:pPr>
        <w:pStyle w:val="HHeading5"/>
        <w:rPr>
          <w:rFonts w:eastAsiaTheme="majorEastAsia" w:cs="Arial"/>
          <w:highlight w:val="yellow"/>
        </w:rPr>
      </w:pPr>
      <w:r>
        <w:rPr>
          <w:rFonts w:eastAsiaTheme="majorEastAsia"/>
          <w:highlight w:val="yellow"/>
        </w:rPr>
        <w:t>Специфични особености на техническата помощ (ТП)</w:t>
      </w:r>
    </w:p>
    <w:p w:rsidR="00143584" w:rsidRDefault="00D64125">
      <w:pPr>
        <w:pStyle w:val="HStandard"/>
        <w:rPr>
          <w:rFonts w:cs="Arial"/>
          <w:highlight w:val="yellow"/>
        </w:rPr>
      </w:pPr>
      <w:r>
        <w:rPr>
          <w:highlight w:val="yellow"/>
        </w:rPr>
        <w:t>Финансирането за техническа помощ е в размер до 4 % от общите средства по програмата за развитие на селските райони и тази помощ представлява хоризонтална мярка, която се създава по инициатива на държавата членка</w:t>
      </w:r>
      <w:r>
        <w:rPr>
          <w:highlight w:val="yellow"/>
          <w:vertAlign w:val="superscript"/>
        </w:rPr>
        <w:footnoteReference w:id="36"/>
      </w:r>
      <w:r>
        <w:rPr>
          <w:highlight w:val="yellow"/>
          <w:vertAlign w:val="superscript"/>
        </w:rPr>
        <w:t xml:space="preserve"> </w:t>
      </w:r>
      <w:r>
        <w:rPr>
          <w:highlight w:val="yellow"/>
        </w:rPr>
        <w:t>за подпомагане на действията за:</w:t>
      </w:r>
    </w:p>
    <w:p w:rsidR="00143584" w:rsidRDefault="00D64125">
      <w:pPr>
        <w:pStyle w:val="Hlistbullet"/>
        <w:rPr>
          <w:rFonts w:cs="Arial"/>
          <w:highlight w:val="yellow"/>
        </w:rPr>
      </w:pPr>
      <w:r>
        <w:rPr>
          <w:highlight w:val="yellow"/>
        </w:rPr>
        <w:t xml:space="preserve">подготовка, управление, мониторинг, оценка, информация и комуникация, създаване на мрежи, разглеждане на жалби, както и контрол и одит,  </w:t>
      </w:r>
    </w:p>
    <w:p w:rsidR="00143584" w:rsidRDefault="00D64125">
      <w:pPr>
        <w:pStyle w:val="Hlistbullet"/>
        <w:rPr>
          <w:rFonts w:cs="Arial"/>
          <w:highlight w:val="yellow"/>
        </w:rPr>
      </w:pPr>
      <w:r>
        <w:rPr>
          <w:highlight w:val="yellow"/>
        </w:rPr>
        <w:t xml:space="preserve">намаляване на административната тежест за бенефициерите, включително електронни системи за обмен на данни, както и </w:t>
      </w:r>
    </w:p>
    <w:p w:rsidR="00143584" w:rsidRDefault="00D64125">
      <w:pPr>
        <w:pStyle w:val="Hlistbullet"/>
        <w:rPr>
          <w:rFonts w:cs="Arial"/>
          <w:highlight w:val="yellow"/>
        </w:rPr>
      </w:pPr>
      <w:r>
        <w:rPr>
          <w:highlight w:val="yellow"/>
        </w:rPr>
        <w:t>укрепване на капацитета на:</w:t>
      </w:r>
    </w:p>
    <w:p w:rsidR="00143584" w:rsidRDefault="00D64125">
      <w:pPr>
        <w:pStyle w:val="Hlistbullet2"/>
        <w:rPr>
          <w:highlight w:val="yellow"/>
        </w:rPr>
      </w:pPr>
      <w:r>
        <w:rPr>
          <w:highlight w:val="yellow"/>
        </w:rPr>
        <w:t>органите на държавите членки и на бенефициерите за администриране и използване на ЕЗФРСР,</w:t>
      </w:r>
    </w:p>
    <w:p w:rsidR="00143584" w:rsidRDefault="00D64125">
      <w:pPr>
        <w:pStyle w:val="Hlistbullet2"/>
        <w:rPr>
          <w:highlight w:val="yellow"/>
        </w:rPr>
      </w:pPr>
      <w:r>
        <w:rPr>
          <w:highlight w:val="yellow"/>
        </w:rPr>
        <w:t>съответните партньори съгласно примерните области, теми и добри практики относно начина, по който компетентните органи на държавите членки могат да използват ЕЗФРСР за укрепване на институционалния капацитет на имащите отношение партньори в съответствие с правната рамка и за подкрепа на обмена на добри практики между тези партньори</w:t>
      </w:r>
      <w:r>
        <w:rPr>
          <w:rStyle w:val="FootnoteReference"/>
          <w:highlight w:val="yellow"/>
        </w:rPr>
        <w:footnoteReference w:id="37"/>
      </w:r>
      <w:r>
        <w:rPr>
          <w:highlight w:val="yellow"/>
        </w:rPr>
        <w:t xml:space="preserve">. </w:t>
      </w:r>
    </w:p>
    <w:p w:rsidR="00143584" w:rsidRDefault="00D64125">
      <w:pPr>
        <w:pStyle w:val="HStandard"/>
        <w:rPr>
          <w:rFonts w:cs="Arial"/>
          <w:highlight w:val="yellow"/>
        </w:rPr>
      </w:pPr>
      <w:r>
        <w:rPr>
          <w:highlight w:val="yellow"/>
        </w:rPr>
        <w:t xml:space="preserve">Въпреки че техническата помощ не е непременно „явна“ част от интервенционната логика на ПРСР, тя все пак подпомага изпълнението на ПРСР и допринася за постигането на целите на ПРСР. </w:t>
      </w:r>
    </w:p>
    <w:p w:rsidR="00143584" w:rsidRDefault="00D64125">
      <w:pPr>
        <w:pStyle w:val="HStandard"/>
        <w:rPr>
          <w:rFonts w:cs="Arial"/>
          <w:highlight w:val="yellow"/>
        </w:rPr>
      </w:pPr>
      <w:r>
        <w:rPr>
          <w:highlight w:val="yellow"/>
        </w:rPr>
        <w:t xml:space="preserve">Ако са предвидени по-голям брой специфични теми като предмет на оценката на действията за ТП в даден момент (2017 г., 2019 г. и последващо), тогава се препоръчва за тези теми да се състави интервенционна логика, да се формулират цели, очаквани крайни продукти, резултати </w:t>
      </w:r>
      <w:r>
        <w:rPr>
          <w:highlight w:val="yellow"/>
        </w:rPr>
        <w:lastRenderedPageBreak/>
        <w:t xml:space="preserve">и въздействия. При преразглеждането на интервенционната логика се препоръчва да се направи повторна проверка дали все още са валидни целите, свързани с темата за оценката на ТП и очакваните ефекти от планираните дейности и бюджети. </w:t>
      </w:r>
    </w:p>
    <w:p w:rsidR="00143584" w:rsidRDefault="00D64125">
      <w:pPr>
        <w:pStyle w:val="HHeading5"/>
        <w:rPr>
          <w:rFonts w:cs="Arial"/>
          <w:highlight w:val="yellow"/>
        </w:rPr>
      </w:pPr>
      <w:r>
        <w:rPr>
          <w:highlight w:val="yellow"/>
        </w:rPr>
        <w:t>Специфични особености на националната мрежа на селските райони (НМСР)</w:t>
      </w:r>
    </w:p>
    <w:p w:rsidR="00143584" w:rsidRDefault="00D64125">
      <w:pPr>
        <w:pStyle w:val="HStandard"/>
        <w:rPr>
          <w:rFonts w:cs="Arial"/>
          <w:highlight w:val="yellow"/>
        </w:rPr>
      </w:pPr>
      <w:r>
        <w:rPr>
          <w:highlight w:val="yellow"/>
        </w:rPr>
        <w:t>НМСР е важно действие в рамките на ТП и оценката ѝ се извършва или като част от оценката на ПРСР, или като самостоятелна тема за оценка.</w:t>
      </w:r>
    </w:p>
    <w:p w:rsidR="00143584" w:rsidRDefault="00D64125">
      <w:pPr>
        <w:pStyle w:val="HStandard"/>
        <w:rPr>
          <w:rFonts w:cs="Arial"/>
          <w:highlight w:val="yellow"/>
        </w:rPr>
      </w:pPr>
      <w:r>
        <w:rPr>
          <w:highlight w:val="yellow"/>
        </w:rPr>
        <w:t>НМСР обединява организациите и администрациите, които са ангажирани с развитието на селските райони, като има за цел: а) да повиши участието на заинтересованите страни в развитието на селските райони; б) да постигне по-високо качество при изпълнението на програмите за развитие на селските райони; в) да информира широката общественост и потенциалните бенефициери за политиката за развитие на селските райони и възможностите за финансиране; както и г) да насърчава иновациите в селското стопанство, производството на храни, горското стопанство и селските райони</w:t>
      </w:r>
      <w:r>
        <w:rPr>
          <w:rStyle w:val="FootnoteReference"/>
          <w:highlight w:val="yellow"/>
        </w:rPr>
        <w:footnoteReference w:id="38"/>
      </w:r>
      <w:r>
        <w:rPr>
          <w:highlight w:val="yellow"/>
        </w:rPr>
        <w:t>. НМСР, както и другите действия в рамките на ТП, представлява хоризонтална функция за подпомагане, която допринася за постигането на всички цели на ПРСР. Тъй като НМСР има план за действие и специфична структура (Звено за подпомагане на мрежата (ЗПМ) и мрежа), се препоръчва изрично да се формулира интервенционната логика на НМСР.  Освен това конкретните програми за НМСР, които се изпълняват в някои държави членки с множество региони, трябва да бъдат проектирани в съответствие с подходяща интервенционна логика на НМСР</w:t>
      </w:r>
      <w:r>
        <w:rPr>
          <w:rStyle w:val="FootnoteReference"/>
          <w:highlight w:val="yellow"/>
        </w:rPr>
        <w:footnoteReference w:id="39"/>
      </w:r>
      <w:r>
        <w:rPr>
          <w:highlight w:val="yellow"/>
        </w:rPr>
        <w:t xml:space="preserve">. </w:t>
      </w:r>
    </w:p>
    <w:p w:rsidR="00143584" w:rsidRDefault="00D64125">
      <w:pPr>
        <w:pStyle w:val="HStandard"/>
        <w:rPr>
          <w:rFonts w:cs="Arial"/>
          <w:highlight w:val="yellow"/>
        </w:rPr>
      </w:pPr>
      <w:r>
        <w:rPr>
          <w:highlight w:val="yellow"/>
        </w:rPr>
        <w:t>Практиката показва, че някои държави членки са формулирали специална интервенционна логика за своите НМСР още по време на проектирането на програмата. В тези случаи интервенционната логика трябва да се преразгледа заедно с интервенционната логика на ПРСР. Същото важи и за програмите за национална мрежа за селските райони (ПНМСР).</w:t>
      </w:r>
    </w:p>
    <w:p w:rsidR="00143584" w:rsidRDefault="00D64125">
      <w:pPr>
        <w:pStyle w:val="HStandard"/>
        <w:rPr>
          <w:rFonts w:cs="Arial"/>
          <w:highlight w:val="yellow"/>
        </w:rPr>
      </w:pPr>
      <w:r>
        <w:rPr>
          <w:highlight w:val="yellow"/>
        </w:rPr>
        <w:t xml:space="preserve">Ако липсва собствена интервенционна логика на НМСР, тогава се препоръчва УО или ЗПМ в сътрудничество с УО да формулира интервенционната логика на НМСР на етапа на подготовка за оценката. За тази цел е необходимо да бъдат формулирани специфични цели на НМСР, очаквани резултати и въздействия (като добавената стойност на НМСР надхвърля предвидените общи и специфични за програмата цели на НМСР). </w:t>
      </w:r>
    </w:p>
    <w:p w:rsidR="00143584" w:rsidRDefault="00D64125">
      <w:pPr>
        <w:pStyle w:val="HHeading5"/>
        <w:rPr>
          <w:rFonts w:cs="Arial"/>
          <w:highlight w:val="yellow"/>
        </w:rPr>
      </w:pPr>
      <w:r>
        <w:rPr>
          <w:highlight w:val="yellow"/>
        </w:rPr>
        <w:t>Допълнителни материали</w:t>
      </w:r>
    </w:p>
    <w:p w:rsidR="00143584" w:rsidRDefault="00D64125">
      <w:pPr>
        <w:pStyle w:val="HBox"/>
        <w:jc w:val="left"/>
        <w:rPr>
          <w:rFonts w:cs="Arial"/>
          <w:highlight w:val="yellow"/>
        </w:rPr>
      </w:pPr>
      <w:r>
        <w:rPr>
          <w:highlight w:val="yellow"/>
        </w:rPr>
        <w:t xml:space="preserve">Да се постигне максимума по вашата ПРСР: Ръководство за предварителна оценка на ПРСР за периода 2014—2020 г., част II, глави 1 и 2, </w:t>
      </w:r>
      <w:hyperlink r:id="rId40" w:history="1">
        <w:r>
          <w:rPr>
            <w:rStyle w:val="Hyperlink"/>
            <w:highlight w:val="yellow"/>
            <w:lang w:val="en-GB"/>
          </w:rPr>
          <w:t>http</w:t>
        </w:r>
        <w:r>
          <w:rPr>
            <w:rStyle w:val="Hyperlink"/>
            <w:highlight w:val="yellow"/>
          </w:rPr>
          <w:t>://</w:t>
        </w:r>
        <w:r>
          <w:rPr>
            <w:rStyle w:val="Hyperlink"/>
            <w:highlight w:val="yellow"/>
            <w:lang w:val="en-GB"/>
          </w:rPr>
          <w:t>enrd</w:t>
        </w:r>
        <w:r>
          <w:rPr>
            <w:rStyle w:val="Hyperlink"/>
            <w:highlight w:val="yellow"/>
          </w:rPr>
          <w:t>.</w:t>
        </w:r>
        <w:r>
          <w:rPr>
            <w:rStyle w:val="Hyperlink"/>
            <w:highlight w:val="yellow"/>
            <w:lang w:val="en-GB"/>
          </w:rPr>
          <w:t>ec</w:t>
        </w:r>
        <w:r>
          <w:rPr>
            <w:rStyle w:val="Hyperlink"/>
            <w:highlight w:val="yellow"/>
          </w:rPr>
          <w:t>.</w:t>
        </w:r>
        <w:r>
          <w:rPr>
            <w:rStyle w:val="Hyperlink"/>
            <w:highlight w:val="yellow"/>
            <w:lang w:val="en-GB"/>
          </w:rPr>
          <w:t>europa</w:t>
        </w:r>
        <w:r>
          <w:rPr>
            <w:rStyle w:val="Hyperlink"/>
            <w:highlight w:val="yellow"/>
          </w:rPr>
          <w:t>.</w:t>
        </w:r>
        <w:r>
          <w:rPr>
            <w:rStyle w:val="Hyperlink"/>
            <w:highlight w:val="yellow"/>
            <w:lang w:val="en-GB"/>
          </w:rPr>
          <w:t>eu</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publications</w:t>
        </w:r>
        <w:r>
          <w:rPr>
            <w:rStyle w:val="Hyperlink"/>
            <w:highlight w:val="yellow"/>
          </w:rPr>
          <w:t>/</w:t>
        </w:r>
        <w:r>
          <w:rPr>
            <w:rStyle w:val="Hyperlink"/>
            <w:highlight w:val="yellow"/>
            <w:lang w:val="en-GB"/>
          </w:rPr>
          <w:t>e</w:t>
        </w:r>
        <w:r>
          <w:rPr>
            <w:rStyle w:val="Hyperlink"/>
            <w:highlight w:val="yellow"/>
          </w:rPr>
          <w:t>-</w:t>
        </w:r>
        <w:r>
          <w:rPr>
            <w:rStyle w:val="Hyperlink"/>
            <w:highlight w:val="yellow"/>
            <w:lang w:val="en-GB"/>
          </w:rPr>
          <w:t>library</w:t>
        </w:r>
        <w:r>
          <w:rPr>
            <w:rStyle w:val="Hyperlink"/>
            <w:highlight w:val="yellow"/>
          </w:rPr>
          <w:t>_</w:t>
        </w:r>
        <w:r>
          <w:rPr>
            <w:rStyle w:val="Hyperlink"/>
            <w:highlight w:val="yellow"/>
            <w:lang w:val="en-GB"/>
          </w:rPr>
          <w:t>en</w:t>
        </w:r>
      </w:hyperlink>
      <w:r>
        <w:rPr>
          <w:rFonts w:cs="Arial"/>
          <w:highlight w:val="yellow"/>
        </w:rPr>
        <w:t>.</w:t>
      </w:r>
      <w:r>
        <w:rPr>
          <w:highlight w:val="yellow"/>
        </w:rPr>
        <w:t xml:space="preserve"> </w:t>
      </w:r>
    </w:p>
    <w:p w:rsidR="00143584" w:rsidRDefault="00D64125">
      <w:pPr>
        <w:pStyle w:val="HBox"/>
        <w:jc w:val="left"/>
        <w:rPr>
          <w:rFonts w:cs="Arial"/>
          <w:highlight w:val="yellow"/>
        </w:rPr>
      </w:pPr>
      <w:r>
        <w:rPr>
          <w:highlight w:val="yellow"/>
        </w:rPr>
        <w:t>Успешна реализация на вашата ПРСР: Насоки за последваща оценка на ПРСР за периода 2007—2013 г., част II, глава 1,</w:t>
      </w:r>
      <w:r>
        <w:rPr>
          <w:rFonts w:cs="Arial"/>
          <w:highlight w:val="yellow"/>
        </w:rPr>
        <w:t xml:space="preserve"> </w:t>
      </w:r>
      <w:hyperlink r:id="rId41" w:history="1">
        <w:r>
          <w:rPr>
            <w:rStyle w:val="Hyperlink"/>
            <w:rFonts w:cs="Arial"/>
            <w:highlight w:val="yellow"/>
            <w:lang w:val="en-GB"/>
          </w:rPr>
          <w:t>http</w:t>
        </w:r>
        <w:r>
          <w:rPr>
            <w:rStyle w:val="Hyperlink"/>
            <w:rFonts w:cs="Arial"/>
            <w:highlight w:val="yellow"/>
          </w:rPr>
          <w:t>://</w:t>
        </w:r>
        <w:r>
          <w:rPr>
            <w:rStyle w:val="Hyperlink"/>
            <w:rFonts w:cs="Arial"/>
            <w:highlight w:val="yellow"/>
            <w:lang w:val="en-GB"/>
          </w:rPr>
          <w:t>enrd</w:t>
        </w:r>
        <w:r>
          <w:rPr>
            <w:rStyle w:val="Hyperlink"/>
            <w:rFonts w:cs="Arial"/>
            <w:highlight w:val="yellow"/>
          </w:rPr>
          <w:t>.</w:t>
        </w:r>
        <w:r>
          <w:rPr>
            <w:rStyle w:val="Hyperlink"/>
            <w:rFonts w:cs="Arial"/>
            <w:highlight w:val="yellow"/>
            <w:lang w:val="en-GB"/>
          </w:rPr>
          <w:t>ec</w:t>
        </w:r>
        <w:r>
          <w:rPr>
            <w:rStyle w:val="Hyperlink"/>
            <w:rFonts w:cs="Arial"/>
            <w:highlight w:val="yellow"/>
          </w:rPr>
          <w:t>.</w:t>
        </w:r>
        <w:r>
          <w:rPr>
            <w:rStyle w:val="Hyperlink"/>
            <w:rFonts w:cs="Arial"/>
            <w:highlight w:val="yellow"/>
            <w:lang w:val="en-GB"/>
          </w:rPr>
          <w:t>europa</w:t>
        </w:r>
        <w:r>
          <w:rPr>
            <w:rStyle w:val="Hyperlink"/>
            <w:rFonts w:cs="Arial"/>
            <w:highlight w:val="yellow"/>
          </w:rPr>
          <w:t>.</w:t>
        </w:r>
        <w:r>
          <w:rPr>
            <w:rStyle w:val="Hyperlink"/>
            <w:rFonts w:cs="Arial"/>
            <w:highlight w:val="yellow"/>
            <w:lang w:val="en-GB"/>
          </w:rPr>
          <w:t>eu</w:t>
        </w:r>
        <w:r>
          <w:rPr>
            <w:rStyle w:val="Hyperlink"/>
            <w:rFonts w:cs="Arial"/>
            <w:highlight w:val="yellow"/>
          </w:rPr>
          <w:t>/</w:t>
        </w:r>
        <w:r>
          <w:rPr>
            <w:rStyle w:val="Hyperlink"/>
            <w:rFonts w:cs="Arial"/>
            <w:highlight w:val="yellow"/>
            <w:lang w:val="en-GB"/>
          </w:rPr>
          <w:t>enrd</w:t>
        </w:r>
        <w:r>
          <w:rPr>
            <w:rStyle w:val="Hyperlink"/>
            <w:rFonts w:cs="Arial"/>
            <w:highlight w:val="yellow"/>
          </w:rPr>
          <w:t>-</w:t>
        </w:r>
        <w:r>
          <w:rPr>
            <w:rStyle w:val="Hyperlink"/>
            <w:rFonts w:cs="Arial"/>
            <w:highlight w:val="yellow"/>
            <w:lang w:val="en-GB"/>
          </w:rPr>
          <w:t>static</w:t>
        </w:r>
        <w:r>
          <w:rPr>
            <w:rStyle w:val="Hyperlink"/>
            <w:rFonts w:cs="Arial"/>
            <w:highlight w:val="yellow"/>
          </w:rPr>
          <w:t>/</w:t>
        </w:r>
        <w:r>
          <w:rPr>
            <w:rStyle w:val="Hyperlink"/>
            <w:rFonts w:cs="Arial"/>
            <w:highlight w:val="yellow"/>
            <w:lang w:val="en-GB"/>
          </w:rPr>
          <w:t>evaluation</w:t>
        </w:r>
        <w:r>
          <w:rPr>
            <w:rStyle w:val="Hyperlink"/>
            <w:rFonts w:cs="Arial"/>
            <w:highlight w:val="yellow"/>
          </w:rPr>
          <w:t>/</w:t>
        </w:r>
        <w:r>
          <w:rPr>
            <w:rStyle w:val="Hyperlink"/>
            <w:rFonts w:cs="Arial"/>
            <w:highlight w:val="yellow"/>
            <w:lang w:val="en-GB"/>
          </w:rPr>
          <w:t>library</w:t>
        </w:r>
        <w:r>
          <w:rPr>
            <w:rStyle w:val="Hyperlink"/>
            <w:rFonts w:cs="Arial"/>
            <w:highlight w:val="yellow"/>
          </w:rPr>
          <w:t>/</w:t>
        </w:r>
        <w:r>
          <w:rPr>
            <w:rStyle w:val="Hyperlink"/>
            <w:rFonts w:cs="Arial"/>
            <w:highlight w:val="yellow"/>
            <w:lang w:val="en-GB"/>
          </w:rPr>
          <w:t>evaluation</w:t>
        </w:r>
        <w:r>
          <w:rPr>
            <w:rStyle w:val="Hyperlink"/>
            <w:rFonts w:cs="Arial"/>
            <w:highlight w:val="yellow"/>
          </w:rPr>
          <w:t>-</w:t>
        </w:r>
        <w:r>
          <w:rPr>
            <w:rStyle w:val="Hyperlink"/>
            <w:rFonts w:cs="Arial"/>
            <w:highlight w:val="yellow"/>
            <w:lang w:val="en-GB"/>
          </w:rPr>
          <w:t>helpdesk</w:t>
        </w:r>
        <w:r>
          <w:rPr>
            <w:rStyle w:val="Hyperlink"/>
            <w:rFonts w:cs="Arial"/>
            <w:highlight w:val="yellow"/>
          </w:rPr>
          <w:t>-</w:t>
        </w:r>
        <w:r>
          <w:rPr>
            <w:rStyle w:val="Hyperlink"/>
            <w:rFonts w:cs="Arial"/>
            <w:highlight w:val="yellow"/>
            <w:lang w:val="en-GB"/>
          </w:rPr>
          <w:t>publications</w:t>
        </w:r>
        <w:r>
          <w:rPr>
            <w:rStyle w:val="Hyperlink"/>
            <w:rFonts w:cs="Arial"/>
            <w:highlight w:val="yellow"/>
          </w:rPr>
          <w:t>/</w:t>
        </w:r>
        <w:r>
          <w:rPr>
            <w:rStyle w:val="Hyperlink"/>
            <w:rFonts w:cs="Arial"/>
            <w:highlight w:val="yellow"/>
            <w:lang w:val="en-GB"/>
          </w:rPr>
          <w:t>en</w:t>
        </w:r>
        <w:r>
          <w:rPr>
            <w:rStyle w:val="Hyperlink"/>
            <w:rFonts w:cs="Arial"/>
            <w:highlight w:val="yellow"/>
          </w:rPr>
          <w:t>/</w:t>
        </w:r>
        <w:r>
          <w:rPr>
            <w:rStyle w:val="Hyperlink"/>
            <w:rFonts w:cs="Arial"/>
            <w:highlight w:val="yellow"/>
            <w:lang w:val="en-GB"/>
          </w:rPr>
          <w:t>evaluation</w:t>
        </w:r>
        <w:r>
          <w:rPr>
            <w:rStyle w:val="Hyperlink"/>
            <w:rFonts w:cs="Arial"/>
            <w:highlight w:val="yellow"/>
          </w:rPr>
          <w:t>-</w:t>
        </w:r>
        <w:r>
          <w:rPr>
            <w:rStyle w:val="Hyperlink"/>
            <w:rFonts w:cs="Arial"/>
            <w:highlight w:val="yellow"/>
            <w:lang w:val="en-GB"/>
          </w:rPr>
          <w:t>helpdesk</w:t>
        </w:r>
        <w:r>
          <w:rPr>
            <w:rStyle w:val="Hyperlink"/>
            <w:rFonts w:cs="Arial"/>
            <w:highlight w:val="yellow"/>
          </w:rPr>
          <w:t>-</w:t>
        </w:r>
        <w:r>
          <w:rPr>
            <w:rStyle w:val="Hyperlink"/>
            <w:rFonts w:cs="Arial"/>
            <w:highlight w:val="yellow"/>
            <w:lang w:val="en-GB"/>
          </w:rPr>
          <w:t>publications</w:t>
        </w:r>
        <w:r>
          <w:rPr>
            <w:rStyle w:val="Hyperlink"/>
            <w:rFonts w:cs="Arial"/>
            <w:highlight w:val="yellow"/>
          </w:rPr>
          <w:t>_</w:t>
        </w:r>
        <w:r>
          <w:rPr>
            <w:rStyle w:val="Hyperlink"/>
            <w:rFonts w:cs="Arial"/>
            <w:highlight w:val="yellow"/>
            <w:lang w:val="en-GB"/>
          </w:rPr>
          <w:t>en</w:t>
        </w:r>
        <w:r>
          <w:rPr>
            <w:rStyle w:val="Hyperlink"/>
            <w:rFonts w:cs="Arial"/>
            <w:highlight w:val="yellow"/>
          </w:rPr>
          <w:t>.</w:t>
        </w:r>
        <w:r>
          <w:rPr>
            <w:rStyle w:val="Hyperlink"/>
            <w:rFonts w:cs="Arial"/>
            <w:highlight w:val="yellow"/>
            <w:lang w:val="en-GB"/>
          </w:rPr>
          <w:t>html</w:t>
        </w:r>
      </w:hyperlink>
      <w:r>
        <w:rPr>
          <w:rFonts w:cs="Arial"/>
          <w:highlight w:val="yellow"/>
        </w:rPr>
        <w:t>.</w:t>
      </w:r>
    </w:p>
    <w:p w:rsidR="00143584" w:rsidRDefault="00D64125">
      <w:pPr>
        <w:pStyle w:val="HBox"/>
        <w:jc w:val="left"/>
        <w:rPr>
          <w:rFonts w:cs="Arial"/>
          <w:highlight w:val="yellow"/>
        </w:rPr>
      </w:pPr>
      <w:r>
        <w:rPr>
          <w:highlight w:val="yellow"/>
        </w:rPr>
        <w:t>Metis/WIFO/AEIDL (2014 г.), Инвестиционно подпомагане по линия на политиката за развитие на селските райони (Investment Support under the Rural Development Policy), Окончателен доклад, Европейска комисия, Брюксел.</w:t>
      </w:r>
    </w:p>
    <w:p w:rsidR="00143584" w:rsidRDefault="00D64125">
      <w:pPr>
        <w:pStyle w:val="HBox"/>
        <w:jc w:val="left"/>
        <w:rPr>
          <w:rFonts w:cs="Arial"/>
          <w:highlight w:val="yellow"/>
        </w:rPr>
      </w:pPr>
      <w:r>
        <w:rPr>
          <w:highlight w:val="yellow"/>
        </w:rPr>
        <w:t xml:space="preserve">Psaltopoulos, D., Phimister, E., Ratinger, T., Roberts, D., Skuras, D., Balamou, E., Bednarikova, Z., Espinosa, M., Gomez y Paloma, S., Mary, S., Nohel, F. и Santini, F. (2012 г.), Предварителен анализ на въздействието върху политиката за териториално устройство на политиката за </w:t>
      </w:r>
      <w:r>
        <w:rPr>
          <w:highlight w:val="yellow"/>
        </w:rPr>
        <w:lastRenderedPageBreak/>
        <w:t xml:space="preserve">развитие на селските райони в европейските селски райони (Ex ante Spatial Policy Impact Analysis of the Rural Development Policy in European Rural Areas). </w:t>
      </w:r>
    </w:p>
    <w:p w:rsidR="00143584" w:rsidRDefault="00D64125">
      <w:pPr>
        <w:pStyle w:val="HBox"/>
        <w:jc w:val="left"/>
        <w:rPr>
          <w:rFonts w:cs="Arial"/>
          <w:highlight w:val="yellow"/>
        </w:rPr>
      </w:pPr>
      <w:r>
        <w:rPr>
          <w:highlight w:val="yellow"/>
        </w:rPr>
        <w:t>(RURAL ECMOD), Научно-технически доклади на JRC, Служба за официални публикации на Европейските общности, Люксембург.</w:t>
      </w:r>
    </w:p>
    <w:p w:rsidR="00143584" w:rsidRDefault="00D64125">
      <w:pPr>
        <w:pStyle w:val="HHeading2"/>
        <w:rPr>
          <w:rFonts w:cs="Arial"/>
          <w:highlight w:val="yellow"/>
        </w:rPr>
      </w:pPr>
      <w:bookmarkStart w:id="56" w:name="_Toc428969471"/>
      <w:bookmarkStart w:id="57" w:name="_Toc460936110"/>
      <w:bookmarkStart w:id="58" w:name="_Toc474938234"/>
      <w:r>
        <w:rPr>
          <w:highlight w:val="yellow"/>
        </w:rPr>
        <w:t>Връзка между интервенционната логика и елементите на оценката</w:t>
      </w:r>
      <w:bookmarkEnd w:id="56"/>
      <w:bookmarkEnd w:id="57"/>
      <w:bookmarkEnd w:id="58"/>
      <w:r>
        <w:rPr>
          <w:highlight w:val="yellow"/>
        </w:rPr>
        <w:t xml:space="preserve"> </w:t>
      </w:r>
    </w:p>
    <w:p w:rsidR="00143584" w:rsidRDefault="00D64125">
      <w:pPr>
        <w:pStyle w:val="HHeading3"/>
        <w:rPr>
          <w:rFonts w:cs="Arial"/>
          <w:highlight w:val="yellow"/>
        </w:rPr>
      </w:pPr>
      <w:bookmarkStart w:id="59" w:name="_Toc460936111"/>
      <w:bookmarkStart w:id="60" w:name="_Toc474938235"/>
      <w:r>
        <w:rPr>
          <w:highlight w:val="yellow"/>
        </w:rPr>
        <w:t>Дефиниране на елементите на оценката: въпроси за оценка, критерии за преценката, показатели</w:t>
      </w:r>
      <w:bookmarkEnd w:id="59"/>
      <w:bookmarkEnd w:id="6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143584">
        <w:trPr>
          <w:jc w:val="center"/>
        </w:trPr>
        <w:tc>
          <w:tcPr>
            <w:tcW w:w="9071" w:type="dxa"/>
            <w:shd w:val="clear" w:color="auto" w:fill="F6B183" w:themeFill="background2" w:themeFillTint="99"/>
          </w:tcPr>
          <w:p w:rsidR="00143584" w:rsidRDefault="00D64125">
            <w:pPr>
              <w:pStyle w:val="HStandard"/>
              <w:rPr>
                <w:rFonts w:cs="Arial"/>
                <w:highlight w:val="yellow"/>
              </w:rPr>
            </w:pPr>
            <w:r>
              <w:rPr>
                <w:highlight w:val="yellow"/>
              </w:rPr>
              <w:t>За да се осигурят обосновани отговори на ВО, е важно да се гарантира, че всички общи, допълнителни и специфични за програмата елементи на оценката (ВО, критерии за преценка и показатели) са пълни, ясни и добре дефинирани. Освен това всички термини, които са използвани в тези елементи на оценката, трябва да бъдат ясни и разбираеми за участващите заинтересовани страни.</w:t>
            </w:r>
          </w:p>
        </w:tc>
      </w:tr>
      <w:tr w:rsidR="00143584">
        <w:trPr>
          <w:jc w:val="center"/>
        </w:trPr>
        <w:tc>
          <w:tcPr>
            <w:tcW w:w="9071" w:type="dxa"/>
            <w:shd w:val="clear" w:color="auto" w:fill="FCE5D5" w:themeFill="background2" w:themeFillTint="33"/>
          </w:tcPr>
          <w:p w:rsidR="00143584" w:rsidRDefault="00D64125">
            <w:pPr>
              <w:pStyle w:val="HHeading5"/>
              <w:rPr>
                <w:rFonts w:cs="Arial"/>
                <w:highlight w:val="yellow"/>
              </w:rPr>
            </w:pPr>
            <w:r>
              <w:rPr>
                <w:highlight w:val="yellow"/>
              </w:rPr>
              <w:t>Препоръчани етапи на работа:</w:t>
            </w:r>
          </w:p>
          <w:p w:rsidR="00143584" w:rsidRDefault="00D64125">
            <w:pPr>
              <w:pStyle w:val="Hlistbullet"/>
              <w:rPr>
                <w:rFonts w:cs="Arial"/>
                <w:highlight w:val="yellow"/>
              </w:rPr>
            </w:pPr>
            <w:r>
              <w:rPr>
                <w:b/>
                <w:highlight w:val="yellow"/>
              </w:rPr>
              <w:t>Проверка дали всички термини, използвани при формулирането на ОВО, техните критерии за преценка и общите показатели, са ясни и разбираеми:</w:t>
            </w:r>
            <w:r>
              <w:rPr>
                <w:highlight w:val="yellow"/>
              </w:rPr>
              <w:t xml:space="preserve"> преценява се яснотата на всички термини, които са предложени в Работния документ на ЕК: </w:t>
            </w:r>
            <w:r>
              <w:rPr>
                <w:i/>
                <w:highlight w:val="yellow"/>
              </w:rPr>
              <w:t>„Общи въпроси за оценка на програмите за развитие на селските райони за периода 2014—2020 г.“</w:t>
            </w:r>
            <w:r>
              <w:rPr>
                <w:highlight w:val="yellow"/>
              </w:rPr>
              <w:t xml:space="preserve">, и се проверява дали все още са необходими допълнителни критерии за преценка и определения. Необходимо е да се разработят допълнителни показатели, ако общите показатели не са достатъчни, за да се отговори на общите въпроси за оценка. Следва да се провери дали всички термини, използвани в общите показатели, са ясни и достатъчно добре дефинирани. </w:t>
            </w:r>
          </w:p>
          <w:p w:rsidR="00143584" w:rsidRDefault="00D64125">
            <w:pPr>
              <w:pStyle w:val="Hlistbullet"/>
              <w:rPr>
                <w:rFonts w:cs="Arial"/>
                <w:highlight w:val="yellow"/>
              </w:rPr>
            </w:pPr>
            <w:r>
              <w:rPr>
                <w:b/>
                <w:highlight w:val="yellow"/>
              </w:rPr>
              <w:t>Преценка дали всички термини, използвани при формулирането на СПВО, техните критерии за преценка и специфичните за програмата показатели са ясни и разбираеми</w:t>
            </w:r>
            <w:r>
              <w:rPr>
                <w:highlight w:val="yellow"/>
              </w:rPr>
              <w:t>: този етап се осъществява, ако ПРСР съдържа СПВО и специфични за програмата показатели. Що се отнася до СПВО, важно е да се провери дали към тях са формулирани критерии за преценка и дали отговарят на очакваните резултати и въздействия от ПРСР. Трябва да се провери яснотата на всички термини, използвани в СПВО и в критериите за преценка, и, ако е необходимо, да се дадат определения за тях. За СПВО трябва да бъдат разработени критерии за преценка, ако още няма такива.</w:t>
            </w:r>
          </w:p>
          <w:p w:rsidR="00143584" w:rsidRDefault="00D64125">
            <w:pPr>
              <w:pStyle w:val="Hlistbullet"/>
              <w:rPr>
                <w:highlight w:val="yellow"/>
              </w:rPr>
            </w:pPr>
            <w:r>
              <w:rPr>
                <w:b/>
                <w:highlight w:val="yellow"/>
              </w:rPr>
              <w:t>Разработване на фишове за всички допълнителни и специфични за програмата показатели:</w:t>
            </w:r>
            <w:r>
              <w:rPr>
                <w:highlight w:val="yellow"/>
              </w:rPr>
              <w:t xml:space="preserve"> ако вече са създадени фишове, трябва да се провери яснотата на всички термини, например по отношение на мерната единица/формулата, уместността на методите за изчисление и достъпността на данните в изисквания формат. В противен случай следва да бъдат разработени фишове за всички специфични за програмата показатели.</w:t>
            </w:r>
          </w:p>
        </w:tc>
      </w:tr>
      <w:tr w:rsidR="00143584">
        <w:trPr>
          <w:jc w:val="center"/>
        </w:trPr>
        <w:tc>
          <w:tcPr>
            <w:tcW w:w="9071" w:type="dxa"/>
          </w:tcPr>
          <w:p w:rsidR="00143584" w:rsidRDefault="00D64125">
            <w:pPr>
              <w:pStyle w:val="HStandard"/>
              <w:rPr>
                <w:rFonts w:cs="Arial"/>
                <w:highlight w:val="yellow"/>
              </w:rPr>
            </w:pPr>
            <w:r>
              <w:rPr>
                <w:b/>
                <w:highlight w:val="yellow"/>
              </w:rPr>
              <w:t>Очаквани крайни продукти:</w:t>
            </w:r>
            <w:r>
              <w:rPr>
                <w:highlight w:val="yellow"/>
              </w:rPr>
              <w:t xml:space="preserve"> преразгледана интервенционна логика, фишове за показателите, специфични за програмата показатели и СПВО, както и допълнителни показатели (ако е необходимо)</w:t>
            </w:r>
          </w:p>
        </w:tc>
      </w:tr>
    </w:tbl>
    <w:p w:rsidR="00143584" w:rsidRDefault="00D64125">
      <w:pPr>
        <w:pStyle w:val="HHeading5"/>
        <w:rPr>
          <w:rFonts w:cs="Arial"/>
          <w:highlight w:val="yellow"/>
        </w:rPr>
      </w:pPr>
      <w:r>
        <w:rPr>
          <w:highlight w:val="yellow"/>
        </w:rPr>
        <w:t>Разработване на критерии за преценка за въпросите за оценка</w:t>
      </w:r>
    </w:p>
    <w:p w:rsidR="00143584" w:rsidRDefault="00D64125">
      <w:pPr>
        <w:pStyle w:val="HStandard"/>
        <w:rPr>
          <w:highlight w:val="yellow"/>
        </w:rPr>
      </w:pPr>
      <w:r>
        <w:rPr>
          <w:highlight w:val="yellow"/>
        </w:rPr>
        <w:t xml:space="preserve">С критериите за преценка допълнително се дефинират ВО и се спомага за уточняването на очаквания успех на интервенциите на политиката за развитие на селските райони на нивото на областите с поставен акцент, целите на ЕС и други специфични аспекти на ПРСР. Критериите за преценка трябва да бъдат формулирани ясно и всички използвани термини да бъдат добре определени. </w:t>
      </w:r>
    </w:p>
    <w:p w:rsidR="00143584" w:rsidRDefault="00D64125">
      <w:pPr>
        <w:pStyle w:val="HHeadingfigures"/>
        <w:rPr>
          <w:highlight w:val="yellow"/>
        </w:rPr>
      </w:pPr>
      <w:bookmarkStart w:id="61" w:name="_Toc460936154"/>
      <w:bookmarkStart w:id="62" w:name="_Toc474937853"/>
      <w:r>
        <w:rPr>
          <w:highlight w:val="yellow"/>
        </w:rPr>
        <w:lastRenderedPageBreak/>
        <w:t>Връзка между елементите на оценката</w:t>
      </w:r>
      <w:bookmarkEnd w:id="61"/>
      <w:bookmarkEnd w:id="62"/>
    </w:p>
    <w:p w:rsidR="00143584" w:rsidRDefault="00D64125">
      <w:pPr>
        <w:rPr>
          <w:rFonts w:cs="Arial"/>
          <w:highlight w:val="yellow"/>
        </w:rPr>
      </w:pPr>
      <w:r>
        <w:rPr>
          <w:noProof/>
          <w:highlight w:val="yellow"/>
          <w:lang w:val="en-GB" w:eastAsia="en-GB" w:bidi="ar-SA"/>
        </w:rPr>
        <w:drawing>
          <wp:inline distT="0" distB="0" distL="0" distR="0">
            <wp:extent cx="4819650" cy="1226935"/>
            <wp:effectExtent l="0" t="0" r="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3981" cy="1230583"/>
                    </a:xfrm>
                    <a:prstGeom prst="rect">
                      <a:avLst/>
                    </a:prstGeom>
                    <a:noFill/>
                    <a:ln>
                      <a:noFill/>
                    </a:ln>
                  </pic:spPr>
                </pic:pic>
              </a:graphicData>
            </a:graphic>
          </wp:inline>
        </w:drawing>
      </w:r>
    </w:p>
    <w:p w:rsidR="00143584" w:rsidRDefault="00D64125">
      <w:pPr>
        <w:pStyle w:val="HSource"/>
        <w:rPr>
          <w:highlight w:val="yellow"/>
        </w:rPr>
      </w:pPr>
      <w:r>
        <w:rPr>
          <w:highlight w:val="yellow"/>
        </w:rPr>
        <w:t xml:space="preserve">Източник: Европейска мрежа за оценка на развитието на селските райони за периода 2007—2013 г. </w:t>
      </w:r>
    </w:p>
    <w:p w:rsidR="00143584" w:rsidRDefault="00D64125">
      <w:pPr>
        <w:pStyle w:val="HStandard"/>
        <w:rPr>
          <w:rFonts w:cs="Arial"/>
          <w:highlight w:val="yellow"/>
        </w:rPr>
      </w:pPr>
      <w:r>
        <w:rPr>
          <w:highlight w:val="yellow"/>
        </w:rPr>
        <w:t xml:space="preserve">Критериите за преценка на ОВО са предложени в </w:t>
      </w:r>
      <w:r>
        <w:rPr>
          <w:i/>
          <w:highlight w:val="yellow"/>
        </w:rPr>
        <w:t>Работен документ: Общи въпроси за оценка на програмите за развитие на селските райони за периода 2014—2020 г.</w:t>
      </w:r>
      <w:r>
        <w:rPr>
          <w:rStyle w:val="FootnoteReference"/>
          <w:highlight w:val="yellow"/>
        </w:rPr>
        <w:footnoteReference w:id="40"/>
      </w:r>
      <w:r>
        <w:rPr>
          <w:highlight w:val="yellow"/>
        </w:rPr>
        <w:t xml:space="preserve"> Държавите членки може да решат да доуточнят успеха на интервенциите по ПРСР посредством допълнителни критерии за преценка за ОВО. Използваните термини в ОВО обикновено са дефинирани в речника на ГД „Земеделие и развитие на селските райони“</w:t>
      </w:r>
      <w:r>
        <w:rPr>
          <w:rStyle w:val="FootnoteReference"/>
          <w:highlight w:val="yellow"/>
        </w:rPr>
        <w:footnoteReference w:id="41"/>
      </w:r>
      <w:r>
        <w:rPr>
          <w:highlight w:val="yellow"/>
        </w:rPr>
        <w:t xml:space="preserve">. Ако тези термини не са дефинирани в речника на ГД „Земеделие и развитие на селските райони“, за тази цел може да се използват други официални речници на ниво ЕС, национално или регионално ниво. </w:t>
      </w:r>
    </w:p>
    <w:p w:rsidR="00143584" w:rsidRDefault="00D64125">
      <w:pPr>
        <w:pStyle w:val="HStandard"/>
        <w:rPr>
          <w:rFonts w:cs="Arial"/>
          <w:highlight w:val="yellow"/>
        </w:rPr>
      </w:pPr>
      <w:r>
        <w:rPr>
          <w:highlight w:val="yellow"/>
        </w:rPr>
        <w:t>СПВО се формулират или от управляващите органи (в плана за оценка при проектирането на програмата или на по-късен етап) или от оценителите (по време на оценката на ПРСР). Както при ОВО, всички термини, използвани в СПВО, трябва да бъдат ясни и добре дефинирани.  Що се отнася до ОВО, препоръчва се критериите за преценка да бъдат дефинирани допълнително за СПВО.</w:t>
      </w:r>
    </w:p>
    <w:p w:rsidR="00143584" w:rsidRDefault="00D64125">
      <w:pPr>
        <w:pStyle w:val="HHeadingtables"/>
        <w:rPr>
          <w:rFonts w:cs="Arial"/>
          <w:highlight w:val="yellow"/>
        </w:rPr>
      </w:pPr>
      <w:bookmarkStart w:id="63" w:name="_Toc460936137"/>
      <w:bookmarkStart w:id="64" w:name="_Toc474937834"/>
      <w:r>
        <w:rPr>
          <w:highlight w:val="yellow"/>
        </w:rPr>
        <w:t>Пример за критерии за преценка за ОВО и СПВО, свързани с област с поставен акцент</w:t>
      </w:r>
      <w:bookmarkEnd w:id="63"/>
      <w:bookmarkEnd w:id="64"/>
      <w:r>
        <w:rPr>
          <w:highlight w:val="yellow"/>
        </w:rPr>
        <w:t xml:space="preserve">  </w:t>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143584">
        <w:trPr>
          <w:tblHeader/>
          <w:jc w:val="center"/>
        </w:trPr>
        <w:tc>
          <w:tcPr>
            <w:tcW w:w="1985"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ОВО</w:t>
            </w:r>
          </w:p>
        </w:tc>
        <w:tc>
          <w:tcPr>
            <w:tcW w:w="5812"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Критерии за преценка</w:t>
            </w:r>
          </w:p>
        </w:tc>
      </w:tr>
      <w:tr w:rsidR="00143584">
        <w:trPr>
          <w:jc w:val="center"/>
        </w:trPr>
        <w:tc>
          <w:tcPr>
            <w:tcW w:w="1985" w:type="dxa"/>
            <w:shd w:val="clear" w:color="auto" w:fill="auto"/>
          </w:tcPr>
          <w:p w:rsidR="00143584" w:rsidRDefault="00D64125">
            <w:pPr>
              <w:pStyle w:val="Htableleft"/>
              <w:rPr>
                <w:rFonts w:cs="Arial"/>
                <w:highlight w:val="yellow"/>
              </w:rPr>
            </w:pPr>
            <w:r>
              <w:rPr>
                <w:highlight w:val="yellow"/>
              </w:rPr>
              <w:t>До каква степен интервенциите по ПРСР са подпомогнали иновациите, сътрудничеството и развитието на базата знания в селските райони</w:t>
            </w:r>
            <w:r>
              <w:rPr>
                <w:rStyle w:val="FootnoteReference"/>
                <w:i w:val="0"/>
                <w:color w:val="373737" w:themeColor="background1" w:themeShade="40"/>
                <w:position w:val="0"/>
                <w:sz w:val="18"/>
                <w:highlight w:val="yellow"/>
                <w:vertAlign w:val="superscript"/>
              </w:rPr>
              <w:footnoteReference w:id="42"/>
            </w:r>
            <w:r>
              <w:t>?</w:t>
            </w:r>
            <w:r>
              <w:rPr>
                <w:highlight w:val="yellow"/>
              </w:rPr>
              <w:t xml:space="preserve"> </w:t>
            </w:r>
          </w:p>
          <w:p w:rsidR="00143584" w:rsidRDefault="00143584">
            <w:pPr>
              <w:pStyle w:val="Htableleft"/>
              <w:rPr>
                <w:rFonts w:cs="Arial"/>
                <w:color w:val="161616" w:themeColor="background1" w:themeShade="1A"/>
                <w:highlight w:val="yellow"/>
              </w:rPr>
            </w:pPr>
          </w:p>
        </w:tc>
        <w:tc>
          <w:tcPr>
            <w:tcW w:w="5812" w:type="dxa"/>
            <w:shd w:val="clear" w:color="auto" w:fill="auto"/>
          </w:tcPr>
          <w:p w:rsidR="00143584" w:rsidRDefault="00D64125">
            <w:pPr>
              <w:pStyle w:val="Htableleft"/>
              <w:rPr>
                <w:rFonts w:cs="Arial"/>
                <w:highlight w:val="yellow"/>
              </w:rPr>
            </w:pPr>
            <w:r>
              <w:rPr>
                <w:highlight w:val="yellow"/>
              </w:rPr>
              <w:t>Обичайно предлагани критерии за преценка</w:t>
            </w:r>
            <w:r>
              <w:rPr>
                <w:rStyle w:val="FootnoteReference"/>
                <w:i w:val="0"/>
                <w:color w:val="373737" w:themeColor="background1" w:themeShade="40"/>
                <w:position w:val="0"/>
                <w:sz w:val="18"/>
                <w:highlight w:val="yellow"/>
                <w:vertAlign w:val="superscript"/>
              </w:rPr>
              <w:footnoteReference w:id="43"/>
            </w:r>
            <w:r>
              <w:rPr>
                <w:highlight w:val="yellow"/>
              </w:rPr>
              <w:t>:</w:t>
            </w:r>
          </w:p>
          <w:p w:rsidR="00143584" w:rsidRDefault="00D64125">
            <w:pPr>
              <w:pStyle w:val="Htableleft"/>
              <w:numPr>
                <w:ilvl w:val="0"/>
                <w:numId w:val="12"/>
              </w:numPr>
              <w:ind w:left="462" w:hanging="462"/>
              <w:rPr>
                <w:rFonts w:cs="Arial"/>
                <w:highlight w:val="yellow"/>
              </w:rPr>
            </w:pPr>
            <w:r>
              <w:rPr>
                <w:highlight w:val="yellow"/>
              </w:rPr>
              <w:t>проектите по ПРСР са иновативни и основани на напреднали познания</w:t>
            </w:r>
            <w:r>
              <w:rPr>
                <w:color w:val="161616" w:themeColor="background1" w:themeShade="1A"/>
                <w:highlight w:val="yellow"/>
              </w:rPr>
              <w:t>,</w:t>
            </w:r>
            <w:r>
              <w:rPr>
                <w:highlight w:val="yellow"/>
              </w:rPr>
              <w:t xml:space="preserve"> </w:t>
            </w:r>
          </w:p>
          <w:p w:rsidR="00143584" w:rsidRDefault="00D64125">
            <w:pPr>
              <w:pStyle w:val="Htableleft"/>
              <w:numPr>
                <w:ilvl w:val="0"/>
                <w:numId w:val="12"/>
              </w:numPr>
              <w:ind w:left="462" w:hanging="462"/>
              <w:rPr>
                <w:rFonts w:cs="Arial"/>
                <w:highlight w:val="yellow"/>
              </w:rPr>
            </w:pPr>
            <w:r>
              <w:rPr>
                <w:highlight w:val="yellow"/>
              </w:rPr>
              <w:t>създадени са оперативни групи</w:t>
            </w:r>
            <w:r>
              <w:rPr>
                <w:color w:val="161616" w:themeColor="background1" w:themeShade="1A"/>
                <w:highlight w:val="yellow"/>
              </w:rPr>
              <w:t>,</w:t>
            </w:r>
            <w:r>
              <w:rPr>
                <w:highlight w:val="yellow"/>
              </w:rPr>
              <w:t xml:space="preserve"> </w:t>
            </w:r>
          </w:p>
          <w:p w:rsidR="00143584" w:rsidRDefault="00D64125">
            <w:pPr>
              <w:pStyle w:val="Htableleft"/>
              <w:numPr>
                <w:ilvl w:val="0"/>
                <w:numId w:val="12"/>
              </w:numPr>
              <w:ind w:left="462" w:hanging="462"/>
              <w:rPr>
                <w:rFonts w:cs="Arial"/>
                <w:highlight w:val="yellow"/>
              </w:rPr>
            </w:pPr>
            <w:r>
              <w:rPr>
                <w:highlight w:val="yellow"/>
              </w:rPr>
              <w:t>разнообразие на партньорите, участващи в оперативните групи на ЕПИ</w:t>
            </w:r>
            <w:r>
              <w:rPr>
                <w:color w:val="161616" w:themeColor="background1" w:themeShade="1A"/>
                <w:highlight w:val="yellow"/>
              </w:rPr>
              <w:t xml:space="preserve">, </w:t>
            </w:r>
          </w:p>
          <w:p w:rsidR="00143584" w:rsidRDefault="00D64125">
            <w:pPr>
              <w:pStyle w:val="Htableleft"/>
              <w:numPr>
                <w:ilvl w:val="0"/>
                <w:numId w:val="12"/>
              </w:numPr>
              <w:ind w:left="462" w:hanging="462"/>
              <w:rPr>
                <w:rFonts w:cs="Arial"/>
                <w:highlight w:val="yellow"/>
              </w:rPr>
            </w:pPr>
            <w:r>
              <w:rPr>
                <w:highlight w:val="yellow"/>
              </w:rPr>
              <w:t>осъществени са иновативни действия, които са разпространени от оперативните групи на ЕПИ</w:t>
            </w:r>
            <w:r>
              <w:rPr>
                <w:color w:val="161616" w:themeColor="background1" w:themeShade="1A"/>
                <w:highlight w:val="yellow"/>
              </w:rPr>
              <w:t>.</w:t>
            </w:r>
            <w:r>
              <w:rPr>
                <w:highlight w:val="yellow"/>
              </w:rPr>
              <w:t xml:space="preserve"> </w:t>
            </w:r>
          </w:p>
          <w:p w:rsidR="00143584" w:rsidRDefault="00D64125">
            <w:pPr>
              <w:pStyle w:val="Htableleft"/>
              <w:rPr>
                <w:rFonts w:cs="Arial"/>
                <w:highlight w:val="yellow"/>
              </w:rPr>
            </w:pPr>
            <w:r>
              <w:rPr>
                <w:highlight w:val="yellow"/>
              </w:rPr>
              <w:t>Пример за допълнителни критерии за преценка (добавени от държавите членки, ако е необходимо):</w:t>
            </w:r>
          </w:p>
          <w:p w:rsidR="00143584" w:rsidRDefault="00D64125">
            <w:pPr>
              <w:pStyle w:val="Htableleft"/>
              <w:numPr>
                <w:ilvl w:val="0"/>
                <w:numId w:val="13"/>
              </w:numPr>
              <w:ind w:left="462" w:hanging="462"/>
              <w:rPr>
                <w:rFonts w:cs="Arial"/>
                <w:highlight w:val="yellow"/>
              </w:rPr>
            </w:pPr>
            <w:r>
              <w:rPr>
                <w:highlight w:val="yellow"/>
              </w:rPr>
              <w:t>дял на научноизследователските и академични институции в състава на партньорите в оперативните групи (&lt; 50 %).</w:t>
            </w:r>
          </w:p>
        </w:tc>
      </w:tr>
    </w:tbl>
    <w:p w:rsidR="00143584" w:rsidRDefault="00D64125">
      <w:pPr>
        <w:rPr>
          <w:highlight w:val="yellow"/>
        </w:rPr>
      </w:pPr>
      <w:r>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143584">
        <w:trPr>
          <w:jc w:val="center"/>
        </w:trPr>
        <w:tc>
          <w:tcPr>
            <w:tcW w:w="1985" w:type="dxa"/>
            <w:shd w:val="clear" w:color="auto" w:fill="F07E31"/>
          </w:tcPr>
          <w:p w:rsidR="00143584" w:rsidRDefault="00D64125">
            <w:pPr>
              <w:pStyle w:val="Htableleftbolt"/>
              <w:rPr>
                <w:rFonts w:cs="Arial"/>
                <w:color w:val="FFFFFF" w:themeColor="accent1"/>
                <w:highlight w:val="yellow"/>
              </w:rPr>
            </w:pPr>
            <w:r>
              <w:rPr>
                <w:color w:val="FFFFFF" w:themeColor="accent1"/>
                <w:highlight w:val="yellow"/>
              </w:rPr>
              <w:lastRenderedPageBreak/>
              <w:t xml:space="preserve">СПВО </w:t>
            </w:r>
          </w:p>
        </w:tc>
        <w:tc>
          <w:tcPr>
            <w:tcW w:w="5812" w:type="dxa"/>
            <w:shd w:val="clear" w:color="auto" w:fill="F07E31"/>
          </w:tcPr>
          <w:p w:rsidR="00143584" w:rsidRDefault="00D64125">
            <w:pPr>
              <w:pStyle w:val="Htableleftbolt"/>
              <w:rPr>
                <w:rFonts w:cs="Arial"/>
                <w:color w:val="FFFFFF" w:themeColor="accent1"/>
                <w:highlight w:val="yellow"/>
              </w:rPr>
            </w:pPr>
            <w:r>
              <w:rPr>
                <w:color w:val="FFFFFF" w:themeColor="accent1"/>
                <w:highlight w:val="yellow"/>
              </w:rPr>
              <w:t>Критерии за преценка</w:t>
            </w:r>
          </w:p>
        </w:tc>
      </w:tr>
      <w:tr w:rsidR="00143584">
        <w:trPr>
          <w:jc w:val="center"/>
        </w:trPr>
        <w:tc>
          <w:tcPr>
            <w:tcW w:w="1985" w:type="dxa"/>
            <w:shd w:val="clear" w:color="auto" w:fill="auto"/>
          </w:tcPr>
          <w:p w:rsidR="00143584" w:rsidRDefault="00D64125">
            <w:pPr>
              <w:pStyle w:val="Htableleft"/>
              <w:rPr>
                <w:rFonts w:cs="Arial"/>
                <w:highlight w:val="yellow"/>
              </w:rPr>
            </w:pPr>
            <w:r>
              <w:rPr>
                <w:highlight w:val="yellow"/>
              </w:rPr>
              <w:t>До каква степен интервенциите по ПРСР са спрели младите хора да напускат селските райони?</w:t>
            </w:r>
          </w:p>
        </w:tc>
        <w:tc>
          <w:tcPr>
            <w:tcW w:w="5812" w:type="dxa"/>
            <w:shd w:val="clear" w:color="auto" w:fill="auto"/>
          </w:tcPr>
          <w:p w:rsidR="00143584" w:rsidRDefault="00D64125">
            <w:pPr>
              <w:pStyle w:val="Htableleft"/>
              <w:numPr>
                <w:ilvl w:val="0"/>
                <w:numId w:val="13"/>
              </w:numPr>
              <w:ind w:left="462" w:hanging="425"/>
              <w:rPr>
                <w:rFonts w:cs="Arial"/>
                <w:highlight w:val="yellow"/>
              </w:rPr>
            </w:pPr>
            <w:r>
              <w:rPr>
                <w:highlight w:val="yellow"/>
              </w:rPr>
              <w:t>проектите по ПРСР са насърчили създаването на предприятия от млади хора,</w:t>
            </w:r>
          </w:p>
          <w:p w:rsidR="00143584" w:rsidRDefault="00D64125">
            <w:pPr>
              <w:pStyle w:val="Htableleft"/>
              <w:numPr>
                <w:ilvl w:val="0"/>
                <w:numId w:val="13"/>
              </w:numPr>
              <w:ind w:left="462" w:hanging="425"/>
              <w:rPr>
                <w:rFonts w:cs="Arial"/>
                <w:highlight w:val="yellow"/>
              </w:rPr>
            </w:pPr>
            <w:r>
              <w:rPr>
                <w:highlight w:val="yellow"/>
              </w:rPr>
              <w:t>проектите по ПРСР са способствали за заетостта на младите хора,</w:t>
            </w:r>
          </w:p>
          <w:p w:rsidR="00143584" w:rsidRDefault="00D64125">
            <w:pPr>
              <w:pStyle w:val="Htableleft"/>
              <w:numPr>
                <w:ilvl w:val="0"/>
                <w:numId w:val="13"/>
              </w:numPr>
              <w:ind w:left="462" w:hanging="425"/>
              <w:rPr>
                <w:rFonts w:cs="Arial"/>
                <w:highlight w:val="yellow"/>
              </w:rPr>
            </w:pPr>
            <w:r>
              <w:rPr>
                <w:highlight w:val="yellow"/>
              </w:rPr>
              <w:t xml:space="preserve">проектите по ПРСР са подпомогнали участието на младите хора в дейности за развитие на селските райони. </w:t>
            </w:r>
          </w:p>
        </w:tc>
      </w:tr>
    </w:tbl>
    <w:p w:rsidR="00143584" w:rsidRDefault="00D64125">
      <w:pPr>
        <w:pStyle w:val="HHeading5"/>
        <w:rPr>
          <w:highlight w:val="yellow"/>
        </w:rPr>
      </w:pPr>
      <w:r>
        <w:rPr>
          <w:highlight w:val="yellow"/>
        </w:rPr>
        <w:t xml:space="preserve">Разработване на допълнителни и специфични за програмата показатели </w:t>
      </w:r>
    </w:p>
    <w:p w:rsidR="00143584" w:rsidRDefault="00D64125">
      <w:pPr>
        <w:pStyle w:val="HStandard"/>
        <w:rPr>
          <w:rFonts w:cs="Arial"/>
          <w:highlight w:val="yellow"/>
        </w:rPr>
      </w:pPr>
      <w:r>
        <w:rPr>
          <w:highlight w:val="yellow"/>
        </w:rPr>
        <w:t>Отговори на ВО се дават чрез показатели. В правните актове и ОСМО се разграничават:</w:t>
      </w:r>
    </w:p>
    <w:p w:rsidR="00143584" w:rsidRDefault="00D64125">
      <w:pPr>
        <w:pStyle w:val="Hlistbullet"/>
        <w:rPr>
          <w:rFonts w:cs="Arial"/>
          <w:highlight w:val="yellow"/>
        </w:rPr>
      </w:pPr>
      <w:r>
        <w:rPr>
          <w:b/>
          <w:highlight w:val="yellow"/>
        </w:rPr>
        <w:t>общи показатели</w:t>
      </w:r>
      <w:r>
        <w:rPr>
          <w:rStyle w:val="FootnoteReference"/>
          <w:highlight w:val="yellow"/>
        </w:rPr>
        <w:footnoteReference w:id="44"/>
      </w:r>
      <w:r>
        <w:rPr>
          <w:highlight w:val="yellow"/>
        </w:rPr>
        <w:t xml:space="preserve"> за контекста (описва се програмната среда, улеснява се SWOT и оценката на потребностите), за крайните продукти (измерват се крайните продукти от ПРСР спрямо мерките), за резултатите (измерват се резултатите от ПРСР на ниво област с поставен акцент) и за въздействието (измерват се въздействията от ПРСР на програмно ниво), които са разработени подробно и представени в различни работни документи на ЕК под формата на фишове за показатели</w:t>
      </w:r>
      <w:r>
        <w:rPr>
          <w:rStyle w:val="FootnoteReference"/>
          <w:highlight w:val="yellow"/>
        </w:rPr>
        <w:footnoteReference w:id="45"/>
      </w:r>
      <w:r>
        <w:rPr>
          <w:highlight w:val="yellow"/>
        </w:rPr>
        <w:t>. Общите показатели се използват за отговор на ОВО,</w:t>
      </w:r>
    </w:p>
    <w:p w:rsidR="00143584" w:rsidRDefault="00D64125">
      <w:pPr>
        <w:pStyle w:val="Hlistbullet"/>
        <w:rPr>
          <w:highlight w:val="yellow"/>
        </w:rPr>
      </w:pPr>
      <w:r>
        <w:rPr>
          <w:b/>
          <w:highlight w:val="yellow"/>
        </w:rPr>
        <w:t>допълнителни показатели</w:t>
      </w:r>
      <w:r>
        <w:rPr>
          <w:highlight w:val="yellow"/>
        </w:rPr>
        <w:t xml:space="preserve">, които се разработват </w:t>
      </w:r>
      <w:r>
        <w:rPr>
          <w:b/>
          <w:highlight w:val="yellow"/>
        </w:rPr>
        <w:t>„в допълнение“</w:t>
      </w:r>
      <w:r>
        <w:rPr>
          <w:highlight w:val="yellow"/>
        </w:rPr>
        <w:t xml:space="preserve"> към общите показатели, когато общите показатели не могат да дадат изчерпателни отговори на ОВО по задоволителен начин. Те не трябва да се бъркат със специфичните за програмата показатели, които се използват само за отговор на СПВО. Допълнителните показатели трябва да отговарят също на критериите RACER. </w:t>
      </w:r>
    </w:p>
    <w:p w:rsidR="00143584" w:rsidRDefault="00D64125">
      <w:pPr>
        <w:pStyle w:val="HBox"/>
        <w:ind w:left="360"/>
        <w:rPr>
          <w:highlight w:val="yellow"/>
        </w:rPr>
      </w:pPr>
      <w:r>
        <w:rPr>
          <w:highlight w:val="yellow"/>
        </w:rPr>
        <w:t xml:space="preserve">Комисията насърчава държавите членки, в които подпомагането по дадена мярка/подмярка е значително, като например подмярка 4.4 „Непроизводствени инвестиции“, да определят допълнителни показатели за резултатите, за да се гарантира по-добър мониторинг и оценка на приноса на тези мерки/подмерки за постигането на целите на ЕС, </w:t>
      </w:r>
    </w:p>
    <w:p w:rsidR="00143584" w:rsidRDefault="00D64125">
      <w:pPr>
        <w:pStyle w:val="Hlistbullet"/>
        <w:rPr>
          <w:highlight w:val="yellow"/>
        </w:rPr>
      </w:pPr>
      <w:r>
        <w:rPr>
          <w:b/>
          <w:highlight w:val="yellow"/>
        </w:rPr>
        <w:t>специфични за програмата показатели</w:t>
      </w:r>
      <w:r>
        <w:rPr>
          <w:highlight w:val="yellow"/>
        </w:rPr>
        <w:t xml:space="preserve">, които се разработват от заинтересованите страни в държавите членки (управляващи органи и оценители) като показатели за контекста, крайните продукти, резултатите и въздействието, за да се отговори на СПВО. Тези показатели също трябва да отговарят на критериите RACER. </w:t>
      </w:r>
    </w:p>
    <w:p w:rsidR="00143584" w:rsidRDefault="00D64125">
      <w:pPr>
        <w:pStyle w:val="HStandard"/>
        <w:rPr>
          <w:rFonts w:cs="Arial"/>
          <w:highlight w:val="yellow"/>
        </w:rPr>
      </w:pPr>
      <w:r>
        <w:rPr>
          <w:highlight w:val="yellow"/>
        </w:rPr>
        <w:t>Най-добре е всеки показател да бъде определен под формата на фиш. Европейската комисия е разработила фишове за всички общи показатели. Фишовете за специфичните за програмата показатели и за допълнителните показатели трябва да бъдат създадени от държавите членки. Препоръчва се да се следва структурата на фишовете за показатели, които Европейската комисия е разработила за общите показатели. Като минимум, фишът трябва да съдържа:</w:t>
      </w:r>
    </w:p>
    <w:p w:rsidR="00143584" w:rsidRDefault="00D64125">
      <w:pPr>
        <w:pStyle w:val="Hlistbullet"/>
        <w:rPr>
          <w:rFonts w:cs="Arial"/>
          <w:highlight w:val="yellow"/>
        </w:rPr>
      </w:pPr>
      <w:r>
        <w:rPr>
          <w:highlight w:val="yellow"/>
        </w:rPr>
        <w:t xml:space="preserve">наименованието на показателя и неговото определение, </w:t>
      </w:r>
    </w:p>
    <w:p w:rsidR="00143584" w:rsidRDefault="00D64125">
      <w:pPr>
        <w:pStyle w:val="Hlistbullet"/>
        <w:rPr>
          <w:rFonts w:cs="Arial"/>
          <w:highlight w:val="yellow"/>
        </w:rPr>
      </w:pPr>
      <w:r>
        <w:rPr>
          <w:highlight w:val="yellow"/>
        </w:rPr>
        <w:t xml:space="preserve">връзката с целта/областта с поставен акцент на ПРСР и ВО, </w:t>
      </w:r>
    </w:p>
    <w:p w:rsidR="00143584" w:rsidRDefault="00D64125">
      <w:pPr>
        <w:pStyle w:val="Hlistbullet"/>
        <w:rPr>
          <w:rFonts w:cs="Arial"/>
          <w:highlight w:val="yellow"/>
        </w:rPr>
      </w:pPr>
      <w:r>
        <w:rPr>
          <w:highlight w:val="yellow"/>
        </w:rPr>
        <w:t xml:space="preserve">мерната единица или формулата на показателя, </w:t>
      </w:r>
    </w:p>
    <w:p w:rsidR="00143584" w:rsidRDefault="00D64125">
      <w:pPr>
        <w:pStyle w:val="Hlistbullet"/>
        <w:rPr>
          <w:rFonts w:cs="Arial"/>
          <w:highlight w:val="yellow"/>
        </w:rPr>
      </w:pPr>
      <w:r>
        <w:rPr>
          <w:highlight w:val="yellow"/>
        </w:rPr>
        <w:t xml:space="preserve">метода за изчисление, </w:t>
      </w:r>
    </w:p>
    <w:p w:rsidR="00143584" w:rsidRDefault="00D64125">
      <w:pPr>
        <w:pStyle w:val="Hlistbullet"/>
        <w:rPr>
          <w:highlight w:val="yellow"/>
        </w:rPr>
      </w:pPr>
      <w:r>
        <w:rPr>
          <w:highlight w:val="yellow"/>
        </w:rPr>
        <w:t>видовете, източниците и достъпността на данните за изчисляване на показателя.</w:t>
      </w:r>
    </w:p>
    <w:p w:rsidR="00143584" w:rsidRDefault="00D64125">
      <w:pPr>
        <w:pStyle w:val="HStandard"/>
        <w:rPr>
          <w:rFonts w:cs="Arial"/>
          <w:highlight w:val="yellow"/>
        </w:rPr>
      </w:pPr>
      <w:r>
        <w:rPr>
          <w:highlight w:val="yellow"/>
        </w:rPr>
        <w:t xml:space="preserve">Свързаните с оценяването заинтересовани страни (управляващи органи и оценители) следва да са прегледали и разбрали фишовете за показателите, в това число използваните </w:t>
      </w:r>
      <w:r>
        <w:rPr>
          <w:highlight w:val="yellow"/>
        </w:rPr>
        <w:lastRenderedPageBreak/>
        <w:t xml:space="preserve">определения, яснотата на определенията, достъпността на показателите по отношение на източниците и събирането на данните, както и предложения метод за изчисляване на показателя. Когато се касае за специфични за програмата и за допълнителни показатели, програмните органи или другите заинтересовани страни във връзка с оценката (оценители) отговарят за яснотата на всички термини, използвани в съответните фишове за показателите. </w:t>
      </w:r>
    </w:p>
    <w:p w:rsidR="00143584" w:rsidRDefault="00D64125">
      <w:pPr>
        <w:pStyle w:val="HHeading5"/>
        <w:rPr>
          <w:rFonts w:cs="Arial"/>
          <w:highlight w:val="yellow"/>
        </w:rPr>
      </w:pPr>
      <w:r>
        <w:rPr>
          <w:highlight w:val="yellow"/>
        </w:rPr>
        <w:t xml:space="preserve">Специфични особености на LEADER </w:t>
      </w:r>
    </w:p>
    <w:p w:rsidR="00143584" w:rsidRDefault="00D64125">
      <w:pPr>
        <w:pStyle w:val="HStandard"/>
        <w:rPr>
          <w:rFonts w:cs="Arial"/>
          <w:highlight w:val="yellow"/>
        </w:rPr>
      </w:pPr>
      <w:r>
        <w:rPr>
          <w:highlight w:val="yellow"/>
        </w:rPr>
        <w:t>В ОСМО е предвиден един общ въпрос за оценка, който се отнася до LEADER: „До каква степен интервенциите по LEADER са подпомогнали местното развитие в селските райони?“ (адаптиран ОВО с номер 17 по отношение на LEADER). ОСМО съдържа също така следните общи показатели за LEADER на ниво ПРСР (за крайните продукти и целеви)</w:t>
      </w:r>
      <w:r>
        <w:rPr>
          <w:b/>
          <w:i/>
          <w:color w:val="6F6F6F" w:themeColor="text1"/>
          <w:highlight w:val="yellow"/>
          <w:vertAlign w:val="superscript"/>
        </w:rPr>
        <w:footnoteReference w:id="46"/>
      </w:r>
      <w:r>
        <w:rPr>
          <w:highlight w:val="yellow"/>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143584">
        <w:trPr>
          <w:jc w:val="center"/>
        </w:trPr>
        <w:tc>
          <w:tcPr>
            <w:tcW w:w="4948"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Показател</w:t>
            </w:r>
          </w:p>
        </w:tc>
        <w:tc>
          <w:tcPr>
            <w:tcW w:w="1400" w:type="dxa"/>
            <w:shd w:val="clear" w:color="auto" w:fill="F07E31" w:themeFill="background2"/>
          </w:tcPr>
          <w:p w:rsidR="00143584" w:rsidRDefault="00D64125">
            <w:pPr>
              <w:pStyle w:val="Htableleftbolt"/>
              <w:jc w:val="center"/>
              <w:rPr>
                <w:rFonts w:cs="Arial"/>
                <w:color w:val="FFFFFF" w:themeColor="accent1"/>
                <w:highlight w:val="yellow"/>
              </w:rPr>
            </w:pPr>
            <w:r>
              <w:rPr>
                <w:color w:val="FFFFFF" w:themeColor="accent1"/>
                <w:highlight w:val="yellow"/>
              </w:rPr>
              <w:t>За крайните продукти</w:t>
            </w:r>
          </w:p>
        </w:tc>
        <w:tc>
          <w:tcPr>
            <w:tcW w:w="1352" w:type="dxa"/>
            <w:shd w:val="clear" w:color="auto" w:fill="F07E31" w:themeFill="background2"/>
          </w:tcPr>
          <w:p w:rsidR="00143584" w:rsidRDefault="00D64125">
            <w:pPr>
              <w:pStyle w:val="Htableleftbolt"/>
              <w:jc w:val="center"/>
              <w:rPr>
                <w:rFonts w:cs="Arial"/>
                <w:color w:val="FFFFFF" w:themeColor="accent1"/>
                <w:highlight w:val="yellow"/>
              </w:rPr>
            </w:pPr>
            <w:r>
              <w:rPr>
                <w:color w:val="FFFFFF" w:themeColor="accent1"/>
                <w:highlight w:val="yellow"/>
              </w:rPr>
              <w:t>Целеви</w:t>
            </w:r>
          </w:p>
        </w:tc>
      </w:tr>
      <w:tr w:rsidR="00143584">
        <w:trPr>
          <w:jc w:val="center"/>
        </w:trPr>
        <w:tc>
          <w:tcPr>
            <w:tcW w:w="4948" w:type="dxa"/>
            <w:shd w:val="clear" w:color="auto" w:fill="auto"/>
          </w:tcPr>
          <w:p w:rsidR="00143584" w:rsidRDefault="00D64125">
            <w:pPr>
              <w:pStyle w:val="Htableleft"/>
              <w:rPr>
                <w:rFonts w:cs="Arial"/>
                <w:highlight w:val="yellow"/>
              </w:rPr>
            </w:pPr>
            <w:r>
              <w:rPr>
                <w:highlight w:val="yellow"/>
              </w:rPr>
              <w:t>Брой жители, обхванати от местните групи за действие</w:t>
            </w:r>
          </w:p>
        </w:tc>
        <w:tc>
          <w:tcPr>
            <w:tcW w:w="1400" w:type="dxa"/>
            <w:shd w:val="clear" w:color="auto" w:fill="auto"/>
          </w:tcPr>
          <w:p w:rsidR="00143584" w:rsidRDefault="00D64125">
            <w:pPr>
              <w:pStyle w:val="Htableleft"/>
              <w:jc w:val="center"/>
              <w:rPr>
                <w:rFonts w:cs="Arial"/>
                <w:highlight w:val="yellow"/>
              </w:rPr>
            </w:pPr>
            <w:r>
              <w:rPr>
                <w:highlight w:val="yellow"/>
              </w:rPr>
              <w:t>O18</w:t>
            </w:r>
          </w:p>
        </w:tc>
        <w:tc>
          <w:tcPr>
            <w:tcW w:w="1352" w:type="dxa"/>
            <w:shd w:val="clear" w:color="auto" w:fill="auto"/>
          </w:tcPr>
          <w:p w:rsidR="00143584" w:rsidRDefault="00D64125">
            <w:pPr>
              <w:pStyle w:val="Htableleft"/>
              <w:jc w:val="center"/>
              <w:rPr>
                <w:rFonts w:cs="Arial"/>
                <w:highlight w:val="yellow"/>
              </w:rPr>
            </w:pPr>
            <w:r>
              <w:rPr>
                <w:highlight w:val="yellow"/>
              </w:rPr>
              <w:t>T21</w:t>
            </w:r>
          </w:p>
        </w:tc>
      </w:tr>
      <w:tr w:rsidR="00143584">
        <w:trPr>
          <w:jc w:val="center"/>
        </w:trPr>
        <w:tc>
          <w:tcPr>
            <w:tcW w:w="4948" w:type="dxa"/>
            <w:shd w:val="clear" w:color="auto" w:fill="auto"/>
          </w:tcPr>
          <w:p w:rsidR="00143584" w:rsidRDefault="00D64125">
            <w:pPr>
              <w:pStyle w:val="Htableleft"/>
              <w:rPr>
                <w:rFonts w:cs="Arial"/>
                <w:highlight w:val="yellow"/>
              </w:rPr>
            </w:pPr>
            <w:r>
              <w:rPr>
                <w:highlight w:val="yellow"/>
              </w:rPr>
              <w:t xml:space="preserve">Брой на избраните местни групи за действие </w:t>
            </w:r>
          </w:p>
        </w:tc>
        <w:tc>
          <w:tcPr>
            <w:tcW w:w="1400" w:type="dxa"/>
            <w:shd w:val="clear" w:color="auto" w:fill="auto"/>
          </w:tcPr>
          <w:p w:rsidR="00143584" w:rsidRDefault="00D64125">
            <w:pPr>
              <w:pStyle w:val="Htableleft"/>
              <w:jc w:val="center"/>
              <w:rPr>
                <w:rFonts w:cs="Arial"/>
                <w:highlight w:val="yellow"/>
              </w:rPr>
            </w:pPr>
            <w:r>
              <w:rPr>
                <w:highlight w:val="yellow"/>
              </w:rPr>
              <w:t>O19</w:t>
            </w:r>
          </w:p>
        </w:tc>
        <w:tc>
          <w:tcPr>
            <w:tcW w:w="1352" w:type="dxa"/>
            <w:shd w:val="clear" w:color="auto" w:fill="auto"/>
          </w:tcPr>
          <w:p w:rsidR="00143584" w:rsidRDefault="00143584">
            <w:pPr>
              <w:pStyle w:val="Htableleft"/>
              <w:jc w:val="center"/>
              <w:rPr>
                <w:rFonts w:cs="Arial"/>
                <w:highlight w:val="yellow"/>
              </w:rPr>
            </w:pPr>
          </w:p>
        </w:tc>
      </w:tr>
      <w:tr w:rsidR="00143584">
        <w:trPr>
          <w:jc w:val="center"/>
        </w:trPr>
        <w:tc>
          <w:tcPr>
            <w:tcW w:w="4948" w:type="dxa"/>
            <w:shd w:val="clear" w:color="auto" w:fill="auto"/>
          </w:tcPr>
          <w:p w:rsidR="00143584" w:rsidRDefault="00D64125">
            <w:pPr>
              <w:pStyle w:val="Htableleft"/>
              <w:rPr>
                <w:rFonts w:cs="Arial"/>
                <w:highlight w:val="yellow"/>
              </w:rPr>
            </w:pPr>
            <w:r>
              <w:rPr>
                <w:highlight w:val="yellow"/>
              </w:rPr>
              <w:t xml:space="preserve">Брой на подпомогнатите проекти в рамките на LEADER </w:t>
            </w:r>
          </w:p>
        </w:tc>
        <w:tc>
          <w:tcPr>
            <w:tcW w:w="1400" w:type="dxa"/>
            <w:shd w:val="clear" w:color="auto" w:fill="auto"/>
          </w:tcPr>
          <w:p w:rsidR="00143584" w:rsidRDefault="00D64125">
            <w:pPr>
              <w:pStyle w:val="Htableleft"/>
              <w:jc w:val="center"/>
              <w:rPr>
                <w:rFonts w:cs="Arial"/>
                <w:highlight w:val="yellow"/>
              </w:rPr>
            </w:pPr>
            <w:r>
              <w:rPr>
                <w:highlight w:val="yellow"/>
              </w:rPr>
              <w:t>O21</w:t>
            </w:r>
          </w:p>
        </w:tc>
        <w:tc>
          <w:tcPr>
            <w:tcW w:w="1352" w:type="dxa"/>
            <w:shd w:val="clear" w:color="auto" w:fill="auto"/>
          </w:tcPr>
          <w:p w:rsidR="00143584" w:rsidRDefault="00143584">
            <w:pPr>
              <w:pStyle w:val="Htableleft"/>
              <w:jc w:val="center"/>
              <w:rPr>
                <w:rFonts w:cs="Arial"/>
                <w:highlight w:val="yellow"/>
              </w:rPr>
            </w:pPr>
          </w:p>
        </w:tc>
      </w:tr>
      <w:tr w:rsidR="00143584">
        <w:trPr>
          <w:jc w:val="center"/>
        </w:trPr>
        <w:tc>
          <w:tcPr>
            <w:tcW w:w="4948" w:type="dxa"/>
            <w:shd w:val="clear" w:color="auto" w:fill="auto"/>
          </w:tcPr>
          <w:p w:rsidR="00143584" w:rsidRDefault="00D64125">
            <w:pPr>
              <w:pStyle w:val="Htableleft"/>
              <w:rPr>
                <w:rFonts w:cs="Arial"/>
                <w:highlight w:val="yellow"/>
              </w:rPr>
            </w:pPr>
            <w:r>
              <w:rPr>
                <w:highlight w:val="yellow"/>
              </w:rPr>
              <w:t xml:space="preserve">Брой на подпомогнатите проекти за сътрудничество </w:t>
            </w:r>
          </w:p>
        </w:tc>
        <w:tc>
          <w:tcPr>
            <w:tcW w:w="1400" w:type="dxa"/>
            <w:shd w:val="clear" w:color="auto" w:fill="auto"/>
          </w:tcPr>
          <w:p w:rsidR="00143584" w:rsidRDefault="00D64125">
            <w:pPr>
              <w:pStyle w:val="Htableleft"/>
              <w:jc w:val="center"/>
              <w:rPr>
                <w:rFonts w:cs="Arial"/>
                <w:highlight w:val="yellow"/>
              </w:rPr>
            </w:pPr>
            <w:r>
              <w:rPr>
                <w:highlight w:val="yellow"/>
              </w:rPr>
              <w:t>O21</w:t>
            </w:r>
          </w:p>
        </w:tc>
        <w:tc>
          <w:tcPr>
            <w:tcW w:w="1352" w:type="dxa"/>
            <w:shd w:val="clear" w:color="auto" w:fill="auto"/>
          </w:tcPr>
          <w:p w:rsidR="00143584" w:rsidRDefault="00143584">
            <w:pPr>
              <w:pStyle w:val="Htableleft"/>
              <w:jc w:val="center"/>
              <w:rPr>
                <w:rFonts w:cs="Arial"/>
                <w:highlight w:val="yellow"/>
              </w:rPr>
            </w:pPr>
          </w:p>
        </w:tc>
      </w:tr>
      <w:tr w:rsidR="00143584">
        <w:trPr>
          <w:jc w:val="center"/>
        </w:trPr>
        <w:tc>
          <w:tcPr>
            <w:tcW w:w="4948" w:type="dxa"/>
            <w:shd w:val="clear" w:color="auto" w:fill="auto"/>
          </w:tcPr>
          <w:p w:rsidR="00143584" w:rsidRDefault="00D64125">
            <w:pPr>
              <w:pStyle w:val="Htableleft"/>
              <w:rPr>
                <w:rFonts w:cs="Arial"/>
                <w:highlight w:val="yellow"/>
              </w:rPr>
            </w:pPr>
            <w:r>
              <w:rPr>
                <w:highlight w:val="yellow"/>
              </w:rPr>
              <w:t>Брой и вид на организаторите на проектите</w:t>
            </w:r>
          </w:p>
        </w:tc>
        <w:tc>
          <w:tcPr>
            <w:tcW w:w="1400" w:type="dxa"/>
            <w:shd w:val="clear" w:color="auto" w:fill="auto"/>
          </w:tcPr>
          <w:p w:rsidR="00143584" w:rsidRDefault="00D64125">
            <w:pPr>
              <w:pStyle w:val="Htableleft"/>
              <w:jc w:val="center"/>
              <w:rPr>
                <w:rFonts w:cs="Arial"/>
                <w:highlight w:val="yellow"/>
              </w:rPr>
            </w:pPr>
            <w:r>
              <w:rPr>
                <w:highlight w:val="yellow"/>
              </w:rPr>
              <w:t>O22</w:t>
            </w:r>
          </w:p>
        </w:tc>
        <w:tc>
          <w:tcPr>
            <w:tcW w:w="1352" w:type="dxa"/>
            <w:shd w:val="clear" w:color="auto" w:fill="auto"/>
          </w:tcPr>
          <w:p w:rsidR="00143584" w:rsidRDefault="00143584">
            <w:pPr>
              <w:pStyle w:val="Htableleft"/>
              <w:jc w:val="center"/>
              <w:rPr>
                <w:rFonts w:cs="Arial"/>
                <w:highlight w:val="yellow"/>
              </w:rPr>
            </w:pPr>
          </w:p>
        </w:tc>
      </w:tr>
      <w:tr w:rsidR="00143584">
        <w:trPr>
          <w:jc w:val="center"/>
        </w:trPr>
        <w:tc>
          <w:tcPr>
            <w:tcW w:w="4948" w:type="dxa"/>
            <w:shd w:val="clear" w:color="auto" w:fill="auto"/>
          </w:tcPr>
          <w:p w:rsidR="00143584" w:rsidRDefault="00D64125">
            <w:pPr>
              <w:pStyle w:val="Htableleft"/>
              <w:rPr>
                <w:rFonts w:cs="Arial"/>
                <w:highlight w:val="yellow"/>
              </w:rPr>
            </w:pPr>
            <w:r>
              <w:rPr>
                <w:highlight w:val="yellow"/>
              </w:rPr>
              <w:t xml:space="preserve">Единен номер на местните групи за действие, участващи в проекта за сътрудничество </w:t>
            </w:r>
          </w:p>
        </w:tc>
        <w:tc>
          <w:tcPr>
            <w:tcW w:w="1400" w:type="dxa"/>
            <w:shd w:val="clear" w:color="auto" w:fill="auto"/>
          </w:tcPr>
          <w:p w:rsidR="00143584" w:rsidRDefault="00D64125">
            <w:pPr>
              <w:pStyle w:val="Htableleft"/>
              <w:jc w:val="center"/>
              <w:rPr>
                <w:rFonts w:cs="Arial"/>
                <w:highlight w:val="yellow"/>
              </w:rPr>
            </w:pPr>
            <w:r>
              <w:rPr>
                <w:highlight w:val="yellow"/>
              </w:rPr>
              <w:t>O23</w:t>
            </w:r>
          </w:p>
        </w:tc>
        <w:tc>
          <w:tcPr>
            <w:tcW w:w="1352" w:type="dxa"/>
            <w:shd w:val="clear" w:color="auto" w:fill="auto"/>
          </w:tcPr>
          <w:p w:rsidR="00143584" w:rsidRDefault="00143584">
            <w:pPr>
              <w:pStyle w:val="Htableleft"/>
              <w:jc w:val="center"/>
              <w:rPr>
                <w:rFonts w:cs="Arial"/>
                <w:highlight w:val="yellow"/>
              </w:rPr>
            </w:pPr>
          </w:p>
        </w:tc>
      </w:tr>
      <w:tr w:rsidR="00143584">
        <w:trPr>
          <w:jc w:val="center"/>
        </w:trPr>
        <w:tc>
          <w:tcPr>
            <w:tcW w:w="4948" w:type="dxa"/>
            <w:shd w:val="clear" w:color="auto" w:fill="auto"/>
          </w:tcPr>
          <w:p w:rsidR="00143584" w:rsidRDefault="00D64125">
            <w:pPr>
              <w:pStyle w:val="Htableleft"/>
              <w:rPr>
                <w:rFonts w:cs="Arial"/>
                <w:highlight w:val="yellow"/>
              </w:rPr>
            </w:pPr>
            <w:r>
              <w:rPr>
                <w:highlight w:val="yellow"/>
              </w:rPr>
              <w:t xml:space="preserve">Брой на разкритите работни места </w:t>
            </w:r>
          </w:p>
        </w:tc>
        <w:tc>
          <w:tcPr>
            <w:tcW w:w="1400" w:type="dxa"/>
            <w:shd w:val="clear" w:color="auto" w:fill="auto"/>
          </w:tcPr>
          <w:p w:rsidR="00143584" w:rsidRDefault="00143584">
            <w:pPr>
              <w:pStyle w:val="Htableleft"/>
              <w:jc w:val="center"/>
              <w:rPr>
                <w:rFonts w:cs="Arial"/>
                <w:highlight w:val="yellow"/>
              </w:rPr>
            </w:pPr>
          </w:p>
        </w:tc>
        <w:tc>
          <w:tcPr>
            <w:tcW w:w="1352" w:type="dxa"/>
            <w:shd w:val="clear" w:color="auto" w:fill="auto"/>
          </w:tcPr>
          <w:p w:rsidR="00143584" w:rsidRDefault="00D64125">
            <w:pPr>
              <w:pStyle w:val="Htableleft"/>
              <w:jc w:val="center"/>
              <w:rPr>
                <w:rFonts w:cs="Arial"/>
                <w:highlight w:val="yellow"/>
              </w:rPr>
            </w:pPr>
            <w:r>
              <w:rPr>
                <w:highlight w:val="yellow"/>
              </w:rPr>
              <w:t>T23</w:t>
            </w:r>
          </w:p>
        </w:tc>
      </w:tr>
    </w:tbl>
    <w:p w:rsidR="00143584" w:rsidRDefault="00D64125">
      <w:pPr>
        <w:pStyle w:val="HStandard"/>
        <w:rPr>
          <w:rFonts w:cs="Arial"/>
          <w:highlight w:val="yellow"/>
        </w:rPr>
      </w:pPr>
      <w:r>
        <w:rPr>
          <w:highlight w:val="yellow"/>
        </w:rPr>
        <w:t xml:space="preserve">Като се има предвид гъвкавостта при прилагането на LEADER в държавите членки, е възможно горепосоченият общ въпрос за оценка и горепосочените показатели да не успеят да отразят всички специфични особености на LEADER и произтичащите очаквани/предвидени ефекти (включително добавената стойност на LEADER). Затова в плана за показателите за ПРСР или в плана за оценка държавите членки може да са разработили СПВО и специфични за програмата показатели, свързани с LEADER. В такъв случай всички термини, използвани в СПВО и специфичните за програмата показатели, трябва да бъдат добре дефинирани и да се изготви специален фиш за показателите. Ако не са разработени нито СПВО, нито специални показатели за LEADER, но са планирани специални теми за оценка, такива все пак може да бъдат дефинирани на по-късен етап (вж. глава 5.2.3 „Разработване на специфични елементи за оценка на ПРСР“). </w:t>
      </w:r>
    </w:p>
    <w:p w:rsidR="00143584" w:rsidRDefault="00D64125">
      <w:pPr>
        <w:pStyle w:val="HStandard"/>
        <w:rPr>
          <w:rFonts w:cs="Arial"/>
          <w:highlight w:val="yellow"/>
        </w:rPr>
      </w:pPr>
      <w:r>
        <w:rPr>
          <w:highlight w:val="yellow"/>
        </w:rPr>
        <w:t>Освен това операциите, които се осъществяват в рамките на всяка стратегия за ВОМР, ще бъдат включени в базата данни на операциите на ниво МГД, което ще даде възможност да се събират данни и информация за оценяване на приноса на LEADER за постигането на целите, резултатите и въздействията на ПРСР и ефективността и ефикасността на интервенциите по ПРСР, които се изпълняват чрез LEADER.</w:t>
      </w:r>
    </w:p>
    <w:p w:rsidR="00143584" w:rsidRDefault="00D64125">
      <w:pPr>
        <w:pStyle w:val="HHeading5"/>
        <w:rPr>
          <w:rFonts w:cs="Arial"/>
          <w:highlight w:val="yellow"/>
        </w:rPr>
      </w:pPr>
      <w:r>
        <w:rPr>
          <w:highlight w:val="yellow"/>
        </w:rPr>
        <w:t>Специфични особености на ТП</w:t>
      </w:r>
    </w:p>
    <w:p w:rsidR="00143584" w:rsidRDefault="00D64125">
      <w:pPr>
        <w:pStyle w:val="HStandard"/>
        <w:rPr>
          <w:rFonts w:cs="Arial"/>
          <w:highlight w:val="yellow"/>
        </w:rPr>
      </w:pPr>
      <w:r>
        <w:rPr>
          <w:highlight w:val="yellow"/>
        </w:rPr>
        <w:t>Когато дадена държава членка е включила в плана за оценка теми за оценка, които са свързани с действия по линия на техническата помощ, тези теми може да са придружени от ясно дефинирани СПВО и свързаните с тях специфични за програмата показатели. Ако обаче това не е така, горепосочените елементи може да бъдат формулирани на по-късен етап. В глава 5.2.3 „Разработване на специфични елементи за оценка на ПРСР“ са дадени по-подробни насоки в тази връзка.</w:t>
      </w:r>
    </w:p>
    <w:p w:rsidR="00143584" w:rsidRDefault="00D64125">
      <w:pPr>
        <w:pStyle w:val="HHeading5"/>
        <w:rPr>
          <w:rFonts w:cs="Arial"/>
          <w:highlight w:val="yellow"/>
        </w:rPr>
      </w:pPr>
      <w:r>
        <w:rPr>
          <w:highlight w:val="yellow"/>
        </w:rPr>
        <w:t xml:space="preserve">Специфични особености на НМСР </w:t>
      </w:r>
    </w:p>
    <w:p w:rsidR="00143584" w:rsidRDefault="00D64125">
      <w:pPr>
        <w:pStyle w:val="HStandard"/>
        <w:rPr>
          <w:rFonts w:cs="Arial"/>
          <w:highlight w:val="yellow"/>
        </w:rPr>
      </w:pPr>
      <w:r>
        <w:rPr>
          <w:highlight w:val="yellow"/>
        </w:rPr>
        <w:lastRenderedPageBreak/>
        <w:t>Подобни съображения са приложими и по отношение на общите елементи за оценка при оценяването на НМСР. За НМСР има само един ОВО: „До каква степен националната мрежа за селските райони е допринесла за постигането на целите, определени в член 54, параграф 2 от Регламент (ЕС) № 1305/2013?“ Този ВО се придружава от три общи показателя за крайните продукти</w:t>
      </w:r>
      <w:r>
        <w:rPr>
          <w:b/>
          <w:i/>
          <w:color w:val="6F6F6F" w:themeColor="text1"/>
          <w:highlight w:val="yellow"/>
          <w:vertAlign w:val="superscript"/>
        </w:rPr>
        <w:footnoteReference w:id="47"/>
      </w:r>
      <w:r>
        <w:rPr>
          <w:highlight w:val="yellow"/>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143584">
        <w:trPr>
          <w:jc w:val="center"/>
        </w:trPr>
        <w:tc>
          <w:tcPr>
            <w:tcW w:w="5949"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Показател</w:t>
            </w:r>
          </w:p>
        </w:tc>
        <w:tc>
          <w:tcPr>
            <w:tcW w:w="1701" w:type="dxa"/>
            <w:shd w:val="clear" w:color="auto" w:fill="F07E31" w:themeFill="background2"/>
          </w:tcPr>
          <w:p w:rsidR="00143584" w:rsidRDefault="00D64125">
            <w:pPr>
              <w:pStyle w:val="Htableleftbolt"/>
              <w:jc w:val="center"/>
              <w:rPr>
                <w:rFonts w:cs="Arial"/>
                <w:color w:val="FFFFFF" w:themeColor="accent1"/>
                <w:highlight w:val="yellow"/>
              </w:rPr>
            </w:pPr>
            <w:r>
              <w:rPr>
                <w:color w:val="FFFFFF" w:themeColor="accent1"/>
                <w:highlight w:val="yellow"/>
              </w:rPr>
              <w:t>Крайни продукти</w:t>
            </w:r>
          </w:p>
        </w:tc>
      </w:tr>
      <w:tr w:rsidR="00143584">
        <w:trPr>
          <w:jc w:val="center"/>
        </w:trPr>
        <w:tc>
          <w:tcPr>
            <w:tcW w:w="5949" w:type="dxa"/>
            <w:shd w:val="clear" w:color="auto" w:fill="auto"/>
          </w:tcPr>
          <w:p w:rsidR="00143584" w:rsidRDefault="00D64125">
            <w:pPr>
              <w:pStyle w:val="Htableleft"/>
              <w:rPr>
                <w:rFonts w:cs="Arial"/>
                <w:highlight w:val="yellow"/>
              </w:rPr>
            </w:pPr>
            <w:r>
              <w:rPr>
                <w:highlight w:val="yellow"/>
              </w:rPr>
              <w:t>Брой на тематичните и аналитичните обмени, извършени с помощта на националната мрежа за селските райони</w:t>
            </w:r>
          </w:p>
        </w:tc>
        <w:tc>
          <w:tcPr>
            <w:tcW w:w="1701" w:type="dxa"/>
            <w:shd w:val="clear" w:color="auto" w:fill="auto"/>
          </w:tcPr>
          <w:p w:rsidR="00143584" w:rsidRDefault="00D64125">
            <w:pPr>
              <w:pStyle w:val="Htableleft"/>
              <w:jc w:val="center"/>
              <w:rPr>
                <w:rFonts w:cs="Arial"/>
                <w:highlight w:val="yellow"/>
              </w:rPr>
            </w:pPr>
            <w:r>
              <w:rPr>
                <w:highlight w:val="yellow"/>
              </w:rPr>
              <w:t>O24</w:t>
            </w:r>
          </w:p>
        </w:tc>
      </w:tr>
      <w:tr w:rsidR="00143584">
        <w:trPr>
          <w:jc w:val="center"/>
        </w:trPr>
        <w:tc>
          <w:tcPr>
            <w:tcW w:w="5949" w:type="dxa"/>
            <w:shd w:val="clear" w:color="auto" w:fill="auto"/>
          </w:tcPr>
          <w:p w:rsidR="00143584" w:rsidRDefault="00D64125">
            <w:pPr>
              <w:pStyle w:val="Htableleft"/>
              <w:rPr>
                <w:rFonts w:cs="Arial"/>
                <w:highlight w:val="yellow"/>
              </w:rPr>
            </w:pPr>
            <w:r>
              <w:rPr>
                <w:highlight w:val="yellow"/>
              </w:rPr>
              <w:t xml:space="preserve">Брой на инструментите за комуникация в рамките на националната мрежа за селските райони </w:t>
            </w:r>
          </w:p>
        </w:tc>
        <w:tc>
          <w:tcPr>
            <w:tcW w:w="1701" w:type="dxa"/>
            <w:shd w:val="clear" w:color="auto" w:fill="auto"/>
          </w:tcPr>
          <w:p w:rsidR="00143584" w:rsidRDefault="00D64125">
            <w:pPr>
              <w:pStyle w:val="Htableleft"/>
              <w:jc w:val="center"/>
              <w:rPr>
                <w:rFonts w:cs="Arial"/>
                <w:highlight w:val="yellow"/>
              </w:rPr>
            </w:pPr>
            <w:r>
              <w:rPr>
                <w:highlight w:val="yellow"/>
              </w:rPr>
              <w:t>O25</w:t>
            </w:r>
          </w:p>
        </w:tc>
      </w:tr>
      <w:tr w:rsidR="00143584">
        <w:trPr>
          <w:jc w:val="center"/>
        </w:trPr>
        <w:tc>
          <w:tcPr>
            <w:tcW w:w="5949" w:type="dxa"/>
            <w:shd w:val="clear" w:color="auto" w:fill="auto"/>
          </w:tcPr>
          <w:p w:rsidR="00143584" w:rsidRDefault="00D64125">
            <w:pPr>
              <w:pStyle w:val="Htableleft"/>
              <w:rPr>
                <w:rFonts w:cs="Arial"/>
                <w:highlight w:val="yellow"/>
              </w:rPr>
            </w:pPr>
            <w:r>
              <w:rPr>
                <w:highlight w:val="yellow"/>
              </w:rPr>
              <w:t xml:space="preserve">Брой на дейностите в рамките на Европейската мрежа за развитие на селските райони, в които е участвала националната мрежа за селските райони </w:t>
            </w:r>
          </w:p>
        </w:tc>
        <w:tc>
          <w:tcPr>
            <w:tcW w:w="1701" w:type="dxa"/>
            <w:shd w:val="clear" w:color="auto" w:fill="auto"/>
          </w:tcPr>
          <w:p w:rsidR="00143584" w:rsidRDefault="00D64125">
            <w:pPr>
              <w:pStyle w:val="Htableleft"/>
              <w:jc w:val="center"/>
              <w:rPr>
                <w:rFonts w:cs="Arial"/>
                <w:highlight w:val="yellow"/>
              </w:rPr>
            </w:pPr>
            <w:r>
              <w:rPr>
                <w:highlight w:val="yellow"/>
              </w:rPr>
              <w:t>O26</w:t>
            </w:r>
          </w:p>
        </w:tc>
      </w:tr>
    </w:tbl>
    <w:p w:rsidR="00143584" w:rsidRDefault="00D64125">
      <w:pPr>
        <w:pStyle w:val="HStandard"/>
        <w:spacing w:before="120"/>
        <w:rPr>
          <w:rFonts w:cs="Arial"/>
          <w:highlight w:val="yellow"/>
        </w:rPr>
      </w:pPr>
      <w:r>
        <w:rPr>
          <w:highlight w:val="yellow"/>
        </w:rPr>
        <w:t xml:space="preserve">Поради ограничения набор от общи елементи на оценката се препоръчва на държавите членки да дефинират допълнителни показатели, което ще даде възможност да се отговори на този ОВО, свързан с НМСР. Ако желаят, държавите членки може да разработят и други СПВО, свързани с НМСР, както и специфични за програмата показатели, с които да се даде отговор на тези СПВО. </w:t>
      </w:r>
    </w:p>
    <w:p w:rsidR="00143584" w:rsidRDefault="00D64125">
      <w:pPr>
        <w:pStyle w:val="HStandard"/>
        <w:rPr>
          <w:rFonts w:cs="Arial"/>
          <w:highlight w:val="yellow"/>
        </w:rPr>
      </w:pPr>
      <w:r>
        <w:rPr>
          <w:highlight w:val="yellow"/>
        </w:rPr>
        <w:t>Очевидно е, че за ПНМСР трябва да бъдат разработени СПВО и специфични за програмата показатели (включително показатели за резултатите и за въздействието), за да се измери очакваната добавена стойност. Аналогично на LEADER, всички специфични за програмата показатели трябва да бъдат разработени под формата на фишове за показатели (вж. глава 5.2.3 „Разработване на специфични елементи за оценка на ПРСР“).</w:t>
      </w:r>
    </w:p>
    <w:p w:rsidR="00143584" w:rsidRDefault="00D64125">
      <w:pPr>
        <w:pStyle w:val="HHeading5"/>
        <w:rPr>
          <w:rFonts w:cs="Arial"/>
          <w:highlight w:val="yellow"/>
        </w:rPr>
      </w:pPr>
      <w:r>
        <w:rPr>
          <w:highlight w:val="yellow"/>
        </w:rPr>
        <w:t>Допълнителни материали</w:t>
      </w:r>
    </w:p>
    <w:p w:rsidR="00143584" w:rsidRDefault="00D64125">
      <w:pPr>
        <w:pStyle w:val="HBox"/>
        <w:rPr>
          <w:rFonts w:cs="Arial"/>
          <w:highlight w:val="yellow"/>
        </w:rPr>
      </w:pPr>
      <w:r>
        <w:rPr>
          <w:highlight w:val="yellow"/>
        </w:rPr>
        <w:t>Да се постигне максимума по вашата ПРСР: Ръководство за предварителна оценка на ПРСР за периода 2014—2020 г., част II, глава 3, връзка (да се добави, след като преразгледаната версия бъде публикувана в интернет).</w:t>
      </w:r>
    </w:p>
    <w:p w:rsidR="00143584" w:rsidRDefault="00D64125">
      <w:pPr>
        <w:pStyle w:val="HBox"/>
        <w:rPr>
          <w:rFonts w:cs="Arial"/>
          <w:color w:val="546393" w:themeColor="accent3"/>
          <w:highlight w:val="yellow"/>
        </w:rPr>
      </w:pPr>
      <w:r>
        <w:rPr>
          <w:highlight w:val="yellow"/>
        </w:rPr>
        <w:t xml:space="preserve">Успешна реализация на вашата ПРСР: Насоки за последваща оценка на ПРСР за периода 2007—2013 г., част II, глави 1, 2 и 3, връзка: </w:t>
      </w:r>
      <w:hyperlink r:id="rId43" w:history="1">
        <w:r>
          <w:rPr>
            <w:rStyle w:val="Hyperlink"/>
            <w:highlight w:val="yellow"/>
            <w:lang w:val="en-GB"/>
          </w:rPr>
          <w:t>http</w:t>
        </w:r>
        <w:r>
          <w:rPr>
            <w:rStyle w:val="Hyperlink"/>
            <w:highlight w:val="yellow"/>
          </w:rPr>
          <w:t>://</w:t>
        </w:r>
        <w:r>
          <w:rPr>
            <w:rStyle w:val="Hyperlink"/>
            <w:highlight w:val="yellow"/>
            <w:lang w:val="en-GB"/>
          </w:rPr>
          <w:t>enrd</w:t>
        </w:r>
        <w:r>
          <w:rPr>
            <w:rStyle w:val="Hyperlink"/>
            <w:highlight w:val="yellow"/>
          </w:rPr>
          <w:t>.</w:t>
        </w:r>
        <w:r>
          <w:rPr>
            <w:rStyle w:val="Hyperlink"/>
            <w:highlight w:val="yellow"/>
            <w:lang w:val="en-GB"/>
          </w:rPr>
          <w:t>ec</w:t>
        </w:r>
        <w:r>
          <w:rPr>
            <w:rStyle w:val="Hyperlink"/>
            <w:highlight w:val="yellow"/>
          </w:rPr>
          <w:t>.</w:t>
        </w:r>
        <w:r>
          <w:rPr>
            <w:rStyle w:val="Hyperlink"/>
            <w:highlight w:val="yellow"/>
            <w:lang w:val="en-GB"/>
          </w:rPr>
          <w:t>europa</w:t>
        </w:r>
        <w:r>
          <w:rPr>
            <w:rStyle w:val="Hyperlink"/>
            <w:highlight w:val="yellow"/>
          </w:rPr>
          <w:t>.</w:t>
        </w:r>
        <w:r>
          <w:rPr>
            <w:rStyle w:val="Hyperlink"/>
            <w:highlight w:val="yellow"/>
            <w:lang w:val="en-GB"/>
          </w:rPr>
          <w:t>eu</w:t>
        </w:r>
        <w:r>
          <w:rPr>
            <w:rStyle w:val="Hyperlink"/>
            <w:highlight w:val="yellow"/>
          </w:rPr>
          <w:t>/</w:t>
        </w:r>
        <w:r>
          <w:rPr>
            <w:rStyle w:val="Hyperlink"/>
            <w:highlight w:val="yellow"/>
            <w:lang w:val="en-GB"/>
          </w:rPr>
          <w:t>enrd</w:t>
        </w:r>
        <w:r>
          <w:rPr>
            <w:rStyle w:val="Hyperlink"/>
            <w:highlight w:val="yellow"/>
          </w:rPr>
          <w:t>-</w:t>
        </w:r>
        <w:r>
          <w:rPr>
            <w:rStyle w:val="Hyperlink"/>
            <w:highlight w:val="yellow"/>
            <w:lang w:val="en-GB"/>
          </w:rPr>
          <w:t>static</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library</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helpdesk</w:t>
        </w:r>
        <w:r>
          <w:rPr>
            <w:rStyle w:val="Hyperlink"/>
            <w:highlight w:val="yellow"/>
          </w:rPr>
          <w:t>-</w:t>
        </w:r>
        <w:r>
          <w:rPr>
            <w:rStyle w:val="Hyperlink"/>
            <w:highlight w:val="yellow"/>
            <w:lang w:val="en-GB"/>
          </w:rPr>
          <w:t>publications</w:t>
        </w:r>
        <w:r>
          <w:rPr>
            <w:rStyle w:val="Hyperlink"/>
            <w:highlight w:val="yellow"/>
          </w:rPr>
          <w:t>/</w:t>
        </w:r>
        <w:r>
          <w:rPr>
            <w:rStyle w:val="Hyperlink"/>
            <w:highlight w:val="yellow"/>
            <w:lang w:val="en-GB"/>
          </w:rPr>
          <w:t>en</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helpdesk</w:t>
        </w:r>
        <w:r>
          <w:rPr>
            <w:rStyle w:val="Hyperlink"/>
            <w:highlight w:val="yellow"/>
          </w:rPr>
          <w:t>-</w:t>
        </w:r>
        <w:r>
          <w:rPr>
            <w:rStyle w:val="Hyperlink"/>
            <w:highlight w:val="yellow"/>
            <w:lang w:val="en-GB"/>
          </w:rPr>
          <w:t>publications</w:t>
        </w:r>
        <w:r>
          <w:rPr>
            <w:rStyle w:val="Hyperlink"/>
            <w:highlight w:val="yellow"/>
          </w:rPr>
          <w:t>_</w:t>
        </w:r>
        <w:r>
          <w:rPr>
            <w:rStyle w:val="Hyperlink"/>
            <w:highlight w:val="yellow"/>
            <w:lang w:val="en-GB"/>
          </w:rPr>
          <w:t>en</w:t>
        </w:r>
        <w:r>
          <w:rPr>
            <w:rStyle w:val="Hyperlink"/>
            <w:highlight w:val="yellow"/>
          </w:rPr>
          <w:t>.</w:t>
        </w:r>
        <w:r>
          <w:rPr>
            <w:rStyle w:val="Hyperlink"/>
            <w:highlight w:val="yellow"/>
            <w:lang w:val="en-GB"/>
          </w:rPr>
          <w:t>html</w:t>
        </w:r>
      </w:hyperlink>
      <w:r>
        <w:rPr>
          <w:rStyle w:val="Hyperlink"/>
          <w:highlight w:val="yellow"/>
        </w:rPr>
        <w:t>.</w:t>
      </w:r>
    </w:p>
    <w:p w:rsidR="00143584" w:rsidRDefault="00D64125">
      <w:pPr>
        <w:pStyle w:val="HBox"/>
        <w:rPr>
          <w:rFonts w:cs="Arial"/>
          <w:highlight w:val="yellow"/>
        </w:rPr>
      </w:pPr>
      <w:r>
        <w:rPr>
          <w:highlight w:val="yellow"/>
        </w:rPr>
        <w:t xml:space="preserve">Работен документ: Общи въпроси за оценка на програмите за развитие на селските райони за периода 2014—2020 г., връзка: </w:t>
      </w:r>
      <w:hyperlink r:id="rId44" w:history="1">
        <w:r>
          <w:rPr>
            <w:rStyle w:val="Hyperlink"/>
            <w:highlight w:val="yellow"/>
            <w:lang w:val="en-GB"/>
          </w:rPr>
          <w:t>http</w:t>
        </w:r>
        <w:r>
          <w:rPr>
            <w:rStyle w:val="Hyperlink"/>
            <w:highlight w:val="yellow"/>
          </w:rPr>
          <w:t>://</w:t>
        </w:r>
        <w:r>
          <w:rPr>
            <w:rStyle w:val="Hyperlink"/>
            <w:highlight w:val="yellow"/>
            <w:lang w:val="en-GB"/>
          </w:rPr>
          <w:t>enrd</w:t>
        </w:r>
        <w:r>
          <w:rPr>
            <w:rStyle w:val="Hyperlink"/>
            <w:highlight w:val="yellow"/>
          </w:rPr>
          <w:t>.</w:t>
        </w:r>
        <w:r>
          <w:rPr>
            <w:rStyle w:val="Hyperlink"/>
            <w:highlight w:val="yellow"/>
            <w:lang w:val="en-GB"/>
          </w:rPr>
          <w:t>ec</w:t>
        </w:r>
        <w:r>
          <w:rPr>
            <w:rStyle w:val="Hyperlink"/>
            <w:highlight w:val="yellow"/>
          </w:rPr>
          <w:t>.</w:t>
        </w:r>
        <w:r>
          <w:rPr>
            <w:rStyle w:val="Hyperlink"/>
            <w:highlight w:val="yellow"/>
            <w:lang w:val="en-GB"/>
          </w:rPr>
          <w:t>europa</w:t>
        </w:r>
        <w:r>
          <w:rPr>
            <w:rStyle w:val="Hyperlink"/>
            <w:highlight w:val="yellow"/>
          </w:rPr>
          <w:t>.</w:t>
        </w:r>
        <w:r>
          <w:rPr>
            <w:rStyle w:val="Hyperlink"/>
            <w:highlight w:val="yellow"/>
            <w:lang w:val="en-GB"/>
          </w:rPr>
          <w:t>eu</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publications</w:t>
        </w:r>
        <w:r>
          <w:rPr>
            <w:rStyle w:val="Hyperlink"/>
            <w:highlight w:val="yellow"/>
          </w:rPr>
          <w:t>/</w:t>
        </w:r>
        <w:r>
          <w:rPr>
            <w:rStyle w:val="Hyperlink"/>
            <w:highlight w:val="yellow"/>
            <w:lang w:val="en-GB"/>
          </w:rPr>
          <w:t>e</w:t>
        </w:r>
        <w:r>
          <w:rPr>
            <w:rStyle w:val="Hyperlink"/>
            <w:highlight w:val="yellow"/>
          </w:rPr>
          <w:t>-</w:t>
        </w:r>
        <w:r>
          <w:rPr>
            <w:rStyle w:val="Hyperlink"/>
            <w:highlight w:val="yellow"/>
            <w:lang w:val="en-GB"/>
          </w:rPr>
          <w:t>library</w:t>
        </w:r>
        <w:r>
          <w:rPr>
            <w:rStyle w:val="Hyperlink"/>
            <w:highlight w:val="yellow"/>
          </w:rPr>
          <w:t>_</w:t>
        </w:r>
        <w:r>
          <w:rPr>
            <w:rStyle w:val="Hyperlink"/>
            <w:highlight w:val="yellow"/>
            <w:lang w:val="en-GB"/>
          </w:rPr>
          <w:t>en</w:t>
        </w:r>
      </w:hyperlink>
    </w:p>
    <w:p w:rsidR="00143584" w:rsidRDefault="00D64125">
      <w:pPr>
        <w:pStyle w:val="HBox"/>
        <w:rPr>
          <w:rFonts w:cs="Arial"/>
          <w:highlight w:val="yellow"/>
        </w:rPr>
      </w:pPr>
      <w:r>
        <w:rPr>
          <w:highlight w:val="yellow"/>
        </w:rPr>
        <w:t xml:space="preserve">Работен документ: Фишове за общи показатели за контекста </w:t>
      </w:r>
    </w:p>
    <w:p w:rsidR="00143584" w:rsidRDefault="00D64125">
      <w:pPr>
        <w:pStyle w:val="HBox"/>
        <w:rPr>
          <w:rFonts w:cs="Arial"/>
          <w:highlight w:val="yellow"/>
        </w:rPr>
      </w:pPr>
      <w:r>
        <w:rPr>
          <w:highlight w:val="yellow"/>
        </w:rPr>
        <w:t>Работен документ: Фишове за показатели за въздействието</w:t>
      </w:r>
    </w:p>
    <w:p w:rsidR="00143584" w:rsidRDefault="00D64125">
      <w:pPr>
        <w:pStyle w:val="HBox"/>
        <w:rPr>
          <w:rFonts w:cs="Arial"/>
          <w:highlight w:val="yellow"/>
        </w:rPr>
      </w:pPr>
      <w:r>
        <w:rPr>
          <w:highlight w:val="yellow"/>
        </w:rPr>
        <w:t>Работен документ: Фишове за целеви показатели за стълб II</w:t>
      </w:r>
    </w:p>
    <w:p w:rsidR="00143584" w:rsidRDefault="00D64125">
      <w:pPr>
        <w:pStyle w:val="HBox"/>
        <w:rPr>
          <w:rFonts w:cs="Arial"/>
          <w:highlight w:val="yellow"/>
        </w:rPr>
      </w:pPr>
      <w:r>
        <w:rPr>
          <w:highlight w:val="yellow"/>
        </w:rPr>
        <w:t>Работен документ: Фишове за показатели за допълнителни резултати за стълб II</w:t>
      </w:r>
    </w:p>
    <w:p w:rsidR="00143584" w:rsidRDefault="00D64125">
      <w:pPr>
        <w:pStyle w:val="HBox"/>
        <w:rPr>
          <w:rFonts w:cs="Arial"/>
          <w:highlight w:val="yellow"/>
        </w:rPr>
      </w:pPr>
      <w:r>
        <w:rPr>
          <w:highlight w:val="yellow"/>
        </w:rPr>
        <w:t xml:space="preserve">Работен документ: Списък с елементи на данни за базата данни на операциите по стълб II (за крайни продукти и целеви) </w:t>
      </w:r>
    </w:p>
    <w:p w:rsidR="00143584" w:rsidRDefault="00D64125">
      <w:pPr>
        <w:pStyle w:val="HBox"/>
        <w:rPr>
          <w:rFonts w:cs="Arial"/>
          <w:highlight w:val="yellow"/>
        </w:rPr>
      </w:pPr>
      <w:r>
        <w:rPr>
          <w:highlight w:val="yellow"/>
        </w:rPr>
        <w:t>Работен документ: Мониторинг на развитието на селските райони (2014—2020 г.) — таблици в доклада за изпълнението</w:t>
      </w:r>
    </w:p>
    <w:p w:rsidR="00143584" w:rsidRDefault="00D64125">
      <w:pPr>
        <w:pStyle w:val="HBox"/>
        <w:rPr>
          <w:rFonts w:cs="Arial"/>
          <w:highlight w:val="yellow"/>
        </w:rPr>
      </w:pPr>
      <w:r>
        <w:rPr>
          <w:highlight w:val="yellow"/>
        </w:rPr>
        <w:lastRenderedPageBreak/>
        <w:t>Работен документ: Програмиране и определяне на цели за развитието на селските райони (2014—2020 г.)</w:t>
      </w:r>
    </w:p>
    <w:p w:rsidR="00143584" w:rsidRDefault="00D64125">
      <w:pPr>
        <w:pStyle w:val="HHeading3"/>
        <w:rPr>
          <w:rFonts w:cs="Arial"/>
          <w:highlight w:val="yellow"/>
        </w:rPr>
      </w:pPr>
      <w:bookmarkStart w:id="65" w:name="_Toc460936112"/>
      <w:bookmarkStart w:id="66" w:name="_Toc474938236"/>
      <w:r>
        <w:rPr>
          <w:highlight w:val="yellow"/>
        </w:rPr>
        <w:t>Проверка на съгласуваността на въпросите за оценка и показателите с интервенционната логика на ПРСР</w:t>
      </w:r>
      <w:bookmarkEnd w:id="65"/>
      <w:bookmarkEnd w:id="66"/>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143584">
        <w:trPr>
          <w:jc w:val="center"/>
        </w:trPr>
        <w:tc>
          <w:tcPr>
            <w:tcW w:w="9071" w:type="dxa"/>
            <w:tcBorders>
              <w:bottom w:val="single" w:sz="4" w:space="0" w:color="6F6F6F" w:themeColor="text1"/>
            </w:tcBorders>
            <w:shd w:val="clear" w:color="auto" w:fill="F6B183" w:themeFill="background2" w:themeFillTint="99"/>
          </w:tcPr>
          <w:p w:rsidR="00143584" w:rsidRDefault="00D64125">
            <w:pPr>
              <w:pStyle w:val="HStandard"/>
              <w:rPr>
                <w:rFonts w:cs="Arial"/>
                <w:highlight w:val="yellow"/>
              </w:rPr>
            </w:pPr>
            <w:r>
              <w:rPr>
                <w:highlight w:val="yellow"/>
              </w:rPr>
              <w:t>За да се отговори на ОВО и на СПВО правилно и в съответствие с техните критерии за преценка, трябва да бъде гарантирана тяхната съгласуваност с интервенционната логика и показателите. Оценяването на хоризонталната и вертикалната съгласуваност между целите, ВО и показателите помага да се прецени дали дефинираните показатели и критерии за преценка са адекватни да измерят постиженията спрямо целите и да дадат отговор на ВО. Освен това този етап спомага да се установят потенциалните пропуски и начините за преодоляването им.</w:t>
            </w:r>
          </w:p>
        </w:tc>
      </w:tr>
      <w:tr w:rsidR="00143584">
        <w:trPr>
          <w:jc w:val="center"/>
        </w:trPr>
        <w:tc>
          <w:tcPr>
            <w:tcW w:w="9071" w:type="dxa"/>
            <w:shd w:val="clear" w:color="auto" w:fill="FCE5D5" w:themeFill="background2" w:themeFillTint="33"/>
          </w:tcPr>
          <w:p w:rsidR="00143584" w:rsidRDefault="00D64125">
            <w:pPr>
              <w:pStyle w:val="HHeading5"/>
              <w:rPr>
                <w:rFonts w:cs="Arial"/>
                <w:highlight w:val="yellow"/>
              </w:rPr>
            </w:pPr>
            <w:r>
              <w:rPr>
                <w:highlight w:val="yellow"/>
              </w:rPr>
              <w:t xml:space="preserve">Препоръчани етапи на работа: </w:t>
            </w:r>
          </w:p>
          <w:p w:rsidR="00143584" w:rsidRDefault="00D64125">
            <w:pPr>
              <w:pStyle w:val="Hlistbullet"/>
              <w:rPr>
                <w:rFonts w:cs="Arial"/>
                <w:highlight w:val="yellow"/>
              </w:rPr>
            </w:pPr>
            <w:r>
              <w:rPr>
                <w:b/>
                <w:highlight w:val="yellow"/>
              </w:rPr>
              <w:t>Преразглеждане на предварителните констатации по отношение на съгласуваността между целите на ПРСР, ВО/критериите за преценка и показателите:</w:t>
            </w:r>
            <w:r>
              <w:rPr>
                <w:highlight w:val="yellow"/>
              </w:rPr>
              <w:t xml:space="preserve"> Ако бъдат установени пропуски, следва да се предприемат следните работни стъпки.  </w:t>
            </w:r>
          </w:p>
          <w:p w:rsidR="00143584" w:rsidRDefault="00D64125">
            <w:pPr>
              <w:pStyle w:val="Hlistbullet"/>
              <w:rPr>
                <w:rFonts w:cs="Arial"/>
                <w:highlight w:val="yellow"/>
              </w:rPr>
            </w:pPr>
            <w:r>
              <w:rPr>
                <w:b/>
                <w:highlight w:val="yellow"/>
              </w:rPr>
              <w:t>Проверка на хоризонталната съгласуваност между целите на ПРСР, ВО/критериите за преценка и показателите:</w:t>
            </w:r>
            <w:r>
              <w:rPr>
                <w:highlight w:val="yellow"/>
              </w:rPr>
              <w:t xml:space="preserve"> тристранната съгласуваност между целите, ВО/критериите за преценка и показателите трябва да бъде надлежно установена на всяко ниво в рамките на интервенционната логика. Следва да се идентифицират пропуските в способността на ВО да отразяват ефектите от ПРСР в посока на постигане на целта и в способността на показателите да дадат отговор на ВО. Необходимо е да се предложат решения за преодоляване на пропуските.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_Ref434764265 \w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Tool 1</w:t>
            </w:r>
            <w:r>
              <w:rPr>
                <w:rFonts w:cs="Arial"/>
                <w:color w:val="F07E31" w:themeColor="background2"/>
                <w:highlight w:val="yellow"/>
              </w:rPr>
              <w:fldChar w:fldCharType="end"/>
            </w:r>
            <w:r>
              <w:rPr>
                <w:color w:val="F07E31" w:themeColor="background2"/>
                <w:highlight w:val="yellow"/>
              </w:rPr>
              <w:t>:</w:t>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_Ref434764265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Matrix for checking horizontal consistency at the focus area level (example)</w:t>
            </w:r>
            <w:r>
              <w:rPr>
                <w:rFonts w:cs="Arial"/>
                <w:color w:val="F07E31" w:themeColor="background2"/>
                <w:highlight w:val="yellow"/>
              </w:rPr>
              <w:fldChar w:fldCharType="end"/>
            </w:r>
            <w:r>
              <w:rPr>
                <w:b/>
                <w:color w:val="57825E" w:themeColor="accent4"/>
                <w:highlight w:val="yellow"/>
              </w:rPr>
              <w:t>.</w:t>
            </w:r>
            <w:r>
              <w:rPr>
                <w:color w:val="8BAB80" w:themeColor="accent6"/>
                <w:highlight w:val="yellow"/>
              </w:rPr>
              <w:t xml:space="preserve">  </w:t>
            </w:r>
          </w:p>
          <w:p w:rsidR="00143584" w:rsidRDefault="00D64125">
            <w:pPr>
              <w:pStyle w:val="Hlistbullet2"/>
              <w:rPr>
                <w:rFonts w:cs="Arial"/>
                <w:highlight w:val="yellow"/>
              </w:rPr>
            </w:pPr>
            <w:r>
              <w:rPr>
                <w:b/>
                <w:highlight w:val="yellow"/>
              </w:rPr>
              <w:t>Разглеждане на вертикалната съгласуваност в йерархията на целите, ВО и показателите:</w:t>
            </w:r>
            <w:r>
              <w:rPr>
                <w:highlight w:val="yellow"/>
              </w:rPr>
              <w:t xml:space="preserve"> трябва да се провери дали отговорите на ВО от по-ниско ниво (свързани с области с поставен акцент) могат да предоставят полезна и достатъчна информация за резултатите от програмата, за да може да се даде отговор на ВО от по-високо ниво. Следва да се прецени дали показателите на по-ниското ниво осигуряват достатъчно данни за извършване на анализа на по-високото ниво, например дали предложените общи и специфични за програмата показатели за резултати са в състояние да предоставят достатъчна информация, за да се оценят въздействията от програмата. Ако бъдат идентифицирани пропуски, трябва да се направят предложения за преодоляването им.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_Ref434764342 \w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Tool 2</w:t>
            </w:r>
            <w:r>
              <w:rPr>
                <w:rFonts w:cs="Arial"/>
                <w:color w:val="F07E31" w:themeColor="background2"/>
                <w:highlight w:val="yellow"/>
              </w:rPr>
              <w:fldChar w:fldCharType="end"/>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_Ref434764352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Matrix for the vertical consistency</w:t>
            </w:r>
            <w:r>
              <w:rPr>
                <w:rFonts w:cs="Arial"/>
                <w:color w:val="F07E31" w:themeColor="background2"/>
                <w:highlight w:val="yellow"/>
              </w:rPr>
              <w:t xml:space="preserve"> check (example)</w:t>
            </w:r>
            <w:r>
              <w:rPr>
                <w:rFonts w:cs="Arial"/>
                <w:color w:val="F07E31" w:themeColor="background2"/>
                <w:highlight w:val="yellow"/>
              </w:rPr>
              <w:fldChar w:fldCharType="end"/>
            </w:r>
            <w:r>
              <w:rPr>
                <w:b/>
                <w:color w:val="F07E31" w:themeColor="background2"/>
                <w:highlight w:val="yellow"/>
              </w:rPr>
              <w:t>)</w:t>
            </w:r>
          </w:p>
        </w:tc>
      </w:tr>
      <w:tr w:rsidR="00143584">
        <w:trPr>
          <w:jc w:val="center"/>
        </w:trPr>
        <w:tc>
          <w:tcPr>
            <w:tcW w:w="9071" w:type="dxa"/>
          </w:tcPr>
          <w:p w:rsidR="00143584" w:rsidRDefault="00D64125">
            <w:pPr>
              <w:pStyle w:val="HStandard"/>
              <w:rPr>
                <w:rFonts w:cs="Arial"/>
                <w:highlight w:val="yellow"/>
              </w:rPr>
            </w:pPr>
            <w:r>
              <w:rPr>
                <w:b/>
                <w:highlight w:val="yellow"/>
              </w:rPr>
              <w:t>Очакван резултат</w:t>
            </w:r>
            <w:r>
              <w:rPr>
                <w:highlight w:val="yellow"/>
              </w:rPr>
              <w:t>: съгласувана рамка за оценка</w:t>
            </w:r>
          </w:p>
        </w:tc>
      </w:tr>
    </w:tbl>
    <w:p w:rsidR="00143584" w:rsidRDefault="00D64125">
      <w:pPr>
        <w:pStyle w:val="HHeading5"/>
        <w:rPr>
          <w:rFonts w:cs="Arial"/>
          <w:highlight w:val="yellow"/>
        </w:rPr>
      </w:pPr>
      <w:r>
        <w:rPr>
          <w:highlight w:val="yellow"/>
        </w:rPr>
        <w:t xml:space="preserve">Използване на предварителната оценка като отправна точка </w:t>
      </w:r>
    </w:p>
    <w:p w:rsidR="00143584" w:rsidRDefault="00D64125">
      <w:pPr>
        <w:pStyle w:val="HStandard"/>
        <w:rPr>
          <w:rFonts w:cs="Arial"/>
          <w:highlight w:val="yellow"/>
        </w:rPr>
      </w:pPr>
      <w:r>
        <w:rPr>
          <w:highlight w:val="yellow"/>
        </w:rPr>
        <w:t>Ако вече е била направена първа проверка за съгласуваност в рамките на предварителната оценка, тя трябва да се използва като отправна точка. Трябва да се отбележи обаче, че констатациите от предварителната оценка може да не са били отчетени в пълна степен от програмните органи и контекстът на програмата също може да се е променил. Затова се счита за добра практика тази оценка да се повтори.</w:t>
      </w:r>
    </w:p>
    <w:p w:rsidR="00143584" w:rsidRDefault="00D64125">
      <w:pPr>
        <w:pStyle w:val="HHeadingfigures"/>
        <w:rPr>
          <w:highlight w:val="yellow"/>
        </w:rPr>
      </w:pPr>
      <w:bookmarkStart w:id="67" w:name="_Toc460936155"/>
      <w:bookmarkStart w:id="68" w:name="_Toc474937854"/>
      <w:r>
        <w:rPr>
          <w:highlight w:val="yellow"/>
        </w:rPr>
        <w:lastRenderedPageBreak/>
        <w:t>Хоризонтална и вертикална съгласуваност между целите, въпросите за оценка и показателите</w:t>
      </w:r>
      <w:bookmarkEnd w:id="67"/>
      <w:bookmarkEnd w:id="68"/>
      <w:r>
        <w:rPr>
          <w:highlight w:val="yellow"/>
        </w:rPr>
        <w:t xml:space="preserve"> </w:t>
      </w:r>
    </w:p>
    <w:p w:rsidR="00143584" w:rsidRDefault="00D64125">
      <w:pPr>
        <w:jc w:val="center"/>
        <w:rPr>
          <w:rFonts w:cs="Arial"/>
          <w:highlight w:val="yellow"/>
        </w:rPr>
      </w:pPr>
      <w:r>
        <w:rPr>
          <w:noProof/>
          <w:highlight w:val="yellow"/>
          <w:lang w:val="en-GB" w:eastAsia="en-GB" w:bidi="ar-SA"/>
        </w:rPr>
        <w:drawing>
          <wp:inline distT="0" distB="0" distL="0" distR="0">
            <wp:extent cx="4933950" cy="2391025"/>
            <wp:effectExtent l="0" t="0" r="0" b="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7441" cy="2397563"/>
                    </a:xfrm>
                    <a:prstGeom prst="rect">
                      <a:avLst/>
                    </a:prstGeom>
                    <a:noFill/>
                    <a:ln>
                      <a:noFill/>
                    </a:ln>
                  </pic:spPr>
                </pic:pic>
              </a:graphicData>
            </a:graphic>
          </wp:inline>
        </w:drawing>
      </w:r>
    </w:p>
    <w:p w:rsidR="00143584" w:rsidRDefault="00D64125">
      <w:pPr>
        <w:pStyle w:val="HSource"/>
        <w:rPr>
          <w:rFonts w:cs="Arial"/>
          <w:highlight w:val="yellow"/>
        </w:rPr>
      </w:pPr>
      <w:r>
        <w:rPr>
          <w:highlight w:val="yellow"/>
        </w:rPr>
        <w:t>Източник: Европейско бюро за оценка в областта на развитието на селските райони, 2015 г.</w:t>
      </w:r>
    </w:p>
    <w:p w:rsidR="00143584" w:rsidRDefault="00D64125">
      <w:pPr>
        <w:pStyle w:val="HHeading5"/>
        <w:rPr>
          <w:rFonts w:cs="Arial"/>
          <w:highlight w:val="yellow"/>
        </w:rPr>
      </w:pPr>
      <w:r>
        <w:rPr>
          <w:highlight w:val="yellow"/>
        </w:rPr>
        <w:t>Проверка на хоризонталната съгласуваност</w:t>
      </w:r>
    </w:p>
    <w:p w:rsidR="00143584" w:rsidRDefault="00D64125">
      <w:pPr>
        <w:pStyle w:val="H-Standard"/>
        <w:rPr>
          <w:color w:val="535353" w:themeColor="text1" w:themeShade="BF"/>
          <w:highlight w:val="yellow"/>
        </w:rPr>
      </w:pPr>
      <w:r>
        <w:rPr>
          <w:color w:val="535353" w:themeColor="text1" w:themeShade="BF"/>
          <w:highlight w:val="yellow"/>
        </w:rPr>
        <w:t>Хоризонталната съгласуваност отразява връзката между целите на политиката на ЕС и на ПРСР, ОВО и СПВО и показателите на нив</w:t>
      </w:r>
      <w:r>
        <w:rPr>
          <w:rFonts w:asciiTheme="minorHAnsi" w:hAnsiTheme="minorHAnsi"/>
          <w:color w:val="535353" w:themeColor="text1" w:themeShade="BF"/>
          <w:highlight w:val="yellow"/>
        </w:rPr>
        <w:t>о</w:t>
      </w:r>
      <w:r>
        <w:rPr>
          <w:color w:val="535353" w:themeColor="text1" w:themeShade="BF"/>
          <w:highlight w:val="yellow"/>
        </w:rPr>
        <w:t xml:space="preserve"> резултати и на </w:t>
      </w:r>
      <w:r>
        <w:rPr>
          <w:rFonts w:asciiTheme="minorHAnsi" w:hAnsiTheme="minorHAnsi"/>
          <w:color w:val="535353" w:themeColor="text1" w:themeShade="BF"/>
          <w:highlight w:val="yellow"/>
        </w:rPr>
        <w:t xml:space="preserve">ниво </w:t>
      </w:r>
      <w:r>
        <w:rPr>
          <w:color w:val="535353" w:themeColor="text1" w:themeShade="BF"/>
          <w:highlight w:val="yellow"/>
        </w:rPr>
        <w:t>въздействия и обхваща:</w:t>
      </w:r>
    </w:p>
    <w:p w:rsidR="00143584" w:rsidRDefault="00D64125">
      <w:pPr>
        <w:pStyle w:val="Hlistbullet"/>
        <w:rPr>
          <w:rFonts w:cs="Arial"/>
          <w:highlight w:val="yellow"/>
        </w:rPr>
      </w:pPr>
      <w:r>
        <w:rPr>
          <w:highlight w:val="yellow"/>
        </w:rPr>
        <w:t>съгласуваността на общите цели на програмата с целите на ЕС във връзка с въпросите за оценка/критериите за преценка и показателите за въздействието, които се използват при оценяване на постиженията на ПРСР спрямо целите на ЕС и въздействията от програмата. Ако ПРСР съдържа специфични за ПРСР общи цели, тяхната съгласуваност със СПВО и специфичните за програмата показатели за въздействие също трябва да се разгледа,</w:t>
      </w:r>
    </w:p>
    <w:p w:rsidR="00143584" w:rsidRDefault="00D64125">
      <w:pPr>
        <w:pStyle w:val="Hlistbullet"/>
        <w:rPr>
          <w:highlight w:val="yellow"/>
        </w:rPr>
      </w:pPr>
      <w:r>
        <w:rPr>
          <w:highlight w:val="yellow"/>
        </w:rPr>
        <w:t xml:space="preserve">съгласуваността между целите на областите с поставен акцент за РСР, свързаните с областите с поставен акцент ВО/критерии за преценка и показателите за резултати. Тези показатели помагат да се оцени до каква степен са били постигнати специфичните цели в рамките на групата от бенефициери по програмата — резултати от програмата. Всички пропуски в съгласуваността между ОВО и общите показатели трябва да бъдат идентифицирани и преодолени, като се предложат допълнителни показатели (вж. фишовете за ОВО, публикувани в отделно приложение). Ако ПРСР съдържа специфични за програмата цели, свързани с област с поставен акцент, СПВО и специфични за програмата показатели (например включени в плана за оценка/в плана за показателите), тяхната съгласуваност също трябва да се провери.   </w:t>
      </w:r>
    </w:p>
    <w:p w:rsidR="00143584" w:rsidRDefault="00D64125">
      <w:pPr>
        <w:pStyle w:val="HStandard"/>
        <w:rPr>
          <w:rFonts w:cs="Arial"/>
          <w:highlight w:val="yellow"/>
        </w:rPr>
      </w:pPr>
      <w:r>
        <w:rPr>
          <w:highlight w:val="yellow"/>
        </w:rPr>
        <w:t xml:space="preserve">Когато се проверява хоризонталната съгласуваност между целите, ВО и показателите, трябва да се зададат следните насочващи въпроси: </w:t>
      </w:r>
    </w:p>
    <w:p w:rsidR="00143584" w:rsidRDefault="00D64125">
      <w:pPr>
        <w:pStyle w:val="Hlistbullet"/>
        <w:rPr>
          <w:rFonts w:cs="Arial"/>
          <w:highlight w:val="yellow"/>
        </w:rPr>
      </w:pPr>
      <w:r>
        <w:rPr>
          <w:highlight w:val="yellow"/>
        </w:rPr>
        <w:t>До каква степен ВО позволяват надеждно да се оцени постигането на целите на ПРСР?</w:t>
      </w:r>
    </w:p>
    <w:p w:rsidR="00143584" w:rsidRDefault="00D64125">
      <w:pPr>
        <w:pStyle w:val="Hlistbullet"/>
        <w:rPr>
          <w:rFonts w:cs="Arial"/>
          <w:highlight w:val="yellow"/>
        </w:rPr>
      </w:pPr>
      <w:r>
        <w:rPr>
          <w:highlight w:val="yellow"/>
        </w:rPr>
        <w:t>До каква степен събраните чрез показателите данни дават възможност да се отговори на ВО?</w:t>
      </w:r>
    </w:p>
    <w:p w:rsidR="00143584" w:rsidRDefault="00D64125">
      <w:pPr>
        <w:pStyle w:val="Hlistbullet"/>
        <w:rPr>
          <w:rFonts w:cs="Arial"/>
          <w:highlight w:val="yellow"/>
        </w:rPr>
      </w:pPr>
      <w:r>
        <w:rPr>
          <w:highlight w:val="yellow"/>
        </w:rPr>
        <w:t>Какви СПВО и специфични за програмата показатели трябва още да бъдат разработени, за да се попълнят пропуските в съгласуваността?</w:t>
      </w:r>
    </w:p>
    <w:p w:rsidR="00143584" w:rsidRDefault="00D64125">
      <w:pPr>
        <w:pStyle w:val="Hlistbullet"/>
        <w:rPr>
          <w:rFonts w:cs="Arial"/>
          <w:highlight w:val="yellow"/>
        </w:rPr>
      </w:pPr>
      <w:r>
        <w:rPr>
          <w:highlight w:val="yellow"/>
        </w:rPr>
        <w:t xml:space="preserve">Каква допълнителна информация трябва да се събере, за да влязат в действие „допълнителните“ специфични за програмата показатели? </w:t>
      </w:r>
    </w:p>
    <w:p w:rsidR="00143584" w:rsidRDefault="00D64125">
      <w:pPr>
        <w:pStyle w:val="HStandard"/>
        <w:rPr>
          <w:rFonts w:cs="Arial"/>
          <w:highlight w:val="yellow"/>
        </w:rPr>
      </w:pPr>
      <w:r>
        <w:rPr>
          <w:highlight w:val="yellow"/>
        </w:rPr>
        <w:t xml:space="preserve">За ефективното идентифициране на потенциалните пропуски в хоризонталната съгласуваност може да се използва следният инструмент: </w:t>
      </w:r>
    </w:p>
    <w:p w:rsidR="00143584" w:rsidRDefault="00D64125">
      <w:pPr>
        <w:pStyle w:val="HHeadingmaps"/>
        <w:rPr>
          <w:rFonts w:cs="Arial"/>
          <w:highlight w:val="yellow"/>
        </w:rPr>
      </w:pPr>
      <w:bookmarkStart w:id="69" w:name="_Ref434764265"/>
      <w:bookmarkStart w:id="70" w:name="_Toc460936159"/>
      <w:bookmarkStart w:id="71" w:name="_Toc474937858"/>
      <w:r>
        <w:rPr>
          <w:highlight w:val="yellow"/>
        </w:rPr>
        <w:lastRenderedPageBreak/>
        <w:t>Матрица за проверка на хоризонталната съгласуваност на ниво област с поставен акцент (пример)</w:t>
      </w:r>
      <w:bookmarkEnd w:id="69"/>
      <w:bookmarkEnd w:id="70"/>
      <w:bookmarkEnd w:id="71"/>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143584">
        <w:trPr>
          <w:tblHeader/>
          <w:jc w:val="center"/>
        </w:trPr>
        <w:tc>
          <w:tcPr>
            <w:tcW w:w="1129"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Цел (свързана с ОПА)</w:t>
            </w:r>
          </w:p>
        </w:tc>
        <w:tc>
          <w:tcPr>
            <w:tcW w:w="1134"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Общ въпрос за оценка</w:t>
            </w:r>
          </w:p>
        </w:tc>
        <w:tc>
          <w:tcPr>
            <w:tcW w:w="2380"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Критерии за преценка</w:t>
            </w:r>
          </w:p>
        </w:tc>
        <w:tc>
          <w:tcPr>
            <w:tcW w:w="1825"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Показател(и)</w:t>
            </w:r>
          </w:p>
        </w:tc>
        <w:tc>
          <w:tcPr>
            <w:tcW w:w="1230"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 xml:space="preserve">Идентифицирани пропуски </w:t>
            </w:r>
            <w:r>
              <w:rPr>
                <w:rStyle w:val="FootnoteReference"/>
                <w:i w:val="0"/>
                <w:color w:val="FFFFFF" w:themeColor="accent1"/>
                <w:position w:val="0"/>
                <w:sz w:val="18"/>
                <w:highlight w:val="yellow"/>
                <w:vertAlign w:val="superscript"/>
              </w:rPr>
              <w:footnoteReference w:id="48"/>
            </w:r>
            <w:r>
              <w:rPr>
                <w:color w:val="FFFFFF" w:themeColor="accent1"/>
                <w:highlight w:val="yellow"/>
                <w:vertAlign w:val="superscript"/>
              </w:rPr>
              <w:t xml:space="preserve"> </w:t>
            </w:r>
          </w:p>
        </w:tc>
        <w:tc>
          <w:tcPr>
            <w:tcW w:w="1374"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 xml:space="preserve">Допълнителни показатели за попълване на идентифицираните пропуски </w:t>
            </w:r>
          </w:p>
        </w:tc>
      </w:tr>
      <w:tr w:rsidR="00143584">
        <w:trPr>
          <w:jc w:val="center"/>
        </w:trPr>
        <w:tc>
          <w:tcPr>
            <w:tcW w:w="1129" w:type="dxa"/>
            <w:shd w:val="clear" w:color="auto" w:fill="auto"/>
          </w:tcPr>
          <w:p w:rsidR="00143584" w:rsidRDefault="00D64125">
            <w:pPr>
              <w:pStyle w:val="Htableleft"/>
              <w:rPr>
                <w:rFonts w:cs="Arial"/>
                <w:sz w:val="16"/>
                <w:szCs w:val="16"/>
                <w:highlight w:val="yellow"/>
              </w:rPr>
            </w:pPr>
            <w:r>
              <w:rPr>
                <w:sz w:val="16"/>
                <w:highlight w:val="yellow"/>
              </w:rPr>
              <w:t xml:space="preserve">6Б: Стимулиране на местното развитие в селските райони </w:t>
            </w:r>
          </w:p>
        </w:tc>
        <w:tc>
          <w:tcPr>
            <w:tcW w:w="1134" w:type="dxa"/>
            <w:shd w:val="clear" w:color="auto" w:fill="auto"/>
          </w:tcPr>
          <w:p w:rsidR="00143584" w:rsidRDefault="00D64125">
            <w:pPr>
              <w:pStyle w:val="Htableleft"/>
              <w:rPr>
                <w:rFonts w:cs="Arial"/>
                <w:sz w:val="16"/>
                <w:szCs w:val="16"/>
                <w:highlight w:val="yellow"/>
              </w:rPr>
            </w:pPr>
            <w:r>
              <w:rPr>
                <w:sz w:val="16"/>
                <w:highlight w:val="yellow"/>
              </w:rPr>
              <w:t xml:space="preserve">ОВО 17: До каква степен интервенциите по ПРСР са подпомогнали местното развитие в селските райони? </w:t>
            </w:r>
          </w:p>
        </w:tc>
        <w:tc>
          <w:tcPr>
            <w:tcW w:w="2380" w:type="dxa"/>
            <w:shd w:val="clear" w:color="auto" w:fill="auto"/>
          </w:tcPr>
          <w:p w:rsidR="00143584" w:rsidRDefault="00D64125">
            <w:pPr>
              <w:pStyle w:val="Htableleft"/>
              <w:numPr>
                <w:ilvl w:val="0"/>
                <w:numId w:val="47"/>
              </w:numPr>
              <w:ind w:left="315" w:hanging="284"/>
              <w:rPr>
                <w:rFonts w:cs="Arial"/>
                <w:sz w:val="16"/>
                <w:szCs w:val="16"/>
                <w:highlight w:val="yellow"/>
              </w:rPr>
            </w:pPr>
            <w:r>
              <w:rPr>
                <w:sz w:val="16"/>
                <w:highlight w:val="yellow"/>
              </w:rPr>
              <w:t xml:space="preserve">подобрени услуги и местна инфраструктура в селските райони, </w:t>
            </w:r>
          </w:p>
          <w:p w:rsidR="00143584" w:rsidRDefault="00D64125">
            <w:pPr>
              <w:pStyle w:val="Htableleft"/>
              <w:numPr>
                <w:ilvl w:val="0"/>
                <w:numId w:val="47"/>
              </w:numPr>
              <w:ind w:left="315" w:hanging="284"/>
              <w:rPr>
                <w:rFonts w:cs="Arial"/>
                <w:sz w:val="16"/>
                <w:szCs w:val="16"/>
                <w:highlight w:val="yellow"/>
              </w:rPr>
            </w:pPr>
            <w:r>
              <w:rPr>
                <w:sz w:val="16"/>
                <w:highlight w:val="yellow"/>
              </w:rPr>
              <w:t xml:space="preserve">увеличен достъп до услуги и до местната инфраструктура в селските райони, </w:t>
            </w:r>
          </w:p>
          <w:p w:rsidR="00143584" w:rsidRDefault="00D64125">
            <w:pPr>
              <w:pStyle w:val="Htableleft"/>
              <w:numPr>
                <w:ilvl w:val="0"/>
                <w:numId w:val="47"/>
              </w:numPr>
              <w:ind w:left="315" w:hanging="284"/>
              <w:rPr>
                <w:rFonts w:cs="Arial"/>
                <w:sz w:val="16"/>
                <w:szCs w:val="16"/>
                <w:highlight w:val="yellow"/>
              </w:rPr>
            </w:pPr>
            <w:r>
              <w:rPr>
                <w:sz w:val="16"/>
                <w:highlight w:val="yellow"/>
              </w:rPr>
              <w:t xml:space="preserve">участие на населението на селските райони в местни действия, </w:t>
            </w:r>
          </w:p>
          <w:p w:rsidR="00143584" w:rsidRDefault="00D64125">
            <w:pPr>
              <w:pStyle w:val="Htableleft"/>
              <w:numPr>
                <w:ilvl w:val="0"/>
                <w:numId w:val="47"/>
              </w:numPr>
              <w:ind w:left="315" w:hanging="284"/>
              <w:rPr>
                <w:rFonts w:cs="Arial"/>
                <w:sz w:val="16"/>
                <w:szCs w:val="16"/>
                <w:highlight w:val="yellow"/>
              </w:rPr>
            </w:pPr>
            <w:r>
              <w:rPr>
                <w:sz w:val="16"/>
                <w:highlight w:val="yellow"/>
              </w:rPr>
              <w:t xml:space="preserve">местните действия са били от полза за населението в селските райони, </w:t>
            </w:r>
          </w:p>
          <w:p w:rsidR="00143584" w:rsidRDefault="00D64125">
            <w:pPr>
              <w:pStyle w:val="Htableleft"/>
              <w:numPr>
                <w:ilvl w:val="0"/>
                <w:numId w:val="47"/>
              </w:numPr>
              <w:ind w:left="315" w:hanging="284"/>
              <w:rPr>
                <w:rFonts w:cs="Arial"/>
                <w:sz w:val="16"/>
                <w:szCs w:val="16"/>
                <w:highlight w:val="yellow"/>
              </w:rPr>
            </w:pPr>
            <w:r>
              <w:rPr>
                <w:sz w:val="16"/>
                <w:highlight w:val="yellow"/>
              </w:rPr>
              <w:t xml:space="preserve">създадени са възможности за заетост чрез стратегиите за местно развитие, </w:t>
            </w:r>
          </w:p>
          <w:p w:rsidR="00143584" w:rsidRDefault="00D64125">
            <w:pPr>
              <w:pStyle w:val="Htableleft"/>
              <w:numPr>
                <w:ilvl w:val="0"/>
                <w:numId w:val="47"/>
              </w:numPr>
              <w:rPr>
                <w:rFonts w:cs="Arial"/>
                <w:sz w:val="16"/>
                <w:szCs w:val="16"/>
                <w:highlight w:val="yellow"/>
              </w:rPr>
            </w:pPr>
            <w:r>
              <w:rPr>
                <w:sz w:val="16"/>
                <w:highlight w:val="yellow"/>
              </w:rPr>
              <w:t xml:space="preserve">увеличаване на селската територия и селското население, обхванати от местните групи за действие.  </w:t>
            </w:r>
          </w:p>
        </w:tc>
        <w:tc>
          <w:tcPr>
            <w:tcW w:w="1825" w:type="dxa"/>
            <w:shd w:val="clear" w:color="auto" w:fill="auto"/>
          </w:tcPr>
          <w:p w:rsidR="00143584" w:rsidRDefault="00D64125">
            <w:pPr>
              <w:pStyle w:val="Htableleft"/>
              <w:numPr>
                <w:ilvl w:val="0"/>
                <w:numId w:val="47"/>
              </w:numPr>
              <w:ind w:left="204" w:hanging="204"/>
              <w:rPr>
                <w:rFonts w:cs="Arial"/>
                <w:sz w:val="16"/>
                <w:szCs w:val="16"/>
                <w:highlight w:val="yellow"/>
              </w:rPr>
            </w:pPr>
            <w:r>
              <w:rPr>
                <w:sz w:val="16"/>
                <w:highlight w:val="yellow"/>
              </w:rPr>
              <w:t>% от населението на селските райони, обхванато от стратегиите за местно развитие (ОПА 6Б — показател за резултатите),</w:t>
            </w:r>
          </w:p>
          <w:p w:rsidR="00143584" w:rsidRDefault="00D64125">
            <w:pPr>
              <w:pStyle w:val="Htableleft"/>
              <w:numPr>
                <w:ilvl w:val="0"/>
                <w:numId w:val="47"/>
              </w:numPr>
              <w:ind w:left="204" w:hanging="204"/>
              <w:rPr>
                <w:rFonts w:cs="Arial"/>
                <w:sz w:val="16"/>
                <w:szCs w:val="16"/>
                <w:highlight w:val="yellow"/>
              </w:rPr>
            </w:pPr>
            <w:r>
              <w:rPr>
                <w:sz w:val="16"/>
                <w:highlight w:val="yellow"/>
              </w:rPr>
              <w:t>създадени работни места в рамките на подпомаганите проекти (LEADER) (ОПА 6Б — показател за резултатите),</w:t>
            </w:r>
          </w:p>
          <w:p w:rsidR="00143584" w:rsidRDefault="00D64125">
            <w:pPr>
              <w:pStyle w:val="Htableleft"/>
              <w:numPr>
                <w:ilvl w:val="0"/>
                <w:numId w:val="47"/>
              </w:numPr>
              <w:ind w:left="204" w:hanging="204"/>
              <w:rPr>
                <w:rFonts w:cs="Arial"/>
                <w:sz w:val="16"/>
                <w:szCs w:val="16"/>
                <w:highlight w:val="yellow"/>
              </w:rPr>
            </w:pPr>
            <w:r>
              <w:rPr>
                <w:sz w:val="16"/>
                <w:highlight w:val="yellow"/>
              </w:rPr>
              <w:t>% от населението на селските райони, ползващо се от подобрени услуги/инфраструктура (ОПА 6Б — показател за резултатите).</w:t>
            </w:r>
          </w:p>
        </w:tc>
        <w:tc>
          <w:tcPr>
            <w:tcW w:w="1230" w:type="dxa"/>
            <w:shd w:val="clear" w:color="auto" w:fill="auto"/>
          </w:tcPr>
          <w:p w:rsidR="00143584" w:rsidRDefault="00D64125">
            <w:pPr>
              <w:pStyle w:val="Htableleft"/>
              <w:rPr>
                <w:rFonts w:cs="Arial"/>
                <w:sz w:val="16"/>
                <w:szCs w:val="16"/>
                <w:highlight w:val="yellow"/>
              </w:rPr>
            </w:pPr>
            <w:r>
              <w:rPr>
                <w:sz w:val="16"/>
                <w:highlight w:val="yellow"/>
              </w:rPr>
              <w:t>Данните, събрани чрез общите показатели, не показват приноса на LEADER към подобрените услуги/инфраструктура</w:t>
            </w:r>
          </w:p>
          <w:p w:rsidR="00143584" w:rsidRDefault="00143584">
            <w:pPr>
              <w:pStyle w:val="Htableleft"/>
              <w:rPr>
                <w:rFonts w:cs="Arial"/>
                <w:sz w:val="16"/>
                <w:szCs w:val="16"/>
                <w:highlight w:val="yellow"/>
              </w:rPr>
            </w:pPr>
          </w:p>
        </w:tc>
        <w:tc>
          <w:tcPr>
            <w:tcW w:w="1374" w:type="dxa"/>
            <w:shd w:val="clear" w:color="auto" w:fill="auto"/>
          </w:tcPr>
          <w:p w:rsidR="00143584" w:rsidRDefault="00D64125">
            <w:pPr>
              <w:pStyle w:val="Htableleft"/>
              <w:numPr>
                <w:ilvl w:val="0"/>
                <w:numId w:val="48"/>
              </w:numPr>
              <w:ind w:left="267" w:hanging="267"/>
              <w:rPr>
                <w:rFonts w:cs="Arial"/>
                <w:sz w:val="16"/>
                <w:szCs w:val="16"/>
                <w:highlight w:val="yellow"/>
              </w:rPr>
            </w:pPr>
            <w:r>
              <w:rPr>
                <w:sz w:val="16"/>
                <w:highlight w:val="yellow"/>
              </w:rPr>
              <w:t xml:space="preserve">брой проекти/инициативи, които са подпомогнати от „стратегията за местно развитие“, </w:t>
            </w:r>
          </w:p>
          <w:p w:rsidR="00143584" w:rsidRDefault="00D64125">
            <w:pPr>
              <w:pStyle w:val="Htableleft"/>
              <w:numPr>
                <w:ilvl w:val="0"/>
                <w:numId w:val="48"/>
              </w:numPr>
              <w:ind w:left="267" w:hanging="267"/>
              <w:rPr>
                <w:rFonts w:cs="Arial"/>
                <w:sz w:val="16"/>
                <w:szCs w:val="16"/>
                <w:highlight w:val="yellow"/>
              </w:rPr>
            </w:pPr>
            <w:r>
              <w:rPr>
                <w:sz w:val="16"/>
                <w:highlight w:val="yellow"/>
              </w:rPr>
              <w:t>% на разходите на ПРСР за мерки по LEADER спрямо общите разходи на ПРСР.</w:t>
            </w:r>
          </w:p>
        </w:tc>
      </w:tr>
    </w:tbl>
    <w:p w:rsidR="00143584" w:rsidRDefault="00D64125">
      <w:pPr>
        <w:pStyle w:val="HHeading5"/>
        <w:rPr>
          <w:rFonts w:cs="Arial"/>
          <w:highlight w:val="yellow"/>
        </w:rPr>
      </w:pPr>
      <w:r>
        <w:rPr>
          <w:highlight w:val="yellow"/>
        </w:rPr>
        <w:t>Проверка на вертикалната съгласуваност</w:t>
      </w:r>
    </w:p>
    <w:p w:rsidR="00143584" w:rsidRDefault="00D64125">
      <w:pPr>
        <w:pStyle w:val="HStandard"/>
        <w:rPr>
          <w:rFonts w:cs="Arial"/>
          <w:highlight w:val="yellow"/>
        </w:rPr>
      </w:pPr>
      <w:r>
        <w:rPr>
          <w:highlight w:val="yellow"/>
        </w:rPr>
        <w:t>При проверката на вертикалната съгласуваност се следва йерархията на целите и се оценява по-специално следното:</w:t>
      </w:r>
    </w:p>
    <w:p w:rsidR="00143584" w:rsidRDefault="00D64125">
      <w:pPr>
        <w:pStyle w:val="Hlistbullet"/>
        <w:rPr>
          <w:rFonts w:cs="Arial"/>
          <w:highlight w:val="yellow"/>
        </w:rPr>
      </w:pPr>
      <w:r>
        <w:rPr>
          <w:highlight w:val="yellow"/>
        </w:rPr>
        <w:t xml:space="preserve">дали постигането на оперативните цели води до постигането на специфичните, а оттам и на общите цели, </w:t>
      </w:r>
    </w:p>
    <w:p w:rsidR="00143584" w:rsidRDefault="00D64125">
      <w:pPr>
        <w:pStyle w:val="Hlistbullet"/>
        <w:rPr>
          <w:rFonts w:cs="Arial"/>
          <w:highlight w:val="yellow"/>
        </w:rPr>
      </w:pPr>
      <w:r>
        <w:rPr>
          <w:highlight w:val="yellow"/>
        </w:rPr>
        <w:t xml:space="preserve">дали отговорите на ВО на по-ниските нива (свързани с областите с поставен акцент) предоставят полезна и достатъчна информация за резултатите от програмата и могат да се използват, за да се даде отговор на ВО на по-високите нива (свързани с целите на ЕС), </w:t>
      </w:r>
    </w:p>
    <w:p w:rsidR="00143584" w:rsidRDefault="00D64125">
      <w:pPr>
        <w:pStyle w:val="Hlistbullet"/>
        <w:rPr>
          <w:highlight w:val="yellow"/>
        </w:rPr>
      </w:pPr>
      <w:r>
        <w:rPr>
          <w:highlight w:val="yellow"/>
        </w:rPr>
        <w:t>дали информацията, която се събира чрез показателите за резултатите, може да се използва при оценяване на показателите за въздействието.</w:t>
      </w:r>
    </w:p>
    <w:p w:rsidR="00143584" w:rsidRDefault="00D64125">
      <w:pPr>
        <w:pStyle w:val="HStandard"/>
        <w:rPr>
          <w:rFonts w:cs="Arial"/>
          <w:highlight w:val="yellow"/>
        </w:rPr>
      </w:pPr>
      <w:r>
        <w:rPr>
          <w:highlight w:val="yellow"/>
        </w:rPr>
        <w:t>При оценяването на вертикалната съгласуваност може да се използват следните насочващи въпроси:</w:t>
      </w:r>
    </w:p>
    <w:p w:rsidR="00143584" w:rsidRDefault="00D64125">
      <w:pPr>
        <w:pStyle w:val="Hlistbullet"/>
        <w:rPr>
          <w:rFonts w:cs="Arial"/>
          <w:highlight w:val="yellow"/>
        </w:rPr>
      </w:pPr>
      <w:r>
        <w:rPr>
          <w:highlight w:val="yellow"/>
        </w:rPr>
        <w:t xml:space="preserve">До каква степен събраните данни чрез общи и специфични за програмата показатели на по-ниско/микро ниво (крайни продукти при резултатите и резултати при въздействията) предоставят достатъчно данни за оценяване на въздействията на по-високото/макро ниво? </w:t>
      </w:r>
    </w:p>
    <w:p w:rsidR="00143584" w:rsidRDefault="00D64125">
      <w:pPr>
        <w:pStyle w:val="Hlistbullet"/>
        <w:rPr>
          <w:rFonts w:cs="Arial"/>
          <w:highlight w:val="yellow"/>
        </w:rPr>
      </w:pPr>
      <w:r>
        <w:rPr>
          <w:highlight w:val="yellow"/>
        </w:rPr>
        <w:t xml:space="preserve">Какви пропуски могат да бъдат идентифицирани във вертикалния набор от общи и специфични за програмата показатели? </w:t>
      </w:r>
    </w:p>
    <w:p w:rsidR="00143584" w:rsidRDefault="00D64125">
      <w:pPr>
        <w:pStyle w:val="Hlistbullet"/>
        <w:rPr>
          <w:highlight w:val="yellow"/>
        </w:rPr>
      </w:pPr>
      <w:r>
        <w:rPr>
          <w:highlight w:val="yellow"/>
        </w:rPr>
        <w:lastRenderedPageBreak/>
        <w:t>Кои показатели/допълнителни данни трябва да се предложат за събиране, за да се попълнят тези пропуски?</w:t>
      </w:r>
    </w:p>
    <w:p w:rsidR="00143584" w:rsidRDefault="00D64125">
      <w:pPr>
        <w:pStyle w:val="HStandard"/>
        <w:rPr>
          <w:rFonts w:cs="Arial"/>
          <w:highlight w:val="yellow"/>
        </w:rPr>
      </w:pPr>
      <w:r>
        <w:rPr>
          <w:highlight w:val="yellow"/>
        </w:rPr>
        <w:t>За проверка на вертикалната съгласуваност между различните нива на показателите и за попълване на установените пропуски може да се използва следната таблица:</w:t>
      </w:r>
    </w:p>
    <w:p w:rsidR="00143584" w:rsidRDefault="00D64125">
      <w:pPr>
        <w:pStyle w:val="HHeadingmaps"/>
        <w:rPr>
          <w:rFonts w:cs="Arial"/>
          <w:highlight w:val="yellow"/>
        </w:rPr>
      </w:pPr>
      <w:bookmarkStart w:id="72" w:name="_Ref434764342"/>
      <w:bookmarkStart w:id="73" w:name="_Ref434764352"/>
      <w:bookmarkStart w:id="74" w:name="_Toc460936160"/>
      <w:bookmarkStart w:id="75" w:name="_Toc474937859"/>
      <w:r>
        <w:rPr>
          <w:highlight w:val="yellow"/>
        </w:rPr>
        <w:t>Матрица за проверка на вертикалната съгласуваност (пример)</w:t>
      </w:r>
      <w:bookmarkEnd w:id="72"/>
      <w:bookmarkEnd w:id="73"/>
      <w:bookmarkEnd w:id="74"/>
      <w:bookmarkEnd w:id="75"/>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11"/>
        <w:gridCol w:w="2070"/>
        <w:gridCol w:w="1787"/>
        <w:gridCol w:w="1982"/>
      </w:tblGrid>
      <w:tr w:rsidR="00143584">
        <w:trPr>
          <w:jc w:val="center"/>
        </w:trPr>
        <w:tc>
          <w:tcPr>
            <w:tcW w:w="1838"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Показател за въздействието</w:t>
            </w:r>
          </w:p>
        </w:tc>
        <w:tc>
          <w:tcPr>
            <w:tcW w:w="2126"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Показатели за резултатите, свързани с показателя за въздействието</w:t>
            </w:r>
          </w:p>
        </w:tc>
        <w:tc>
          <w:tcPr>
            <w:tcW w:w="1701"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Идентифицирани пропуски</w:t>
            </w:r>
          </w:p>
        </w:tc>
        <w:tc>
          <w:tcPr>
            <w:tcW w:w="1985" w:type="dxa"/>
            <w:shd w:val="clear" w:color="auto" w:fill="F07E31" w:themeFill="background2"/>
          </w:tcPr>
          <w:p w:rsidR="00143584" w:rsidRDefault="00D64125">
            <w:pPr>
              <w:pStyle w:val="Htableleftbolt"/>
              <w:rPr>
                <w:rFonts w:cs="Arial"/>
                <w:color w:val="FFFFFF" w:themeColor="accent1"/>
                <w:highlight w:val="yellow"/>
              </w:rPr>
            </w:pPr>
            <w:r>
              <w:rPr>
                <w:color w:val="FFFFFF" w:themeColor="accent1"/>
                <w:highlight w:val="yellow"/>
              </w:rPr>
              <w:t>Попълване на идентифицираните пропуски (специфични за програмата показатели и допълнителна информация)</w:t>
            </w:r>
          </w:p>
        </w:tc>
      </w:tr>
      <w:tr w:rsidR="00143584">
        <w:trPr>
          <w:jc w:val="center"/>
        </w:trPr>
        <w:tc>
          <w:tcPr>
            <w:tcW w:w="1838" w:type="dxa"/>
            <w:shd w:val="clear" w:color="auto" w:fill="auto"/>
          </w:tcPr>
          <w:p w:rsidR="00143584" w:rsidRDefault="00D64125">
            <w:pPr>
              <w:pStyle w:val="Htableleft"/>
              <w:rPr>
                <w:rFonts w:cs="Arial"/>
                <w:sz w:val="16"/>
                <w:szCs w:val="16"/>
                <w:highlight w:val="yellow"/>
              </w:rPr>
            </w:pPr>
            <w:r>
              <w:rPr>
                <w:sz w:val="16"/>
                <w:highlight w:val="yellow"/>
              </w:rPr>
              <w:t xml:space="preserve">I14: Равнище на заетост в селските райони </w:t>
            </w:r>
          </w:p>
        </w:tc>
        <w:tc>
          <w:tcPr>
            <w:tcW w:w="2126" w:type="dxa"/>
            <w:shd w:val="clear" w:color="auto" w:fill="auto"/>
          </w:tcPr>
          <w:p w:rsidR="00143584" w:rsidRDefault="00D64125">
            <w:pPr>
              <w:pStyle w:val="Htableleft"/>
              <w:rPr>
                <w:rFonts w:cs="Arial"/>
                <w:sz w:val="16"/>
                <w:szCs w:val="16"/>
                <w:highlight w:val="yellow"/>
              </w:rPr>
            </w:pPr>
            <w:r>
              <w:rPr>
                <w:sz w:val="16"/>
                <w:highlight w:val="yellow"/>
              </w:rPr>
              <w:t xml:space="preserve">6А: Създадени работни места в рамките на подпомаганите проекти </w:t>
            </w:r>
          </w:p>
          <w:p w:rsidR="00143584" w:rsidRDefault="00D64125">
            <w:pPr>
              <w:pStyle w:val="Htableleft"/>
              <w:rPr>
                <w:rFonts w:cs="Arial"/>
                <w:sz w:val="16"/>
                <w:szCs w:val="16"/>
                <w:highlight w:val="yellow"/>
              </w:rPr>
            </w:pPr>
            <w:r>
              <w:rPr>
                <w:sz w:val="16"/>
                <w:highlight w:val="yellow"/>
              </w:rPr>
              <w:t>(включително вторичен принос за създаването на работни места от операции, програмирани в други ОПА, между които и в 6Б (за LEADER))</w:t>
            </w:r>
          </w:p>
        </w:tc>
        <w:tc>
          <w:tcPr>
            <w:tcW w:w="1701" w:type="dxa"/>
            <w:shd w:val="clear" w:color="auto" w:fill="auto"/>
          </w:tcPr>
          <w:p w:rsidR="00143584" w:rsidRDefault="00D64125">
            <w:pPr>
              <w:pStyle w:val="Htableleft"/>
              <w:rPr>
                <w:rFonts w:cs="Arial"/>
                <w:sz w:val="16"/>
                <w:szCs w:val="16"/>
                <w:highlight w:val="yellow"/>
              </w:rPr>
            </w:pPr>
            <w:r>
              <w:rPr>
                <w:sz w:val="16"/>
                <w:highlight w:val="yellow"/>
              </w:rPr>
              <w:t xml:space="preserve">Няма начин за събиране на информация относно равнището на заетост на бенефициерите в подпомаганите сектори </w:t>
            </w:r>
          </w:p>
        </w:tc>
        <w:tc>
          <w:tcPr>
            <w:tcW w:w="1985" w:type="dxa"/>
            <w:shd w:val="clear" w:color="auto" w:fill="auto"/>
          </w:tcPr>
          <w:p w:rsidR="00143584" w:rsidRDefault="00D64125">
            <w:pPr>
              <w:pStyle w:val="Htableleft"/>
              <w:rPr>
                <w:rFonts w:cs="Arial"/>
                <w:sz w:val="16"/>
                <w:szCs w:val="16"/>
                <w:highlight w:val="yellow"/>
              </w:rPr>
            </w:pPr>
            <w:r>
              <w:rPr>
                <w:sz w:val="16"/>
                <w:highlight w:val="yellow"/>
              </w:rPr>
              <w:t xml:space="preserve">Равнище на заетост в подпомаганите сектори </w:t>
            </w:r>
          </w:p>
        </w:tc>
      </w:tr>
    </w:tbl>
    <w:p w:rsidR="00143584" w:rsidRDefault="00D64125">
      <w:pPr>
        <w:pStyle w:val="HHeading5"/>
        <w:rPr>
          <w:rFonts w:cs="Arial"/>
          <w:highlight w:val="yellow"/>
        </w:rPr>
      </w:pPr>
      <w:r>
        <w:rPr>
          <w:highlight w:val="yellow"/>
        </w:rPr>
        <w:t xml:space="preserve">Специфични особености на LEADER </w:t>
      </w:r>
    </w:p>
    <w:p w:rsidR="00143584" w:rsidRDefault="00D64125">
      <w:pPr>
        <w:pStyle w:val="HStandard"/>
        <w:rPr>
          <w:rFonts w:cs="Arial"/>
          <w:highlight w:val="yellow"/>
        </w:rPr>
      </w:pPr>
      <w:r>
        <w:rPr>
          <w:highlight w:val="yellow"/>
        </w:rPr>
        <w:t xml:space="preserve">При </w:t>
      </w:r>
      <w:r>
        <w:rPr>
          <w:highlight w:val="yellow"/>
          <w:lang w:val="en-GB"/>
        </w:rPr>
        <w:t>LEADER</w:t>
      </w:r>
      <w:r>
        <w:rPr>
          <w:highlight w:val="yellow"/>
        </w:rPr>
        <w:t xml:space="preserve"> проверките за съгласуваност между интервенционната логика на ПРСР и елементите на оценката в случая на LEADER не обхващат не само областта с поставен акцент 6Б, но също и областите с поставен акцент, за които има вероятност да дадат принос операциите по линия на стратегията за ВОМР. Тази проверка за съгласуваност ще позволи, наред с други неща, чрез базата данни на операциите на МГД да се проследи вторичният принос (преобладаващ и допълнителен), обозначен от бенефициерите по проектите, които се изпълняват по линия на стратегията за ВОМР.   </w:t>
      </w:r>
    </w:p>
    <w:p w:rsidR="00143584" w:rsidRDefault="00D64125">
      <w:pPr>
        <w:pStyle w:val="HStandard"/>
        <w:rPr>
          <w:rFonts w:cs="Arial"/>
          <w:highlight w:val="yellow"/>
        </w:rPr>
      </w:pPr>
      <w:r>
        <w:rPr>
          <w:highlight w:val="yellow"/>
        </w:rPr>
        <w:t xml:space="preserve">Ако програмата съдържа специфични за програмата цели за LEADER (например по отношение на специфичните ефекти на LEADER, добавената стойност на LEADER, прилагането на методите на LEADER и т.н.), тяхната съгласуваност със СПВО и специфичните за програмата показатели също трябва да се провери. Ако няма СПВО и специфични за програмата показатели, такива все пак може да бъдат разработени по време на програмния период. </w:t>
      </w:r>
    </w:p>
    <w:p w:rsidR="00143584" w:rsidRDefault="00D64125">
      <w:pPr>
        <w:pStyle w:val="HHeading5"/>
        <w:tabs>
          <w:tab w:val="center" w:pos="3855"/>
        </w:tabs>
        <w:rPr>
          <w:rFonts w:cs="Arial"/>
          <w:highlight w:val="yellow"/>
        </w:rPr>
      </w:pPr>
      <w:r>
        <w:rPr>
          <w:highlight w:val="yellow"/>
        </w:rPr>
        <w:t>Специфични особености на ТП</w:t>
      </w:r>
    </w:p>
    <w:p w:rsidR="00143584" w:rsidRDefault="00D64125">
      <w:pPr>
        <w:pStyle w:val="HStandard"/>
        <w:rPr>
          <w:rFonts w:cs="Arial"/>
          <w:highlight w:val="yellow"/>
        </w:rPr>
      </w:pPr>
      <w:r>
        <w:rPr>
          <w:highlight w:val="yellow"/>
        </w:rPr>
        <w:t xml:space="preserve">Когато дадена държава членка е включила в плана за оценка темите за оценка, свързани с действия по линия на ТП, като например управление и администриране (включително механизма за изпълнение), комуникация по ПРСР, изграждане на капацитет и т.н., и за тях са формулирани СПВО и специфични за програмата показатели, проверката за съгласуваност трябва да включва и тях. Тези теми може да бъдат очертани в плана за оценка или да бъдат предложени от заинтересованите страни във връзка с оценката на по-късен етап от програмния период. </w:t>
      </w:r>
    </w:p>
    <w:p w:rsidR="00143584" w:rsidRDefault="00D64125">
      <w:pPr>
        <w:pStyle w:val="HStandard"/>
        <w:rPr>
          <w:rFonts w:cs="Arial"/>
          <w:highlight w:val="yellow"/>
        </w:rPr>
      </w:pPr>
      <w:r>
        <w:rPr>
          <w:highlight w:val="yellow"/>
        </w:rPr>
        <w:t xml:space="preserve">Ако по темите за оценка, свързани с действия, подпомагани по линия на техническата помощ, не са формулирани СПВО и специфични за програмата показатели, такива също може да се разработят на по-късен етап от програмния период. </w:t>
      </w:r>
    </w:p>
    <w:p w:rsidR="00143584" w:rsidRDefault="00D64125">
      <w:pPr>
        <w:pStyle w:val="HStandard"/>
        <w:rPr>
          <w:rFonts w:cs="Arial"/>
          <w:highlight w:val="yellow"/>
        </w:rPr>
      </w:pPr>
      <w:r>
        <w:rPr>
          <w:highlight w:val="yellow"/>
        </w:rPr>
        <w:t>На фигурата по-долу е представена като пример интервенционната логика за комуникация и обмен на информация със заинтересованите страни и свързаните с нея елементи на оценката:</w:t>
      </w:r>
    </w:p>
    <w:p w:rsidR="00143584" w:rsidRDefault="00D64125">
      <w:pPr>
        <w:pStyle w:val="HHeadingfigures"/>
        <w:rPr>
          <w:highlight w:val="yellow"/>
        </w:rPr>
      </w:pPr>
      <w:bookmarkStart w:id="76" w:name="_Toc460936156"/>
      <w:bookmarkStart w:id="77" w:name="_Toc474937855"/>
      <w:r>
        <w:rPr>
          <w:highlight w:val="yellow"/>
        </w:rPr>
        <w:lastRenderedPageBreak/>
        <w:t>Интервенционна логика и елементи на оценката при комуникацията и обмена на информация</w:t>
      </w:r>
      <w:bookmarkEnd w:id="76"/>
      <w:bookmarkEnd w:id="77"/>
      <w:r>
        <w:rPr>
          <w:highlight w:val="yellow"/>
        </w:rPr>
        <w:t xml:space="preserve"> </w:t>
      </w:r>
    </w:p>
    <w:p w:rsidR="00143584" w:rsidRDefault="00D64125">
      <w:pPr>
        <w:jc w:val="center"/>
        <w:rPr>
          <w:rFonts w:cs="Arial"/>
          <w:highlight w:val="yellow"/>
        </w:rPr>
      </w:pPr>
      <w:r>
        <w:rPr>
          <w:noProof/>
          <w:highlight w:val="yellow"/>
          <w:lang w:val="en-GB" w:eastAsia="en-GB" w:bidi="ar-SA"/>
        </w:rPr>
        <w:drawing>
          <wp:inline distT="0" distB="0" distL="0" distR="0">
            <wp:extent cx="4934564" cy="3171825"/>
            <wp:effectExtent l="0" t="0" r="0"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3609" cy="3177639"/>
                    </a:xfrm>
                    <a:prstGeom prst="rect">
                      <a:avLst/>
                    </a:prstGeom>
                    <a:noFill/>
                    <a:ln>
                      <a:noFill/>
                    </a:ln>
                  </pic:spPr>
                </pic:pic>
              </a:graphicData>
            </a:graphic>
          </wp:inline>
        </w:drawing>
      </w:r>
    </w:p>
    <w:p w:rsidR="00143584" w:rsidRDefault="00D64125">
      <w:pPr>
        <w:pStyle w:val="HSource"/>
        <w:rPr>
          <w:rFonts w:cs="Arial"/>
          <w:highlight w:val="yellow"/>
        </w:rPr>
      </w:pPr>
      <w:r>
        <w:rPr>
          <w:highlight w:val="yellow"/>
        </w:rPr>
        <w:t>Източник: Европейско бюро за оценка в областта на развитието на селските райони, 2015 г.</w:t>
      </w:r>
    </w:p>
    <w:p w:rsidR="00143584" w:rsidRDefault="00D64125">
      <w:pPr>
        <w:pStyle w:val="HHeading5"/>
        <w:rPr>
          <w:rFonts w:cs="Arial"/>
          <w:highlight w:val="yellow"/>
        </w:rPr>
      </w:pPr>
      <w:r>
        <w:rPr>
          <w:highlight w:val="yellow"/>
        </w:rPr>
        <w:t>Специфични особености на НМСР</w:t>
      </w:r>
    </w:p>
    <w:p w:rsidR="00143584" w:rsidRDefault="00D64125">
      <w:pPr>
        <w:pStyle w:val="HStandard"/>
        <w:rPr>
          <w:rFonts w:cs="Arial"/>
          <w:highlight w:val="yellow"/>
        </w:rPr>
      </w:pPr>
      <w:r>
        <w:rPr>
          <w:highlight w:val="yellow"/>
        </w:rPr>
        <w:t>Ако програмата съдържа СПВО и специфични за програмата показатели във връзка с НМСР, трябва да се направи проверка на тяхната съгласуваност с целите на НМСР, както в случая с ПРСР. Тази проверка се прави във всеки отделен случай при ПНМСР.</w:t>
      </w:r>
    </w:p>
    <w:p w:rsidR="00143584" w:rsidRDefault="00D64125">
      <w:pPr>
        <w:pStyle w:val="HStandard"/>
        <w:rPr>
          <w:rFonts w:cs="Arial"/>
          <w:highlight w:val="yellow"/>
        </w:rPr>
      </w:pPr>
      <w:r>
        <w:rPr>
          <w:highlight w:val="yellow"/>
        </w:rPr>
        <w:t>В глава 5.2.3 „Разработване на специфични елементи за оценка на ПРСР“ са дадени общи насоки за случаите, когато ПРСР не съдържа ВО и показатели, специфични за НМСР. Конкретни препоръки по отношение на елементите на оценката на НМСР ще бъдат предоставени в отделни насоки за оценка на НМСР</w:t>
      </w:r>
      <w:r>
        <w:rPr>
          <w:rStyle w:val="FootnoteReference"/>
          <w:highlight w:val="yellow"/>
        </w:rPr>
        <w:footnoteReference w:id="49"/>
      </w:r>
      <w:r>
        <w:rPr>
          <w:highlight w:val="yellow"/>
        </w:rPr>
        <w:t xml:space="preserve">. </w:t>
      </w:r>
    </w:p>
    <w:p w:rsidR="00143584" w:rsidRDefault="00D64125">
      <w:pPr>
        <w:pStyle w:val="HHeading5"/>
        <w:rPr>
          <w:rFonts w:cs="Arial"/>
          <w:highlight w:val="yellow"/>
        </w:rPr>
      </w:pPr>
      <w:r>
        <w:rPr>
          <w:highlight w:val="yellow"/>
        </w:rPr>
        <w:t>Допълнителни материали</w:t>
      </w:r>
    </w:p>
    <w:p w:rsidR="00143584" w:rsidRDefault="00D64125">
      <w:pPr>
        <w:pStyle w:val="HBox"/>
        <w:rPr>
          <w:rFonts w:cs="Arial"/>
          <w:highlight w:val="yellow"/>
        </w:rPr>
      </w:pPr>
      <w:r>
        <w:rPr>
          <w:highlight w:val="yellow"/>
        </w:rPr>
        <w:t xml:space="preserve">Да се постигне максимума по вашата ПРСР: Ръководство за предварителна оценка на ПРСР за периода 2014—2020 г., част II, глави 2 и 3 </w:t>
      </w:r>
    </w:p>
    <w:p w:rsidR="00143584" w:rsidRDefault="00D64125">
      <w:pPr>
        <w:pStyle w:val="HBox"/>
        <w:rPr>
          <w:rStyle w:val="Hyperlink"/>
          <w:highlight w:val="yellow"/>
        </w:rPr>
      </w:pPr>
      <w:r>
        <w:rPr>
          <w:highlight w:val="yellow"/>
        </w:rPr>
        <w:t xml:space="preserve">Успешна реализация на вашата ПРСР: Насоки за последваща оценка на ПРСР за периода 2007—2013 г., част II, глави 1, 2 и 3, връзка: </w:t>
      </w:r>
      <w:hyperlink r:id="rId47" w:history="1">
        <w:r>
          <w:rPr>
            <w:rStyle w:val="Hyperlink"/>
            <w:highlight w:val="yellow"/>
            <w:lang w:val="en-GB"/>
          </w:rPr>
          <w:t>http</w:t>
        </w:r>
        <w:r>
          <w:rPr>
            <w:rStyle w:val="Hyperlink"/>
            <w:highlight w:val="yellow"/>
          </w:rPr>
          <w:t>://</w:t>
        </w:r>
        <w:r>
          <w:rPr>
            <w:rStyle w:val="Hyperlink"/>
            <w:highlight w:val="yellow"/>
            <w:lang w:val="en-GB"/>
          </w:rPr>
          <w:t>enrd</w:t>
        </w:r>
        <w:r>
          <w:rPr>
            <w:rStyle w:val="Hyperlink"/>
            <w:highlight w:val="yellow"/>
          </w:rPr>
          <w:t>.</w:t>
        </w:r>
        <w:r>
          <w:rPr>
            <w:rStyle w:val="Hyperlink"/>
            <w:highlight w:val="yellow"/>
            <w:lang w:val="en-GB"/>
          </w:rPr>
          <w:t>ec</w:t>
        </w:r>
        <w:r>
          <w:rPr>
            <w:rStyle w:val="Hyperlink"/>
            <w:highlight w:val="yellow"/>
          </w:rPr>
          <w:t>.</w:t>
        </w:r>
        <w:r>
          <w:rPr>
            <w:rStyle w:val="Hyperlink"/>
            <w:highlight w:val="yellow"/>
            <w:lang w:val="en-GB"/>
          </w:rPr>
          <w:t>europa</w:t>
        </w:r>
        <w:r>
          <w:rPr>
            <w:rStyle w:val="Hyperlink"/>
            <w:highlight w:val="yellow"/>
          </w:rPr>
          <w:t>.</w:t>
        </w:r>
        <w:r>
          <w:rPr>
            <w:rStyle w:val="Hyperlink"/>
            <w:highlight w:val="yellow"/>
            <w:lang w:val="en-GB"/>
          </w:rPr>
          <w:t>eu</w:t>
        </w:r>
        <w:r>
          <w:rPr>
            <w:rStyle w:val="Hyperlink"/>
            <w:highlight w:val="yellow"/>
          </w:rPr>
          <w:t>/</w:t>
        </w:r>
        <w:r>
          <w:rPr>
            <w:rStyle w:val="Hyperlink"/>
            <w:highlight w:val="yellow"/>
            <w:lang w:val="en-GB"/>
          </w:rPr>
          <w:t>enrd</w:t>
        </w:r>
        <w:r>
          <w:rPr>
            <w:rStyle w:val="Hyperlink"/>
            <w:highlight w:val="yellow"/>
          </w:rPr>
          <w:t>-</w:t>
        </w:r>
        <w:r>
          <w:rPr>
            <w:rStyle w:val="Hyperlink"/>
            <w:highlight w:val="yellow"/>
            <w:lang w:val="en-GB"/>
          </w:rPr>
          <w:t>static</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library</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helpdesk</w:t>
        </w:r>
        <w:r>
          <w:rPr>
            <w:rStyle w:val="Hyperlink"/>
            <w:highlight w:val="yellow"/>
          </w:rPr>
          <w:t>-</w:t>
        </w:r>
        <w:r>
          <w:rPr>
            <w:rStyle w:val="Hyperlink"/>
            <w:highlight w:val="yellow"/>
            <w:lang w:val="en-GB"/>
          </w:rPr>
          <w:t>publications</w:t>
        </w:r>
        <w:r>
          <w:rPr>
            <w:rStyle w:val="Hyperlink"/>
            <w:highlight w:val="yellow"/>
          </w:rPr>
          <w:t>/</w:t>
        </w:r>
        <w:r>
          <w:rPr>
            <w:rStyle w:val="Hyperlink"/>
            <w:highlight w:val="yellow"/>
            <w:lang w:val="en-GB"/>
          </w:rPr>
          <w:t>en</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helpdesk</w:t>
        </w:r>
        <w:r>
          <w:rPr>
            <w:rStyle w:val="Hyperlink"/>
            <w:highlight w:val="yellow"/>
          </w:rPr>
          <w:t>-</w:t>
        </w:r>
        <w:r>
          <w:rPr>
            <w:rStyle w:val="Hyperlink"/>
            <w:highlight w:val="yellow"/>
            <w:lang w:val="en-GB"/>
          </w:rPr>
          <w:t>publications</w:t>
        </w:r>
        <w:r>
          <w:rPr>
            <w:rStyle w:val="Hyperlink"/>
            <w:highlight w:val="yellow"/>
          </w:rPr>
          <w:t>_</w:t>
        </w:r>
        <w:r>
          <w:rPr>
            <w:rStyle w:val="Hyperlink"/>
            <w:highlight w:val="yellow"/>
            <w:lang w:val="en-GB"/>
          </w:rPr>
          <w:t>en</w:t>
        </w:r>
        <w:r>
          <w:rPr>
            <w:rStyle w:val="Hyperlink"/>
            <w:highlight w:val="yellow"/>
          </w:rPr>
          <w:t>.</w:t>
        </w:r>
        <w:r>
          <w:rPr>
            <w:rStyle w:val="Hyperlink"/>
            <w:highlight w:val="yellow"/>
            <w:lang w:val="en-GB"/>
          </w:rPr>
          <w:t>html</w:t>
        </w:r>
      </w:hyperlink>
    </w:p>
    <w:p w:rsidR="00143584" w:rsidRDefault="00143584">
      <w:pPr>
        <w:pStyle w:val="HBox"/>
        <w:rPr>
          <w:rStyle w:val="Hyperlink"/>
          <w:highlight w:val="yellow"/>
        </w:rPr>
      </w:pPr>
    </w:p>
    <w:p w:rsidR="00143584" w:rsidRDefault="00D64125">
      <w:pPr>
        <w:pStyle w:val="HBox"/>
        <w:rPr>
          <w:rFonts w:cs="Arial"/>
          <w:highlight w:val="yellow"/>
        </w:rPr>
      </w:pPr>
      <w:r>
        <w:rPr>
          <w:highlight w:val="yellow"/>
        </w:rPr>
        <w:t xml:space="preserve">Работен документ: Общи въпроси за оценка за програмите за развитие на селските райони за периода 2014—2020 г., връзка: </w:t>
      </w:r>
      <w:hyperlink r:id="rId48" w:history="1">
        <w:r>
          <w:rPr>
            <w:rStyle w:val="Hyperlink"/>
            <w:highlight w:val="yellow"/>
            <w:lang w:val="en-GB"/>
          </w:rPr>
          <w:t>http</w:t>
        </w:r>
        <w:r>
          <w:rPr>
            <w:rStyle w:val="Hyperlink"/>
            <w:highlight w:val="yellow"/>
          </w:rPr>
          <w:t>://</w:t>
        </w:r>
        <w:r>
          <w:rPr>
            <w:rStyle w:val="Hyperlink"/>
            <w:highlight w:val="yellow"/>
            <w:lang w:val="en-GB"/>
          </w:rPr>
          <w:t>enrd</w:t>
        </w:r>
        <w:r>
          <w:rPr>
            <w:rStyle w:val="Hyperlink"/>
            <w:highlight w:val="yellow"/>
          </w:rPr>
          <w:t>.</w:t>
        </w:r>
        <w:r>
          <w:rPr>
            <w:rStyle w:val="Hyperlink"/>
            <w:highlight w:val="yellow"/>
            <w:lang w:val="en-GB"/>
          </w:rPr>
          <w:t>ec</w:t>
        </w:r>
        <w:r>
          <w:rPr>
            <w:rStyle w:val="Hyperlink"/>
            <w:highlight w:val="yellow"/>
          </w:rPr>
          <w:t>.</w:t>
        </w:r>
        <w:r>
          <w:rPr>
            <w:rStyle w:val="Hyperlink"/>
            <w:highlight w:val="yellow"/>
            <w:lang w:val="en-GB"/>
          </w:rPr>
          <w:t>europa</w:t>
        </w:r>
        <w:r>
          <w:rPr>
            <w:rStyle w:val="Hyperlink"/>
            <w:highlight w:val="yellow"/>
          </w:rPr>
          <w:t>.</w:t>
        </w:r>
        <w:r>
          <w:rPr>
            <w:rStyle w:val="Hyperlink"/>
            <w:highlight w:val="yellow"/>
            <w:lang w:val="en-GB"/>
          </w:rPr>
          <w:t>eu</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publications</w:t>
        </w:r>
        <w:r>
          <w:rPr>
            <w:rStyle w:val="Hyperlink"/>
            <w:highlight w:val="yellow"/>
          </w:rPr>
          <w:t>/</w:t>
        </w:r>
        <w:r>
          <w:rPr>
            <w:rStyle w:val="Hyperlink"/>
            <w:highlight w:val="yellow"/>
            <w:lang w:val="en-GB"/>
          </w:rPr>
          <w:t>e</w:t>
        </w:r>
        <w:r>
          <w:rPr>
            <w:rStyle w:val="Hyperlink"/>
            <w:highlight w:val="yellow"/>
          </w:rPr>
          <w:t>-</w:t>
        </w:r>
        <w:r>
          <w:rPr>
            <w:rStyle w:val="Hyperlink"/>
            <w:highlight w:val="yellow"/>
            <w:lang w:val="en-GB"/>
          </w:rPr>
          <w:t>library</w:t>
        </w:r>
        <w:r>
          <w:rPr>
            <w:rStyle w:val="Hyperlink"/>
            <w:highlight w:val="yellow"/>
          </w:rPr>
          <w:t>_</w:t>
        </w:r>
        <w:r>
          <w:rPr>
            <w:rStyle w:val="Hyperlink"/>
            <w:highlight w:val="yellow"/>
            <w:lang w:val="en-GB"/>
          </w:rPr>
          <w:t>en</w:t>
        </w:r>
      </w:hyperlink>
    </w:p>
    <w:p w:rsidR="00143584" w:rsidRDefault="00D64125">
      <w:pPr>
        <w:pStyle w:val="HHeading3"/>
        <w:rPr>
          <w:rFonts w:cs="Arial"/>
          <w:highlight w:val="yellow"/>
        </w:rPr>
      </w:pPr>
      <w:bookmarkStart w:id="78" w:name="_Toc460936113"/>
      <w:bookmarkStart w:id="79" w:name="_Toc474938237"/>
      <w:r>
        <w:rPr>
          <w:highlight w:val="yellow"/>
        </w:rPr>
        <w:t>Разработване на специфични за ПРСР елементи на оценката</w:t>
      </w:r>
      <w:bookmarkEnd w:id="78"/>
      <w:bookmarkEnd w:id="79"/>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143584">
        <w:trPr>
          <w:jc w:val="center"/>
        </w:trPr>
        <w:tc>
          <w:tcPr>
            <w:tcW w:w="9071" w:type="dxa"/>
            <w:shd w:val="clear" w:color="auto" w:fill="F6B183" w:themeFill="background2" w:themeFillTint="99"/>
          </w:tcPr>
          <w:p w:rsidR="00143584" w:rsidRDefault="00D64125">
            <w:pPr>
              <w:pStyle w:val="HStandard"/>
              <w:rPr>
                <w:rFonts w:cs="Arial"/>
                <w:highlight w:val="yellow"/>
              </w:rPr>
            </w:pPr>
            <w:r>
              <w:rPr>
                <w:highlight w:val="yellow"/>
              </w:rPr>
              <w:t xml:space="preserve">Когато при прегледа на съгласуваността между интервенционната логика и елементите на оценката бъдат идентифицирани сериозни пропуски, тогава е необходимо да се разработят СПВО и специфични за програмата показатели, както и допълнителни показатели. Това ще </w:t>
            </w:r>
            <w:r>
              <w:rPr>
                <w:highlight w:val="yellow"/>
              </w:rPr>
              <w:lastRenderedPageBreak/>
              <w:t>даде възможност за правилно и изчерпателно оценяване на резултатите и въздействията от програмата, тъй като в ОСМО е предвиден само минимумът от елементи, необходими за изпълнението на задачите във връзка с оценката.</w:t>
            </w:r>
          </w:p>
        </w:tc>
      </w:tr>
      <w:tr w:rsidR="00143584">
        <w:trPr>
          <w:jc w:val="center"/>
        </w:trPr>
        <w:tc>
          <w:tcPr>
            <w:tcW w:w="9071" w:type="dxa"/>
            <w:shd w:val="clear" w:color="auto" w:fill="FCE5D5" w:themeFill="background2" w:themeFillTint="33"/>
          </w:tcPr>
          <w:p w:rsidR="00143584" w:rsidRDefault="00D64125">
            <w:pPr>
              <w:pStyle w:val="HHeading5"/>
              <w:rPr>
                <w:rFonts w:cs="Arial"/>
                <w:highlight w:val="yellow"/>
              </w:rPr>
            </w:pPr>
            <w:r>
              <w:rPr>
                <w:highlight w:val="yellow"/>
              </w:rPr>
              <w:lastRenderedPageBreak/>
              <w:t xml:space="preserve">Препоръчани етапи на работа </w:t>
            </w:r>
          </w:p>
          <w:p w:rsidR="00143584" w:rsidRDefault="00D64125">
            <w:pPr>
              <w:pStyle w:val="Hlistbullet"/>
              <w:rPr>
                <w:rFonts w:cs="Arial"/>
                <w:highlight w:val="yellow"/>
              </w:rPr>
            </w:pPr>
            <w:r>
              <w:rPr>
                <w:b/>
                <w:highlight w:val="yellow"/>
              </w:rPr>
              <w:t>Разработване на СПВО</w:t>
            </w:r>
            <w:r>
              <w:rPr>
                <w:highlight w:val="yellow"/>
              </w:rPr>
              <w:t>: Ако при предварителната проверка на съгласуваността (глава 5.2.2) между SWOT анализа, интервенционната логика и елементите на оценката е установено наличието на много важни специфични за програмата въпроси, които трябва да бъдат оценени, но все още не са обхванати от наличните СПВО, тогава може да бъдат разработени нови СПВО/критерии за преценка</w:t>
            </w:r>
            <w:r>
              <w:rPr>
                <w:color w:val="57825E" w:themeColor="accent4"/>
                <w:highlight w:val="yellow"/>
              </w:rPr>
              <w:t>.</w:t>
            </w:r>
            <w:r>
              <w:rPr>
                <w:color w:val="F07E31" w:themeColor="background2"/>
                <w:highlight w:val="yellow"/>
              </w:rPr>
              <w:t xml:space="preserve"> </w:t>
            </w:r>
            <w:r>
              <w:rPr>
                <w:b/>
                <w:color w:val="F07E31" w:themeColor="background2"/>
                <w:highlight w:val="yellow"/>
              </w:rPr>
              <w:t>(</w:t>
            </w:r>
            <w:r>
              <w:rPr>
                <w:rFonts w:cs="Arial"/>
                <w:b/>
                <w:color w:val="F07E31" w:themeColor="background2"/>
                <w:highlight w:val="yellow"/>
              </w:rPr>
              <w:sym w:font="Wingdings" w:char="F0E0"/>
            </w:r>
            <w:r>
              <w:rPr>
                <w:rFonts w:cs="Arial"/>
                <w:color w:val="F07E31" w:themeColor="background2"/>
                <w:highlight w:val="yellow"/>
              </w:rPr>
              <w:fldChar w:fldCharType="begin"/>
            </w:r>
            <w:r>
              <w:rPr>
                <w:rFonts w:cs="Arial"/>
                <w:color w:val="F07E31" w:themeColor="background2"/>
                <w:highlight w:val="yellow"/>
              </w:rPr>
              <w:instrText xml:space="preserve"> REF _Ref434763889 \w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Tool 3</w:t>
            </w:r>
            <w:r>
              <w:rPr>
                <w:rFonts w:cs="Arial"/>
                <w:color w:val="F07E31" w:themeColor="background2"/>
                <w:highlight w:val="yellow"/>
              </w:rPr>
              <w:fldChar w:fldCharType="end"/>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_Ref434763898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Working procedure for filling the gaps in evaluation elements using the SWOT analysis</w:t>
            </w:r>
            <w:r>
              <w:rPr>
                <w:rFonts w:cs="Arial"/>
                <w:color w:val="F07E31" w:themeColor="background2"/>
                <w:highlight w:val="yellow"/>
              </w:rPr>
              <w:fldChar w:fldCharType="end"/>
            </w:r>
            <w:r>
              <w:rPr>
                <w:b/>
                <w:color w:val="57825E" w:themeColor="accent4"/>
                <w:highlight w:val="yellow"/>
              </w:rPr>
              <w:t>)</w:t>
            </w:r>
            <w:r>
              <w:rPr>
                <w:highlight w:val="yellow"/>
              </w:rPr>
              <w:t xml:space="preserve">  </w:t>
            </w:r>
          </w:p>
          <w:p w:rsidR="00143584" w:rsidRDefault="00D64125">
            <w:pPr>
              <w:pStyle w:val="Hlistbullet"/>
              <w:rPr>
                <w:rFonts w:cs="Arial"/>
                <w:highlight w:val="yellow"/>
              </w:rPr>
            </w:pPr>
            <w:r>
              <w:rPr>
                <w:b/>
                <w:highlight w:val="yellow"/>
              </w:rPr>
              <w:t>Разработване на специфични за програмата показатели:</w:t>
            </w:r>
            <w:r>
              <w:rPr>
                <w:highlight w:val="yellow"/>
              </w:rPr>
              <w:t xml:space="preserve"> Новите разработени СПВО може да наложат формулирането на нови специфични за програмата показатели, за да се отразят първичните, вторичните, предвидените и непредвидените ефекти в областта на новата идентифицирана тема за оценка. Нови специфични за програмата показатели обаче трябва да се разработват само ако съществуващите специфични за програмата показатели не са достатъчни, за да се отговори на новите разработени СПВО. </w:t>
            </w:r>
          </w:p>
          <w:p w:rsidR="00143584" w:rsidRDefault="00D64125">
            <w:pPr>
              <w:pStyle w:val="Hlistbullet"/>
              <w:rPr>
                <w:highlight w:val="yellow"/>
              </w:rPr>
            </w:pPr>
            <w:r>
              <w:rPr>
                <w:b/>
                <w:highlight w:val="yellow"/>
              </w:rPr>
              <w:t>Повторна проверка на съгласуваността между пълния набор от елементи на оценката и интервенционната логика</w:t>
            </w:r>
            <w:r>
              <w:rPr>
                <w:highlight w:val="yellow"/>
              </w:rPr>
              <w:t xml:space="preserve">: Необходимо е да се направи повторна проверка на съгласуваността на новите разработени специфични за програмата елементи на оценката с интервенционната логика на ПРСР и тази съгласуваност да бъде потвърдена. </w:t>
            </w:r>
          </w:p>
        </w:tc>
      </w:tr>
      <w:tr w:rsidR="00143584">
        <w:tblPrEx>
          <w:jc w:val="left"/>
        </w:tblPrEx>
        <w:tc>
          <w:tcPr>
            <w:tcW w:w="9071" w:type="dxa"/>
            <w:shd w:val="clear" w:color="auto" w:fill="auto"/>
          </w:tcPr>
          <w:p w:rsidR="00143584" w:rsidRDefault="00D64125">
            <w:pPr>
              <w:pStyle w:val="HHeading5"/>
              <w:rPr>
                <w:rFonts w:cs="Arial"/>
                <w:color w:val="373737" w:themeColor="background1" w:themeShade="40"/>
                <w:highlight w:val="yellow"/>
              </w:rPr>
            </w:pPr>
            <w:r>
              <w:rPr>
                <w:color w:val="373737" w:themeColor="background1" w:themeShade="40"/>
                <w:highlight w:val="yellow"/>
              </w:rPr>
              <w:t xml:space="preserve">Очакван резултат: </w:t>
            </w:r>
          </w:p>
          <w:p w:rsidR="00143584" w:rsidRDefault="00D64125">
            <w:pPr>
              <w:pStyle w:val="Hlistbullet"/>
              <w:numPr>
                <w:ilvl w:val="0"/>
                <w:numId w:val="0"/>
              </w:numPr>
              <w:rPr>
                <w:highlight w:val="yellow"/>
              </w:rPr>
            </w:pPr>
            <w:r>
              <w:rPr>
                <w:highlight w:val="yellow"/>
              </w:rPr>
              <w:t>Изчерпателен списък на общите и специфичните за програмата показатели за резултатите и за въздействието, които са в състояние да отразят всички преки и непреки ефекти от ПРСР. Този списък е базата за идентифициране на потребностите от данни и за изграждане на управление на данните.</w:t>
            </w:r>
          </w:p>
        </w:tc>
      </w:tr>
    </w:tbl>
    <w:p w:rsidR="00143584" w:rsidRDefault="00D64125">
      <w:pPr>
        <w:pStyle w:val="HHeading5"/>
        <w:rPr>
          <w:rFonts w:cs="Arial"/>
          <w:highlight w:val="yellow"/>
        </w:rPr>
      </w:pPr>
      <w:r>
        <w:rPr>
          <w:highlight w:val="yellow"/>
        </w:rPr>
        <w:t xml:space="preserve">ОВО, свързани с област с поставен акцент, и допълнителни показатели </w:t>
      </w:r>
    </w:p>
    <w:p w:rsidR="00143584" w:rsidRDefault="00D64125">
      <w:pPr>
        <w:pStyle w:val="HStandard"/>
        <w:rPr>
          <w:rFonts w:cs="Arial"/>
          <w:highlight w:val="yellow"/>
        </w:rPr>
      </w:pPr>
      <w:r>
        <w:rPr>
          <w:highlight w:val="yellow"/>
        </w:rPr>
        <w:t xml:space="preserve">Няколко ОВО, свързани с области с поставен акцент, са свързани с общи (целеви) показатели за резултати, които се използват за измерването на процента на всички подпомагани единици по дадена схема за подпомагане за РСР. В повечето случаи на горепосочените ОВО не може да се даде задоволителен отговор с такъв вид показатели (те или не съответстват изцяло на критериите за преценка, които са предложени в </w:t>
      </w:r>
      <w:r>
        <w:rPr>
          <w:i/>
          <w:highlight w:val="yellow"/>
        </w:rPr>
        <w:t>Работния документ: Общи въпроси за оценка на ПРСР за периода 2014—2020 г.</w:t>
      </w:r>
      <w:r>
        <w:rPr>
          <w:highlight w:val="yellow"/>
        </w:rPr>
        <w:t>, или заинтересованите страни в държавите членки са предложили допълнителни критерии за преценка). За някои от тези ОВО съществуват показатели за допълнителни резултати, за да се осигури по-добро оценяване на постигнатите резултати</w:t>
      </w:r>
      <w:r>
        <w:rPr>
          <w:rStyle w:val="FootnoteReference"/>
          <w:highlight w:val="yellow"/>
        </w:rPr>
        <w:footnoteReference w:id="50"/>
      </w:r>
      <w:r>
        <w:rPr>
          <w:highlight w:val="yellow"/>
        </w:rPr>
        <w:t>. За останалите ОВО може да бъдат разработени допълнителни показатели още при оценката на ПРСР, която следва да бъде докладвана през 2017 г., за да се подобри надеждността на отговорите</w:t>
      </w:r>
      <w:r>
        <w:rPr>
          <w:rStyle w:val="FootnoteReference"/>
          <w:highlight w:val="yellow"/>
        </w:rPr>
        <w:footnoteReference w:id="51"/>
      </w:r>
      <w:r>
        <w:rPr>
          <w:highlight w:val="yellow"/>
        </w:rPr>
        <w:t xml:space="preserve">. Допълнителните показатели не трябва да се смесват със специфичните за програмата показатели, които се използват за отговор на СПВО и измерват специфичните за програмата ефекти. </w:t>
      </w:r>
    </w:p>
    <w:p w:rsidR="00143584" w:rsidRDefault="00D64125">
      <w:pPr>
        <w:pStyle w:val="HStandard"/>
        <w:rPr>
          <w:rFonts w:cs="Arial"/>
          <w:highlight w:val="yellow"/>
        </w:rPr>
      </w:pPr>
      <w:r>
        <w:rPr>
          <w:highlight w:val="yellow"/>
        </w:rPr>
        <w:t xml:space="preserve">Конкретни съвети как да се разработват допълнителни показатели за отговор на свързаните с област с поставен акцент ОВО са дадени в образците за ОВО, които ще бъдат публикувани в отделен документ. </w:t>
      </w:r>
    </w:p>
    <w:p w:rsidR="00143584" w:rsidRDefault="00D64125">
      <w:pPr>
        <w:pStyle w:val="HHeading5"/>
        <w:rPr>
          <w:rFonts w:cs="Arial"/>
          <w:highlight w:val="yellow"/>
        </w:rPr>
      </w:pPr>
      <w:r>
        <w:rPr>
          <w:highlight w:val="yellow"/>
        </w:rPr>
        <w:lastRenderedPageBreak/>
        <w:t xml:space="preserve">Специфични за програмата въпроси за оценка и показатели </w:t>
      </w:r>
    </w:p>
    <w:p w:rsidR="00143584" w:rsidRDefault="00D64125">
      <w:pPr>
        <w:pStyle w:val="HStandard"/>
        <w:rPr>
          <w:rFonts w:cs="Arial"/>
          <w:highlight w:val="yellow"/>
        </w:rPr>
      </w:pPr>
      <w:r>
        <w:rPr>
          <w:highlight w:val="yellow"/>
        </w:rPr>
        <w:t xml:space="preserve">СПВО и специфичните за програмата показатели се разработват, за да бъдат отразени специфичните за програмата ефекти, по-специално в случаите, когато ПРСР съдържа специфични цели и приоритети. СПВО може да бъдат разработени също така, за да се направи разбивка на ОВО, които имат твърде общ характер, с цел да се предоставят по-конкретни данни. Освен това СПВО може да бъдат формулирани и за LEADER, а в плана за оценка да бъдат представени специфични теми за оценка (например ТП, НМСР, механизми за изпълнение и т.н.). </w:t>
      </w:r>
    </w:p>
    <w:p w:rsidR="00143584" w:rsidRDefault="00D64125">
      <w:pPr>
        <w:pStyle w:val="HStandard"/>
        <w:rPr>
          <w:rFonts w:cs="Arial"/>
          <w:highlight w:val="yellow"/>
        </w:rPr>
      </w:pPr>
      <w:r>
        <w:rPr>
          <w:highlight w:val="yellow"/>
        </w:rPr>
        <w:t xml:space="preserve">Практиката показва, че до момента държавите членки по-често разработват специфични за програмата показатели, отколкото СПВО. Ако са налице пропуски в съгласуваността между интервенционната логика на ПРСР и елементите за оценка (вж. глава 5.2.2), трябва да бъдат формулирани СПВО и специфични за програмата показатели. </w:t>
      </w:r>
    </w:p>
    <w:p w:rsidR="00143584" w:rsidRDefault="00D64125">
      <w:pPr>
        <w:pStyle w:val="HHeading5"/>
        <w:rPr>
          <w:rFonts w:cs="Arial"/>
          <w:highlight w:val="yellow"/>
        </w:rPr>
      </w:pPr>
      <w:r>
        <w:rPr>
          <w:highlight w:val="yellow"/>
        </w:rPr>
        <w:t>Специфични за програмата елементи в ПРСР</w:t>
      </w:r>
    </w:p>
    <w:p w:rsidR="00143584" w:rsidRDefault="00D64125">
      <w:pPr>
        <w:pStyle w:val="HStandard"/>
        <w:rPr>
          <w:rFonts w:cs="Arial"/>
          <w:highlight w:val="yellow"/>
        </w:rPr>
      </w:pPr>
      <w:r>
        <w:rPr>
          <w:highlight w:val="yellow"/>
        </w:rPr>
        <w:t>Прегледът на одобрените ПРСР показва, че държавите членки често използват специфични за програмата показатели за контекста за целите на описанието на първоначалните секторни, екологични и социално-икономически условия, характеризиращи дадена програмна област (вж.: SWOT анализа, включен в ПРСР</w:t>
      </w:r>
      <w:r>
        <w:rPr>
          <w:b/>
          <w:i/>
          <w:color w:val="6F6F6F" w:themeColor="text1"/>
          <w:highlight w:val="yellow"/>
          <w:vertAlign w:val="superscript"/>
        </w:rPr>
        <w:footnoteReference w:id="52"/>
      </w:r>
      <w:r>
        <w:rPr>
          <w:highlight w:val="yellow"/>
        </w:rPr>
        <w:t>), когато общите показатели за контекста не са достатъчни, за да се представи реалистична картина. При това някои специфични за програмата показатели за резултати вече са формулирани (списъци с тези показатели са дадени в приложенията към одобрената ПРСР</w:t>
      </w:r>
      <w:r>
        <w:rPr>
          <w:rStyle w:val="FootnoteReference"/>
          <w:highlight w:val="yellow"/>
        </w:rPr>
        <w:footnoteReference w:id="53"/>
      </w:r>
      <w:r>
        <w:rPr>
          <w:highlight w:val="yellow"/>
        </w:rPr>
        <w:t>). От гледна точка на оценяването може да изглежда, че тези показатели са непълни и/или вътрешно несъгласувани и трябва да бъдат преразгледани при проверката на съгласуваността между интервенционната логика и елементите на оценката, да бъдат коригирани и допълнени, например за да се оценят всички важни специфични за програмата ефекти, включително потенциалните специфични за програмата непреки, вторични, неочаквани или отрицателни ефекти. Във всички тези случаи трябва да бъдат формулирани съответните СПВО и набор от съгласувани специфични за програмата показатели.</w:t>
      </w:r>
    </w:p>
    <w:p w:rsidR="00143584" w:rsidRDefault="00D64125">
      <w:pPr>
        <w:pStyle w:val="H-Heading4"/>
        <w:rPr>
          <w:highlight w:val="yellow"/>
        </w:rPr>
      </w:pPr>
      <w:r>
        <w:rPr>
          <w:highlight w:val="yellow"/>
        </w:rPr>
        <w:t xml:space="preserve">Разработване на специфични за програмата въпроси за оценка </w:t>
      </w:r>
    </w:p>
    <w:p w:rsidR="00143584" w:rsidRDefault="00D64125">
      <w:pPr>
        <w:pStyle w:val="HStandard"/>
        <w:rPr>
          <w:rFonts w:cs="Arial"/>
          <w:highlight w:val="yellow"/>
        </w:rPr>
      </w:pPr>
      <w:r>
        <w:rPr>
          <w:highlight w:val="yellow"/>
        </w:rPr>
        <w:t xml:space="preserve">СПВО са свързани ясно и точно със специфичните за програмата цели. Колкото по-конкретна е целта, толкова по-лесно се формулира ВО и по-пряко се свързват отделните интервенции по програмата със специфичните резултати. Не е задължително специфичните за програмата цели да са придружени от СПВО в рамките на самите ПРСР. Задачата при разработването на СПВО е да се определи до каква степен: </w:t>
      </w:r>
    </w:p>
    <w:p w:rsidR="00143584" w:rsidRDefault="00D64125">
      <w:pPr>
        <w:pStyle w:val="Hlistbullet"/>
        <w:rPr>
          <w:rFonts w:cs="Arial"/>
          <w:highlight w:val="yellow"/>
        </w:rPr>
      </w:pPr>
      <w:r>
        <w:rPr>
          <w:highlight w:val="yellow"/>
        </w:rPr>
        <w:t xml:space="preserve">ОВО отразяват специфичните за програмата цели и очакваните ефекти от интервенционната логика, </w:t>
      </w:r>
    </w:p>
    <w:p w:rsidR="00143584" w:rsidRDefault="00D64125">
      <w:pPr>
        <w:pStyle w:val="Hlistbullet"/>
        <w:rPr>
          <w:highlight w:val="yellow"/>
        </w:rPr>
      </w:pPr>
      <w:r>
        <w:rPr>
          <w:highlight w:val="yellow"/>
        </w:rPr>
        <w:t>свързаните с ОВО критерии за преценка и показатели ще позволят на оценителя да обхване пълния диапазон от постижения според специфичните за програмата цели на дадената ПРСР и специфичните за програмата ефекти.</w:t>
      </w:r>
    </w:p>
    <w:p w:rsidR="00143584" w:rsidRDefault="00D64125">
      <w:pPr>
        <w:pStyle w:val="HStandard"/>
        <w:rPr>
          <w:rFonts w:cs="Arial"/>
          <w:highlight w:val="yellow"/>
        </w:rPr>
      </w:pPr>
      <w:r>
        <w:rPr>
          <w:highlight w:val="yellow"/>
        </w:rPr>
        <w:t>Формулировката на СПВО трябва да:</w:t>
      </w:r>
    </w:p>
    <w:p w:rsidR="00143584" w:rsidRDefault="00D64125">
      <w:pPr>
        <w:pStyle w:val="Hlistbullet"/>
        <w:rPr>
          <w:rFonts w:cs="Arial"/>
          <w:highlight w:val="yellow"/>
        </w:rPr>
      </w:pPr>
      <w:r>
        <w:rPr>
          <w:highlight w:val="yellow"/>
        </w:rPr>
        <w:t>отразява промените във времето в резултат на изпълнението на специфичните елементи на програмата (например специфични мерки по програмата) или специфичните характеристики на бенефициерите или на програмните области (например възраст, пол, вид стопанства, условия на околната среда и т.н.),</w:t>
      </w:r>
    </w:p>
    <w:p w:rsidR="00143584" w:rsidRDefault="00D64125">
      <w:pPr>
        <w:pStyle w:val="Hlistbullet"/>
        <w:rPr>
          <w:rFonts w:cs="Arial"/>
          <w:highlight w:val="yellow"/>
        </w:rPr>
      </w:pPr>
      <w:r>
        <w:rPr>
          <w:highlight w:val="yellow"/>
        </w:rPr>
        <w:lastRenderedPageBreak/>
        <w:t>конкретизира дейност и област на интерес, която може ясно да бъде измерена или наблюдавана,</w:t>
      </w:r>
    </w:p>
    <w:p w:rsidR="00143584" w:rsidRDefault="00D64125">
      <w:pPr>
        <w:pStyle w:val="Hlistbullet"/>
        <w:rPr>
          <w:rFonts w:cs="Arial"/>
          <w:highlight w:val="yellow"/>
        </w:rPr>
      </w:pPr>
      <w:r>
        <w:rPr>
          <w:highlight w:val="yellow"/>
        </w:rPr>
        <w:t>бъде изразена по начин, който посочва само един отличителен аспект или промяна и установява ясна причинно-следствена връзка между програмата и желаната промяна в резултата (ефект) (т.е. „До каква степен промяната е настъпила вследствие на интервенцията?“),</w:t>
      </w:r>
    </w:p>
    <w:p w:rsidR="00143584" w:rsidRDefault="00D64125">
      <w:pPr>
        <w:pStyle w:val="Hlistbullet"/>
        <w:rPr>
          <w:rFonts w:cs="Arial"/>
          <w:highlight w:val="yellow"/>
        </w:rPr>
      </w:pPr>
      <w:r>
        <w:rPr>
          <w:highlight w:val="yellow"/>
        </w:rPr>
        <w:t>бъде ясна, конкретна, недвусмислена и изразена по начин, даващ възможност за отчитане на приноса на дадена програма към заложените специфични за програмата цели от гледна точка на резултатите и въздействията от програмата,</w:t>
      </w:r>
    </w:p>
    <w:p w:rsidR="00143584" w:rsidRDefault="00D64125">
      <w:pPr>
        <w:pStyle w:val="Hlistbullet"/>
        <w:rPr>
          <w:highlight w:val="yellow"/>
        </w:rPr>
      </w:pPr>
      <w:r>
        <w:rPr>
          <w:highlight w:val="yellow"/>
        </w:rPr>
        <w:t>отчита отделните цели на програмата и специфичните особености на програмната област.</w:t>
      </w:r>
    </w:p>
    <w:p w:rsidR="00143584" w:rsidRDefault="00D64125">
      <w:pPr>
        <w:pStyle w:val="HStandard"/>
        <w:rPr>
          <w:rFonts w:cs="Arial"/>
          <w:highlight w:val="yellow"/>
        </w:rPr>
      </w:pPr>
      <w:r>
        <w:rPr>
          <w:highlight w:val="yellow"/>
        </w:rPr>
        <w:t>Може да се очаква, че във всяка отделна ПРСР проверката на съгласуваността на нейната интервенционна логика с елементите на оценката (включително връзките ѝ със SWOT анализа) ще доведе до:</w:t>
      </w:r>
    </w:p>
    <w:p w:rsidR="00143584" w:rsidRDefault="00D64125">
      <w:pPr>
        <w:pStyle w:val="Hlistbullet"/>
        <w:rPr>
          <w:rFonts w:cs="Arial"/>
          <w:highlight w:val="yellow"/>
        </w:rPr>
      </w:pPr>
      <w:r>
        <w:rPr>
          <w:highlight w:val="yellow"/>
        </w:rPr>
        <w:t>разбивка на ОВО на по-конкретни СПВО,</w:t>
      </w:r>
    </w:p>
    <w:p w:rsidR="00143584" w:rsidRDefault="00D64125">
      <w:pPr>
        <w:pStyle w:val="Hlistbullet"/>
        <w:rPr>
          <w:rFonts w:cs="Arial"/>
          <w:highlight w:val="yellow"/>
        </w:rPr>
      </w:pPr>
      <w:r>
        <w:rPr>
          <w:highlight w:val="yellow"/>
        </w:rPr>
        <w:t>формулиране на нови СПВО, съсредоточени върху оценката на новите идентифицирани теми за оценка, както и</w:t>
      </w:r>
    </w:p>
    <w:p w:rsidR="00143584" w:rsidRDefault="00D64125">
      <w:pPr>
        <w:pStyle w:val="Hlistbullet"/>
        <w:rPr>
          <w:highlight w:val="yellow"/>
        </w:rPr>
      </w:pPr>
      <w:r>
        <w:rPr>
          <w:highlight w:val="yellow"/>
        </w:rPr>
        <w:t xml:space="preserve">прецизиране на вече съществуващи СПВО. </w:t>
      </w:r>
    </w:p>
    <w:p w:rsidR="00143584" w:rsidRDefault="00D64125">
      <w:pPr>
        <w:pStyle w:val="HStandard"/>
        <w:rPr>
          <w:rFonts w:cs="Arial"/>
          <w:highlight w:val="yellow"/>
        </w:rPr>
      </w:pPr>
      <w:r>
        <w:rPr>
          <w:highlight w:val="yellow"/>
        </w:rPr>
        <w:t>Що се отнася до процеса на разработване на СПВО, препоръчва се оценителят да включи повече свързани с оценката заинтересовани страни, например под формата на систематични структурирани интервюта или семинар със заинтересованите страни по програмата (включително специалисти от практиката, бенефициери, партньори и лица, отговорни за изработването на политиките). Това ще помогне за формулирането на подходящи СПВО чрез отразяването на основни тенденции при „възможните“ и „установените от опит“ ефекти от програмата. Като предлагат области, в които програмата включва редица непредвидени или несигурни ефекти, оценителят и заинтересованите страни може да използват разработена преди това теория на промяната. Ясно е, че на първия етап на оценката от основно значение е предварителното качествено оценяване, тъй като то може да осигури ценна вътрешна информация и да доведе до формулирането на важни СПВО, съсредоточени върху изпълнението на програмата, по-специално по отношение на нейните положителни, отрицателни, предвидени и непредвидени ефекти.</w:t>
      </w:r>
    </w:p>
    <w:p w:rsidR="00143584" w:rsidRDefault="00D64125">
      <w:pPr>
        <w:pStyle w:val="HHeading5"/>
        <w:rPr>
          <w:rFonts w:cs="Arial"/>
          <w:highlight w:val="yellow"/>
        </w:rPr>
      </w:pPr>
      <w:r>
        <w:rPr>
          <w:highlight w:val="yellow"/>
        </w:rPr>
        <w:t>Разработване на специфични за програмата показатели</w:t>
      </w:r>
    </w:p>
    <w:p w:rsidR="00143584" w:rsidRDefault="00D64125">
      <w:pPr>
        <w:pStyle w:val="HStandard"/>
        <w:rPr>
          <w:rFonts w:cs="Arial"/>
          <w:highlight w:val="yellow"/>
        </w:rPr>
      </w:pPr>
      <w:r>
        <w:rPr>
          <w:highlight w:val="yellow"/>
        </w:rPr>
        <w:t>Отговор на СПВО се дава чрез специфични за програмата показатели, като се предостави измерима информация за отделните аспекти на изпълнението на програмата с подходяща степен на точност. Специфичните за програмата показатели трябва да бъдат разработени в съответствие с критериите RACER</w:t>
      </w:r>
      <w:r>
        <w:rPr>
          <w:highlight w:val="yellow"/>
          <w:vertAlign w:val="superscript"/>
        </w:rPr>
        <w:footnoteReference w:id="54"/>
      </w:r>
      <w:r>
        <w:rPr>
          <w:highlight w:val="yellow"/>
          <w:vertAlign w:val="superscript"/>
        </w:rPr>
        <w:t xml:space="preserve"> </w:t>
      </w:r>
      <w:r>
        <w:rPr>
          <w:highlight w:val="yellow"/>
        </w:rPr>
        <w:t xml:space="preserve">(значими, приемливи, правдоподобни, лесни и стабилни). Специфичните за програмата показатели може да бъдат формулирани като показатели за контекста, за крайните продукти и за резултатите и трябва да бъдат съгласувани със СПВО, интервенционната логика и SWOT анализа (вж. раздела по-долу). Специфичните за програмата показатели трябва да посочват непредвидените и непреките ефекти от програмата. При разработването им трябва да се следват процедурите, описани в глава 5.2.3.  </w:t>
      </w:r>
    </w:p>
    <w:p w:rsidR="00143584" w:rsidRDefault="00D64125">
      <w:pPr>
        <w:pStyle w:val="HStandard"/>
        <w:rPr>
          <w:rFonts w:cs="Arial"/>
          <w:highlight w:val="yellow"/>
        </w:rPr>
      </w:pPr>
      <w:r>
        <w:rPr>
          <w:highlight w:val="yellow"/>
        </w:rPr>
        <w:t>Следователно, в обобщение, новите разработени специфични за програмата показатели може да включват:</w:t>
      </w:r>
    </w:p>
    <w:p w:rsidR="00143584" w:rsidRDefault="00D64125">
      <w:pPr>
        <w:pStyle w:val="Hlistbullet"/>
        <w:rPr>
          <w:rFonts w:cs="Arial"/>
          <w:highlight w:val="yellow"/>
        </w:rPr>
      </w:pPr>
      <w:r>
        <w:rPr>
          <w:highlight w:val="yellow"/>
        </w:rPr>
        <w:lastRenderedPageBreak/>
        <w:t>показатели за резултатите и за въздействието, използвани за даване на отговори на новите разработени СПВО, които произтичат от:</w:t>
      </w:r>
    </w:p>
    <w:p w:rsidR="00143584" w:rsidRDefault="00D64125">
      <w:pPr>
        <w:pStyle w:val="Hlistbullet2"/>
        <w:rPr>
          <w:highlight w:val="yellow"/>
        </w:rPr>
      </w:pPr>
      <w:r>
        <w:rPr>
          <w:highlight w:val="yellow"/>
        </w:rPr>
        <w:t xml:space="preserve">специфичните за програмата цели, </w:t>
      </w:r>
    </w:p>
    <w:p w:rsidR="00143584" w:rsidRDefault="00D64125">
      <w:pPr>
        <w:pStyle w:val="Hlistbullet2"/>
        <w:rPr>
          <w:highlight w:val="yellow"/>
        </w:rPr>
      </w:pPr>
      <w:r>
        <w:rPr>
          <w:highlight w:val="yellow"/>
        </w:rPr>
        <w:t>SWOT анализа,</w:t>
      </w:r>
    </w:p>
    <w:p w:rsidR="00143584" w:rsidRDefault="00D64125">
      <w:pPr>
        <w:pStyle w:val="Hlistbullet2"/>
        <w:rPr>
          <w:highlight w:val="yellow"/>
        </w:rPr>
      </w:pPr>
      <w:r>
        <w:rPr>
          <w:highlight w:val="yellow"/>
        </w:rPr>
        <w:t>идентифицираните непредвидени и непреки ефекти,</w:t>
      </w:r>
    </w:p>
    <w:p w:rsidR="00143584" w:rsidRDefault="00D64125">
      <w:pPr>
        <w:pStyle w:val="Hlistbullet2"/>
        <w:rPr>
          <w:highlight w:val="yellow"/>
        </w:rPr>
      </w:pPr>
      <w:r>
        <w:rPr>
          <w:highlight w:val="yellow"/>
        </w:rPr>
        <w:t>разбивката на „стари“ СПВО и ОВО,</w:t>
      </w:r>
    </w:p>
    <w:p w:rsidR="00143584" w:rsidRDefault="00D64125">
      <w:pPr>
        <w:pStyle w:val="Hlistbullet"/>
        <w:rPr>
          <w:highlight w:val="yellow"/>
        </w:rPr>
      </w:pPr>
      <w:r>
        <w:rPr>
          <w:highlight w:val="yellow"/>
        </w:rPr>
        <w:t xml:space="preserve">показатели за контекста, даващи възможност за анализ на въздействията от програмата. </w:t>
      </w:r>
    </w:p>
    <w:p w:rsidR="00143584" w:rsidRDefault="00D64125">
      <w:pPr>
        <w:pStyle w:val="HHeadingmaps"/>
        <w:rPr>
          <w:rFonts w:cs="Arial"/>
          <w:highlight w:val="yellow"/>
        </w:rPr>
      </w:pPr>
      <w:bookmarkStart w:id="80" w:name="_Ref434763839"/>
      <w:bookmarkStart w:id="81" w:name="_Ref434763853"/>
      <w:bookmarkStart w:id="82" w:name="_Ref434763889"/>
      <w:bookmarkStart w:id="83" w:name="_Ref434763898"/>
      <w:bookmarkStart w:id="84" w:name="_Toc460936161"/>
      <w:bookmarkStart w:id="85" w:name="_Toc474937860"/>
      <w:r>
        <w:rPr>
          <w:highlight w:val="yellow"/>
        </w:rPr>
        <w:t>Работна процедура за попълване на пропуски в елементите на оценката с помощта на SWOT анализа</w:t>
      </w:r>
      <w:bookmarkEnd w:id="80"/>
      <w:bookmarkEnd w:id="81"/>
      <w:bookmarkEnd w:id="82"/>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143584">
        <w:tc>
          <w:tcPr>
            <w:tcW w:w="9017" w:type="dxa"/>
            <w:shd w:val="clear" w:color="auto" w:fill="auto"/>
          </w:tcPr>
          <w:p w:rsidR="00143584" w:rsidRDefault="00D64125">
            <w:pPr>
              <w:pStyle w:val="HBox"/>
              <w:rPr>
                <w:rFonts w:cs="Arial"/>
                <w:highlight w:val="yellow"/>
              </w:rPr>
            </w:pPr>
            <w:r>
              <w:rPr>
                <w:b/>
                <w:highlight w:val="yellow"/>
              </w:rPr>
              <w:t>Пропуските в елементите на оценката може да се идентифицират</w:t>
            </w:r>
            <w:r>
              <w:rPr>
                <w:highlight w:val="yellow"/>
              </w:rPr>
              <w:t>, като се провери съгласуваността на съществуващите СПВО и специфичните за програмата показатели с отделните аспекти на SWOT анализа, който е включен в ПРСР. SWOT анализът се базира на преценки и следователно по своя характер е субективен и с качествено изражение. SWOT анализът може да се използва и за оценка, например като инструмент/средство за идентифициране на областите, в които може да се очакват ключови подобрения в резултат на програмата.</w:t>
            </w:r>
          </w:p>
          <w:p w:rsidR="00143584" w:rsidRDefault="00D64125">
            <w:pPr>
              <w:pStyle w:val="HBox"/>
              <w:rPr>
                <w:rFonts w:cs="Arial"/>
                <w:highlight w:val="yellow"/>
              </w:rPr>
            </w:pPr>
            <w:r>
              <w:rPr>
                <w:highlight w:val="yellow"/>
              </w:rPr>
              <w:t>Аналитичната процедура може да е следната:</w:t>
            </w:r>
          </w:p>
          <w:p w:rsidR="00143584" w:rsidRDefault="00D64125">
            <w:pPr>
              <w:pStyle w:val="HBox"/>
              <w:rPr>
                <w:rFonts w:cs="Arial"/>
                <w:highlight w:val="yellow"/>
              </w:rPr>
            </w:pPr>
            <w:r>
              <w:rPr>
                <w:b/>
                <w:highlight w:val="yellow"/>
              </w:rPr>
              <w:t>Първо,</w:t>
            </w:r>
            <w:r>
              <w:rPr>
                <w:highlight w:val="yellow"/>
              </w:rPr>
              <w:t xml:space="preserve"> важно е да се разбере, че слабите и силните страни, които са идентифицирани в SWOT анализа, може да бъдат контролирани от програмата, т.е. винаги се очаква, че ПРСР ще окаже влияние върху тях. Обратно, възможностите и заплахите са предимно външни аспекти, които обикновено са извън контрола на ПРСР и се определят от нейното общо социално/икономическо/екологично представяне (т.е. те обикновено остават незасегнати от програмата). </w:t>
            </w:r>
          </w:p>
          <w:p w:rsidR="00143584" w:rsidRDefault="00D64125">
            <w:pPr>
              <w:pStyle w:val="HBox"/>
              <w:rPr>
                <w:rFonts w:cs="Arial"/>
                <w:highlight w:val="yellow"/>
              </w:rPr>
            </w:pPr>
            <w:r>
              <w:rPr>
                <w:highlight w:val="yellow"/>
              </w:rPr>
              <w:t>Освен това е важно да се има предвид, че една от основните причини за създаването на дадена ПРСР е била:</w:t>
            </w:r>
          </w:p>
          <w:p w:rsidR="00143584" w:rsidRDefault="00D64125">
            <w:pPr>
              <w:pStyle w:val="HBox"/>
              <w:rPr>
                <w:rFonts w:cs="Arial"/>
                <w:highlight w:val="yellow"/>
              </w:rPr>
            </w:pPr>
            <w:r>
              <w:rPr>
                <w:highlight w:val="yellow"/>
              </w:rPr>
              <w:t>да бъдат намалени идентифицираните секторни, екологични и социално-икономически слабости, както и</w:t>
            </w:r>
          </w:p>
          <w:p w:rsidR="00143584" w:rsidRDefault="00D64125">
            <w:pPr>
              <w:pStyle w:val="HBox"/>
              <w:rPr>
                <w:rFonts w:cs="Arial"/>
                <w:highlight w:val="yellow"/>
              </w:rPr>
            </w:pPr>
            <w:r>
              <w:rPr>
                <w:highlight w:val="yellow"/>
              </w:rPr>
              <w:t>да бъдат запазени и засилени силните страни.</w:t>
            </w:r>
          </w:p>
          <w:p w:rsidR="00143584" w:rsidRDefault="00D64125">
            <w:pPr>
              <w:pStyle w:val="HBox"/>
              <w:rPr>
                <w:rFonts w:cs="Arial"/>
                <w:highlight w:val="yellow"/>
              </w:rPr>
            </w:pPr>
            <w:r>
              <w:rPr>
                <w:b/>
                <w:highlight w:val="yellow"/>
              </w:rPr>
              <w:t>Второ,</w:t>
            </w:r>
            <w:r>
              <w:rPr>
                <w:highlight w:val="yellow"/>
              </w:rPr>
              <w:t xml:space="preserve"> СПВО може да бъдат формулирани въз основа на SWOT анализа под формата на причинни (дадена ПРСР) и следствени (резултати и въздействия) връзки, като се зададе въпросът: „До каква степен ПРСР е допринесла за намаляването на слабостите, посочени в SWOT анализа, и НЕ е засегнала силните страни, споменати в SWOT анализа?“</w:t>
            </w:r>
          </w:p>
          <w:p w:rsidR="00143584" w:rsidRDefault="00D64125">
            <w:pPr>
              <w:pStyle w:val="HBox"/>
              <w:rPr>
                <w:rFonts w:cs="Arial"/>
                <w:highlight w:val="yellow"/>
              </w:rPr>
            </w:pPr>
            <w:r>
              <w:rPr>
                <w:highlight w:val="yellow"/>
              </w:rPr>
              <w:t>Докато първата част от СПВО е съсредоточена върху предвидените ефекти от програмата, то втората част от въпроса акцентира върху избягването на отрицателни, непредвидени ефекти. Като се има предвид горното, за да се отговори на тези видове въпроси най-често е необходимо създаването и използването на набор от показатели, които да дадат възможност за измерване на горепосочените предвидени и непредвидени ефекти.</w:t>
            </w:r>
          </w:p>
          <w:p w:rsidR="00143584" w:rsidRDefault="00D64125">
            <w:pPr>
              <w:pStyle w:val="HBox"/>
              <w:rPr>
                <w:rFonts w:cs="Arial"/>
                <w:highlight w:val="yellow"/>
              </w:rPr>
            </w:pPr>
            <w:r>
              <w:rPr>
                <w:highlight w:val="yellow"/>
              </w:rPr>
              <w:t>В конкретни случаи, чрез една разширена оценка може да се опита да се отговори на въпроса: до каква степен споменатите в SWOT анализа възможности и заплахи са били засегнати от дадената програма/мярка. Това обаче може да стане само ако величината и мащабът на програмата са оценени като значителни от макроикономическа гледна точка.</w:t>
            </w:r>
          </w:p>
          <w:p w:rsidR="00143584" w:rsidRDefault="00D64125">
            <w:pPr>
              <w:pStyle w:val="HBox"/>
              <w:rPr>
                <w:rFonts w:cs="Arial"/>
                <w:highlight w:val="yellow"/>
              </w:rPr>
            </w:pPr>
            <w:r>
              <w:rPr>
                <w:b/>
                <w:highlight w:val="yellow"/>
              </w:rPr>
              <w:t>Трето,</w:t>
            </w:r>
            <w:r>
              <w:rPr>
                <w:highlight w:val="yellow"/>
              </w:rPr>
              <w:t xml:space="preserve"> споменатите в SWOT анализа слабости и силни страни трябва да се превърнат в конкретни показатели за резултатите и за въздействието, за да се даде по-лесно отговор на </w:t>
            </w:r>
            <w:r>
              <w:rPr>
                <w:highlight w:val="yellow"/>
              </w:rPr>
              <w:lastRenderedPageBreak/>
              <w:t xml:space="preserve">СПВО. </w:t>
            </w:r>
          </w:p>
          <w:p w:rsidR="00143584" w:rsidRDefault="00D64125">
            <w:pPr>
              <w:pStyle w:val="HBox"/>
              <w:rPr>
                <w:rFonts w:cs="Arial"/>
                <w:highlight w:val="yellow"/>
              </w:rPr>
            </w:pPr>
            <w:r>
              <w:rPr>
                <w:highlight w:val="yellow"/>
              </w:rPr>
              <w:t xml:space="preserve">SWOT анализът обикновено се базира на анализа на показателите за контекста, които отразяват икономическата, социалната и екологичната ситуация в дадена територия преди определена интервенция по ПРСР. В хода на изпълнението на ПРСР обаче резултатите от показателите за контекста, които представят секторните слабости и силни страни, ще бъдат засегнати от самата програма, както и от други външни фактори. Докато резултатите от конкретни показатели за контекста (и за резултатите), измерени на микро ниво (например производителност на труда в селското стопанство), отразяват, </w:t>
            </w:r>
            <w:r>
              <w:rPr>
                <w:i/>
                <w:highlight w:val="yellow"/>
              </w:rPr>
              <w:t>inter alia</w:t>
            </w:r>
            <w:r>
              <w:rPr>
                <w:highlight w:val="yellow"/>
              </w:rPr>
              <w:t xml:space="preserve">, микроефекта от дадена програма и мярка, то може да се очаква, че резултатите от аналогични показатели за контекста (и за въздействието), измерени за дадена територия (например производителност на труда в селското стопанство), ще се променят, </w:t>
            </w:r>
            <w:r>
              <w:rPr>
                <w:i/>
                <w:highlight w:val="yellow"/>
              </w:rPr>
              <w:t>inter alia</w:t>
            </w:r>
            <w:r>
              <w:rPr>
                <w:highlight w:val="yellow"/>
              </w:rPr>
              <w:t>, вследствие на въздействията от програмата.</w:t>
            </w:r>
          </w:p>
          <w:p w:rsidR="00143584" w:rsidRDefault="00D64125">
            <w:pPr>
              <w:pStyle w:val="HBox"/>
              <w:rPr>
                <w:rFonts w:cs="Arial"/>
                <w:highlight w:val="yellow"/>
              </w:rPr>
            </w:pPr>
            <w:r>
              <w:rPr>
                <w:highlight w:val="yellow"/>
              </w:rPr>
              <w:t>Следователно показателите за контекста трябва да служат за две цели:</w:t>
            </w:r>
          </w:p>
          <w:p w:rsidR="00143584" w:rsidRDefault="00D64125">
            <w:pPr>
              <w:pStyle w:val="HBox"/>
              <w:rPr>
                <w:rFonts w:cs="Arial"/>
                <w:highlight w:val="yellow"/>
              </w:rPr>
            </w:pPr>
            <w:r>
              <w:rPr>
                <w:highlight w:val="yellow"/>
              </w:rPr>
              <w:t>- да допринасят за идентифицирането и измерването на силните страни и слабостите в рамките на региона като база за SWOT анализа, и</w:t>
            </w:r>
          </w:p>
          <w:p w:rsidR="00143584" w:rsidRDefault="00D64125">
            <w:pPr>
              <w:pStyle w:val="HBox"/>
              <w:rPr>
                <w:rFonts w:cs="Arial"/>
                <w:highlight w:val="yellow"/>
              </w:rPr>
            </w:pPr>
            <w:r>
              <w:rPr>
                <w:highlight w:val="yellow"/>
              </w:rPr>
              <w:t xml:space="preserve">- да спомагат за анализирането на въздействията, постигнати в рамките на програмата, като се имат предвид общите икономически, социални, структурни или екологични тенденции. </w:t>
            </w:r>
          </w:p>
          <w:p w:rsidR="00143584" w:rsidRDefault="00D64125">
            <w:pPr>
              <w:pStyle w:val="HBox"/>
              <w:rPr>
                <w:rFonts w:cs="Arial"/>
                <w:highlight w:val="yellow"/>
              </w:rPr>
            </w:pPr>
            <w:r>
              <w:rPr>
                <w:highlight w:val="yellow"/>
              </w:rPr>
              <w:t>Очаква се показателите за контекста, които показват слабостите и силните страни на селските райони, към които е насочена конкретната ПРСР, да се подобрят или поне да не се влошат. Затова задачата е да бъдат идентифицирани всички основни слабости и силни страни и да бъдат изразени под формата на съответни специфични за програмата показатели за резултатите и за въздействието.</w:t>
            </w:r>
          </w:p>
          <w:p w:rsidR="00143584" w:rsidRDefault="00D64125">
            <w:pPr>
              <w:pStyle w:val="HBox"/>
              <w:rPr>
                <w:rFonts w:cs="Arial"/>
                <w:highlight w:val="yellow"/>
              </w:rPr>
            </w:pPr>
            <w:r>
              <w:rPr>
                <w:b/>
                <w:highlight w:val="yellow"/>
              </w:rPr>
              <w:t>Четвърто,</w:t>
            </w:r>
            <w:r>
              <w:rPr>
                <w:highlight w:val="yellow"/>
              </w:rPr>
              <w:t xml:space="preserve"> необходимо е  списъкът с общите и предварително съществуващите специфични за програмата показатели за резултатите и за въздействието да се сравни с новите разработени специфични за програмата показатели за резултатите и за въздействието (с показатели, произтичащи от SWOT анализа).</w:t>
            </w:r>
          </w:p>
          <w:p w:rsidR="00143584" w:rsidRDefault="00D64125">
            <w:pPr>
              <w:pStyle w:val="HBox"/>
              <w:rPr>
                <w:rFonts w:cs="Arial"/>
                <w:highlight w:val="yellow"/>
              </w:rPr>
            </w:pPr>
            <w:r>
              <w:rPr>
                <w:highlight w:val="yellow"/>
              </w:rPr>
              <w:t xml:space="preserve">Съществуващите специфични за програмата показатели, които вече са включени в ПРСР, трябва да се проучат основно, за да се провери дали са подходящи за оценяване на специфичните за програмата ефекти по време на етапа на подготовка и структуриране на оценката (глава 5.2). </w:t>
            </w:r>
          </w:p>
        </w:tc>
      </w:tr>
    </w:tbl>
    <w:p w:rsidR="00143584" w:rsidRDefault="00143584">
      <w:pPr>
        <w:pStyle w:val="HHeading5"/>
        <w:rPr>
          <w:rFonts w:cs="Arial"/>
          <w:highlight w:val="yellow"/>
        </w:rPr>
      </w:pPr>
    </w:p>
    <w:p w:rsidR="00143584" w:rsidRDefault="00143584">
      <w:pPr>
        <w:pStyle w:val="HHeading5"/>
        <w:rPr>
          <w:rFonts w:cs="Arial"/>
          <w:highlight w:val="yellow"/>
        </w:rPr>
      </w:pPr>
    </w:p>
    <w:p w:rsidR="00143584" w:rsidRDefault="00D64125">
      <w:pPr>
        <w:pStyle w:val="HHeading5"/>
        <w:rPr>
          <w:rFonts w:cs="Arial"/>
          <w:highlight w:val="yellow"/>
        </w:rPr>
      </w:pPr>
      <w:r>
        <w:rPr>
          <w:highlight w:val="yellow"/>
        </w:rPr>
        <w:t>Повторна проверка на съгласуваността между пълния набор от елементи на оценката и интервенционната логика</w:t>
      </w:r>
    </w:p>
    <w:p w:rsidR="00143584" w:rsidRDefault="00D64125">
      <w:pPr>
        <w:pStyle w:val="HStandard"/>
        <w:rPr>
          <w:rFonts w:cs="Arial"/>
          <w:highlight w:val="yellow"/>
        </w:rPr>
      </w:pPr>
      <w:r>
        <w:rPr>
          <w:highlight w:val="yellow"/>
        </w:rPr>
        <w:t xml:space="preserve">С новите разработени СПВО и специфични за програмата показатели се разширява обхватът на оценката, като се пита, </w:t>
      </w:r>
      <w:r>
        <w:rPr>
          <w:i/>
          <w:highlight w:val="yellow"/>
        </w:rPr>
        <w:t>inter alia</w:t>
      </w:r>
      <w:r>
        <w:rPr>
          <w:highlight w:val="yellow"/>
        </w:rPr>
        <w:t xml:space="preserve">, доколко ефективно и ефикасно е успяла да отговори ПРСР на нуждите и приоритетите на дадена програмна област, изразени в новите идентифицирани специфични за програмата цели/теми. Поради това те трябва да бъдат съгласувани с интервенционната логика и предварително съществуващите елементи на оценката и да посочват подробно взаимодействията между приоритетите, областите с поставен акцент и мерките, от една страна, и връзките между очакваните специфични за програмата крайни продукти, резултати и въздействия, от друга страна. Новите разработени СПВО и показатели позволяват събирането на данни и информация, за да бъдат отразени първичните, вторичните, очакваните/неочакваните, предвидените/непредвидените ефекти от интервенциите по ПРСР </w:t>
      </w:r>
      <w:r>
        <w:rPr>
          <w:highlight w:val="yellow"/>
        </w:rPr>
        <w:lastRenderedPageBreak/>
        <w:t xml:space="preserve">(вж. част III, приложение 10 — инструмент за качествена оценка на първичния и вторичния принос от операциите по ПРСР). </w:t>
      </w:r>
    </w:p>
    <w:p w:rsidR="00143584" w:rsidRDefault="00D64125">
      <w:pPr>
        <w:pStyle w:val="HStandard"/>
        <w:rPr>
          <w:rFonts w:cs="Arial"/>
          <w:highlight w:val="yellow"/>
        </w:rPr>
      </w:pPr>
      <w:r>
        <w:rPr>
          <w:highlight w:val="yellow"/>
        </w:rPr>
        <w:t>Окончателният набор от общи, допълнителни и специфични за програмата показатели за ПРСР трябва да дава възможност за отговор на всички ОВО и СПВО и да отразява приоритетите и целите на ПРCР на национално/регионално ниво и на ниво ЕС</w:t>
      </w:r>
      <w:r>
        <w:rPr>
          <w:rStyle w:val="FootnoteReference"/>
          <w:highlight w:val="yellow"/>
        </w:rPr>
        <w:footnoteReference w:id="55"/>
      </w:r>
      <w:r>
        <w:rPr>
          <w:highlight w:val="yellow"/>
        </w:rPr>
        <w:t xml:space="preserve">. </w:t>
      </w:r>
    </w:p>
    <w:p w:rsidR="00143584" w:rsidRDefault="00D64125">
      <w:pPr>
        <w:pStyle w:val="HHeading5"/>
        <w:rPr>
          <w:rFonts w:cs="Arial"/>
          <w:highlight w:val="yellow"/>
        </w:rPr>
      </w:pPr>
      <w:r>
        <w:rPr>
          <w:highlight w:val="yellow"/>
        </w:rPr>
        <w:t xml:space="preserve">Специфични особености на LEADER </w:t>
      </w:r>
    </w:p>
    <w:p w:rsidR="00143584" w:rsidRDefault="00D64125">
      <w:pPr>
        <w:pStyle w:val="HStandard"/>
        <w:rPr>
          <w:rFonts w:cs="Arial"/>
          <w:highlight w:val="yellow"/>
        </w:rPr>
      </w:pPr>
      <w:r>
        <w:rPr>
          <w:highlight w:val="yellow"/>
        </w:rPr>
        <w:t xml:space="preserve">Често свързаните с LEADER специфични за програмата теми за оценка се формулират още в плана за оценка, докато в други случаи тези теми се определят на по-късен етап от изпълнението на програмата. По-рядко програмните органи ги формулират заедно със свързаните с LEADER СПВО и показатели. Обикновено свързаните с LEADER въпроси и показатели се разработват допълнително или от управляващите органи, или от оценителите. Подобни на описаните по-горе правила се прилагат и при формулирането на специфични за LEADER въпроси за оценка и показатели. Свързаните с LEADER теми за оценка оказват влияние върху това какви данни трябва да се събират чрез базите данни на операциите на МГД, посочени в предишните глави.  </w:t>
      </w:r>
    </w:p>
    <w:p w:rsidR="00143584" w:rsidRDefault="00D64125">
      <w:pPr>
        <w:pStyle w:val="HStandard"/>
        <w:rPr>
          <w:rFonts w:cs="Arial"/>
          <w:highlight w:val="yellow"/>
        </w:rPr>
      </w:pPr>
      <w:r>
        <w:rPr>
          <w:highlight w:val="yellow"/>
        </w:rPr>
        <w:t xml:space="preserve">Специфичните за LEADER теми за оценка може да са били формулирани и на нивото на МГД във връзка със стратегията за ВОМР. </w:t>
      </w:r>
    </w:p>
    <w:p w:rsidR="00143584" w:rsidRDefault="00D64125">
      <w:pPr>
        <w:pStyle w:val="HHeading5"/>
        <w:rPr>
          <w:rFonts w:cs="Arial"/>
          <w:highlight w:val="yellow"/>
        </w:rPr>
      </w:pPr>
      <w:r>
        <w:rPr>
          <w:highlight w:val="yellow"/>
        </w:rPr>
        <w:t>Специфични особености на ТП</w:t>
      </w:r>
    </w:p>
    <w:p w:rsidR="00143584" w:rsidRDefault="00D64125">
      <w:pPr>
        <w:pStyle w:val="HStandard"/>
        <w:rPr>
          <w:rFonts w:cs="Arial"/>
          <w:highlight w:val="yellow"/>
        </w:rPr>
      </w:pPr>
      <w:r>
        <w:rPr>
          <w:highlight w:val="yellow"/>
        </w:rPr>
        <w:t xml:space="preserve">Управляващите органи може да решат да оценят специфични теми във връзка с действията, подпомагани чрез ТП. Както е посочено за предишните етапи, всеки път, когато бъде идентифицирана такава тема, трябва да се формулират специфични за програмата цели, ВО и показатели или от самия управляващ орган, или от оценителите. </w:t>
      </w:r>
    </w:p>
    <w:p w:rsidR="00143584" w:rsidRDefault="00D64125">
      <w:pPr>
        <w:pStyle w:val="HHeading5"/>
        <w:rPr>
          <w:rFonts w:cs="Arial"/>
          <w:highlight w:val="yellow"/>
        </w:rPr>
      </w:pPr>
      <w:r>
        <w:rPr>
          <w:highlight w:val="yellow"/>
        </w:rPr>
        <w:t>Специфични особености на НМСР</w:t>
      </w:r>
    </w:p>
    <w:p w:rsidR="00143584" w:rsidRDefault="00D64125">
      <w:pPr>
        <w:pStyle w:val="HStandard"/>
        <w:rPr>
          <w:rFonts w:cs="Arial"/>
          <w:highlight w:val="yellow"/>
        </w:rPr>
      </w:pPr>
      <w:r>
        <w:rPr>
          <w:highlight w:val="yellow"/>
        </w:rPr>
        <w:t>Често специфичните за НМСР теми за оценка се формулират в плана за оценка на ПРСР. След като бъдат определени свързаните с НМСР потребности, теми и цели на оценката, се формулират специфични за НМСР въпроси за оценка в съответствие със свързаните с НМСР цели и се доуточняват с критерии за преценка. Специфичните за НМСР показатели се формулират в съответствие с горепосочените критерии за преценка. Конкретни съвети по отношение на елементите за оценка на НМСР ще бъдат предоставени в насоките за оценка на НМСР, които предстои да бъдат публикувани през 2016 г.</w:t>
      </w:r>
    </w:p>
    <w:p w:rsidR="00143584" w:rsidRDefault="00D64125">
      <w:pPr>
        <w:spacing w:before="0" w:after="0" w:line="240" w:lineRule="auto"/>
        <w:jc w:val="left"/>
        <w:rPr>
          <w:rFonts w:cs="Arial"/>
          <w:b/>
          <w:color w:val="57825E"/>
          <w:sz w:val="20"/>
          <w:szCs w:val="20"/>
          <w:highlight w:val="yellow"/>
        </w:rPr>
      </w:pPr>
      <w:r>
        <w:br w:type="page"/>
      </w:r>
    </w:p>
    <w:p w:rsidR="00143584" w:rsidRDefault="00D64125">
      <w:pPr>
        <w:pStyle w:val="HHeading5"/>
        <w:rPr>
          <w:rFonts w:cs="Arial"/>
          <w:highlight w:val="yellow"/>
        </w:rPr>
      </w:pPr>
      <w:r>
        <w:rPr>
          <w:highlight w:val="yellow"/>
        </w:rPr>
        <w:lastRenderedPageBreak/>
        <w:t>Допълнителни материали</w:t>
      </w:r>
    </w:p>
    <w:p w:rsidR="00143584" w:rsidRDefault="00D64125">
      <w:pPr>
        <w:pStyle w:val="HBox"/>
        <w:rPr>
          <w:rFonts w:cs="Arial"/>
          <w:highlight w:val="yellow"/>
        </w:rPr>
      </w:pPr>
      <w:r>
        <w:rPr>
          <w:highlight w:val="yellow"/>
        </w:rPr>
        <w:t>Да се постигне максимума по вашата ПРСР: Ръководство за предварителна оценка на ПРСР за периода 2014—2020 г., част II, глави 2 и 3.</w:t>
      </w:r>
    </w:p>
    <w:p w:rsidR="00143584" w:rsidRDefault="00D64125">
      <w:pPr>
        <w:pStyle w:val="HBox"/>
        <w:rPr>
          <w:rFonts w:cs="Arial"/>
          <w:highlight w:val="yellow"/>
        </w:rPr>
      </w:pPr>
      <w:r>
        <w:rPr>
          <w:highlight w:val="yellow"/>
        </w:rPr>
        <w:t>Успешна реализация на вашата ПРСР: Насоки за последваща оценка на ПРСР за периода 2007—2013 г., част II, глави 1, 2 и 3</w:t>
      </w:r>
    </w:p>
    <w:p w:rsidR="00143584" w:rsidRPr="00A021FD" w:rsidRDefault="005E336E">
      <w:pPr>
        <w:pStyle w:val="HBox"/>
        <w:rPr>
          <w:rStyle w:val="Hyperlink"/>
          <w:highlight w:val="yellow"/>
        </w:rPr>
      </w:pPr>
      <w:hyperlink r:id="rId49" w:history="1">
        <w:r w:rsidR="00D64125">
          <w:rPr>
            <w:rStyle w:val="Hyperlink"/>
            <w:highlight w:val="yellow"/>
            <w:lang w:val="en-GB"/>
          </w:rPr>
          <w:t>http</w:t>
        </w:r>
        <w:r w:rsidR="00D64125" w:rsidRPr="00A021FD">
          <w:rPr>
            <w:rStyle w:val="Hyperlink"/>
            <w:highlight w:val="yellow"/>
          </w:rPr>
          <w:t>://</w:t>
        </w:r>
        <w:r w:rsidR="00D64125">
          <w:rPr>
            <w:rStyle w:val="Hyperlink"/>
            <w:highlight w:val="yellow"/>
            <w:lang w:val="en-GB"/>
          </w:rPr>
          <w:t>enrd</w:t>
        </w:r>
        <w:r w:rsidR="00D64125" w:rsidRPr="00A021FD">
          <w:rPr>
            <w:rStyle w:val="Hyperlink"/>
            <w:highlight w:val="yellow"/>
          </w:rPr>
          <w:t>.</w:t>
        </w:r>
        <w:r w:rsidR="00D64125">
          <w:rPr>
            <w:rStyle w:val="Hyperlink"/>
            <w:highlight w:val="yellow"/>
            <w:lang w:val="en-GB"/>
          </w:rPr>
          <w:t>ec</w:t>
        </w:r>
        <w:r w:rsidR="00D64125" w:rsidRPr="00A021FD">
          <w:rPr>
            <w:rStyle w:val="Hyperlink"/>
            <w:highlight w:val="yellow"/>
          </w:rPr>
          <w:t>.</w:t>
        </w:r>
        <w:r w:rsidR="00D64125">
          <w:rPr>
            <w:rStyle w:val="Hyperlink"/>
            <w:highlight w:val="yellow"/>
            <w:lang w:val="en-GB"/>
          </w:rPr>
          <w:t>europa</w:t>
        </w:r>
        <w:r w:rsidR="00D64125" w:rsidRPr="00A021FD">
          <w:rPr>
            <w:rStyle w:val="Hyperlink"/>
            <w:highlight w:val="yellow"/>
          </w:rPr>
          <w:t>.</w:t>
        </w:r>
        <w:r w:rsidR="00D64125">
          <w:rPr>
            <w:rStyle w:val="Hyperlink"/>
            <w:highlight w:val="yellow"/>
            <w:lang w:val="en-GB"/>
          </w:rPr>
          <w:t>eu</w:t>
        </w:r>
        <w:r w:rsidR="00D64125" w:rsidRPr="00A021FD">
          <w:rPr>
            <w:rStyle w:val="Hyperlink"/>
            <w:highlight w:val="yellow"/>
          </w:rPr>
          <w:t>/</w:t>
        </w:r>
        <w:r w:rsidR="00D64125">
          <w:rPr>
            <w:rStyle w:val="Hyperlink"/>
            <w:highlight w:val="yellow"/>
            <w:lang w:val="en-GB"/>
          </w:rPr>
          <w:t>enrd</w:t>
        </w:r>
        <w:r w:rsidR="00D64125" w:rsidRPr="00A021FD">
          <w:rPr>
            <w:rStyle w:val="Hyperlink"/>
            <w:highlight w:val="yellow"/>
          </w:rPr>
          <w:t>-</w:t>
        </w:r>
        <w:r w:rsidR="00D64125">
          <w:rPr>
            <w:rStyle w:val="Hyperlink"/>
            <w:highlight w:val="yellow"/>
            <w:lang w:val="en-GB"/>
          </w:rPr>
          <w:t>static</w:t>
        </w:r>
        <w:r w:rsidR="00D64125" w:rsidRPr="00A021FD">
          <w:rPr>
            <w:rStyle w:val="Hyperlink"/>
            <w:highlight w:val="yellow"/>
          </w:rPr>
          <w:t>/</w:t>
        </w:r>
        <w:r w:rsidR="00D64125">
          <w:rPr>
            <w:rStyle w:val="Hyperlink"/>
            <w:highlight w:val="yellow"/>
            <w:lang w:val="en-GB"/>
          </w:rPr>
          <w:t>evaluation</w:t>
        </w:r>
        <w:r w:rsidR="00D64125" w:rsidRPr="00A021FD">
          <w:rPr>
            <w:rStyle w:val="Hyperlink"/>
            <w:highlight w:val="yellow"/>
          </w:rPr>
          <w:t>/</w:t>
        </w:r>
        <w:r w:rsidR="00D64125">
          <w:rPr>
            <w:rStyle w:val="Hyperlink"/>
            <w:highlight w:val="yellow"/>
            <w:lang w:val="en-GB"/>
          </w:rPr>
          <w:t>library</w:t>
        </w:r>
        <w:r w:rsidR="00D64125" w:rsidRPr="00A021FD">
          <w:rPr>
            <w:rStyle w:val="Hyperlink"/>
            <w:highlight w:val="yellow"/>
          </w:rPr>
          <w:t>/</w:t>
        </w:r>
        <w:r w:rsidR="00D64125">
          <w:rPr>
            <w:rStyle w:val="Hyperlink"/>
            <w:highlight w:val="yellow"/>
            <w:lang w:val="en-GB"/>
          </w:rPr>
          <w:t>evaluation</w:t>
        </w:r>
        <w:r w:rsidR="00D64125" w:rsidRPr="00A021FD">
          <w:rPr>
            <w:rStyle w:val="Hyperlink"/>
            <w:highlight w:val="yellow"/>
          </w:rPr>
          <w:t>-</w:t>
        </w:r>
        <w:r w:rsidR="00D64125">
          <w:rPr>
            <w:rStyle w:val="Hyperlink"/>
            <w:highlight w:val="yellow"/>
            <w:lang w:val="en-GB"/>
          </w:rPr>
          <w:t>helpdesk</w:t>
        </w:r>
        <w:r w:rsidR="00D64125" w:rsidRPr="00A021FD">
          <w:rPr>
            <w:rStyle w:val="Hyperlink"/>
            <w:highlight w:val="yellow"/>
          </w:rPr>
          <w:t>-</w:t>
        </w:r>
        <w:r w:rsidR="00D64125">
          <w:rPr>
            <w:rStyle w:val="Hyperlink"/>
            <w:highlight w:val="yellow"/>
            <w:lang w:val="en-GB"/>
          </w:rPr>
          <w:t>publications</w:t>
        </w:r>
        <w:r w:rsidR="00D64125" w:rsidRPr="00A021FD">
          <w:rPr>
            <w:rStyle w:val="Hyperlink"/>
            <w:highlight w:val="yellow"/>
          </w:rPr>
          <w:t>/</w:t>
        </w:r>
        <w:r w:rsidR="00D64125">
          <w:rPr>
            <w:rStyle w:val="Hyperlink"/>
            <w:highlight w:val="yellow"/>
            <w:lang w:val="en-GB"/>
          </w:rPr>
          <w:t>en</w:t>
        </w:r>
        <w:r w:rsidR="00D64125" w:rsidRPr="00A021FD">
          <w:rPr>
            <w:rStyle w:val="Hyperlink"/>
            <w:highlight w:val="yellow"/>
          </w:rPr>
          <w:t>/</w:t>
        </w:r>
        <w:r w:rsidR="00D64125">
          <w:rPr>
            <w:rStyle w:val="Hyperlink"/>
            <w:highlight w:val="yellow"/>
            <w:lang w:val="en-GB"/>
          </w:rPr>
          <w:t>evaluation</w:t>
        </w:r>
        <w:r w:rsidR="00D64125" w:rsidRPr="00A021FD">
          <w:rPr>
            <w:rStyle w:val="Hyperlink"/>
            <w:highlight w:val="yellow"/>
          </w:rPr>
          <w:t>-</w:t>
        </w:r>
        <w:r w:rsidR="00D64125">
          <w:rPr>
            <w:rStyle w:val="Hyperlink"/>
            <w:highlight w:val="yellow"/>
            <w:lang w:val="en-GB"/>
          </w:rPr>
          <w:t>helpdesk</w:t>
        </w:r>
        <w:r w:rsidR="00D64125" w:rsidRPr="00A021FD">
          <w:rPr>
            <w:rStyle w:val="Hyperlink"/>
            <w:highlight w:val="yellow"/>
          </w:rPr>
          <w:t>-</w:t>
        </w:r>
        <w:r w:rsidR="00D64125">
          <w:rPr>
            <w:rStyle w:val="Hyperlink"/>
            <w:highlight w:val="yellow"/>
            <w:lang w:val="en-GB"/>
          </w:rPr>
          <w:t>publications</w:t>
        </w:r>
        <w:r w:rsidR="00D64125" w:rsidRPr="00A021FD">
          <w:rPr>
            <w:rStyle w:val="Hyperlink"/>
            <w:highlight w:val="yellow"/>
          </w:rPr>
          <w:t>_</w:t>
        </w:r>
        <w:r w:rsidR="00D64125">
          <w:rPr>
            <w:rStyle w:val="Hyperlink"/>
            <w:highlight w:val="yellow"/>
            <w:lang w:val="en-GB"/>
          </w:rPr>
          <w:t>en</w:t>
        </w:r>
        <w:r w:rsidR="00D64125" w:rsidRPr="00A021FD">
          <w:rPr>
            <w:rStyle w:val="Hyperlink"/>
            <w:highlight w:val="yellow"/>
          </w:rPr>
          <w:t>.</w:t>
        </w:r>
        <w:r w:rsidR="00D64125">
          <w:rPr>
            <w:rStyle w:val="Hyperlink"/>
            <w:highlight w:val="yellow"/>
            <w:lang w:val="en-GB"/>
          </w:rPr>
          <w:t>html</w:t>
        </w:r>
      </w:hyperlink>
    </w:p>
    <w:p w:rsidR="00143584" w:rsidRDefault="00D64125">
      <w:pPr>
        <w:pStyle w:val="HBox"/>
        <w:rPr>
          <w:rFonts w:cs="Arial"/>
          <w:highlight w:val="yellow"/>
        </w:rPr>
      </w:pPr>
      <w:r>
        <w:rPr>
          <w:highlight w:val="yellow"/>
        </w:rPr>
        <w:t xml:space="preserve">Насоки: Изготвяне и изпълнение на плана за оценка на ПРСР за периода 2014—2020 г., част II, глава 6, </w:t>
      </w:r>
      <w:hyperlink r:id="rId50" w:history="1">
        <w:r>
          <w:rPr>
            <w:rStyle w:val="Hyperlink"/>
            <w:highlight w:val="yellow"/>
            <w:lang w:val="en-GB"/>
          </w:rPr>
          <w:t>http</w:t>
        </w:r>
        <w:r w:rsidRPr="00A021FD">
          <w:rPr>
            <w:rStyle w:val="Hyperlink"/>
            <w:highlight w:val="yellow"/>
          </w:rPr>
          <w:t>://</w:t>
        </w:r>
        <w:r>
          <w:rPr>
            <w:rStyle w:val="Hyperlink"/>
            <w:highlight w:val="yellow"/>
            <w:lang w:val="en-GB"/>
          </w:rPr>
          <w:t>enrd</w:t>
        </w:r>
        <w:r w:rsidRPr="00A021FD">
          <w:rPr>
            <w:rStyle w:val="Hyperlink"/>
            <w:highlight w:val="yellow"/>
          </w:rPr>
          <w:t>.</w:t>
        </w:r>
        <w:r>
          <w:rPr>
            <w:rStyle w:val="Hyperlink"/>
            <w:highlight w:val="yellow"/>
            <w:lang w:val="en-GB"/>
          </w:rPr>
          <w:t>ec</w:t>
        </w:r>
        <w:r w:rsidRPr="00A021FD">
          <w:rPr>
            <w:rStyle w:val="Hyperlink"/>
            <w:highlight w:val="yellow"/>
          </w:rPr>
          <w:t>.</w:t>
        </w:r>
        <w:r>
          <w:rPr>
            <w:rStyle w:val="Hyperlink"/>
            <w:highlight w:val="yellow"/>
            <w:lang w:val="en-GB"/>
          </w:rPr>
          <w:t>europa</w:t>
        </w:r>
        <w:r w:rsidRPr="00A021FD">
          <w:rPr>
            <w:rStyle w:val="Hyperlink"/>
            <w:highlight w:val="yellow"/>
          </w:rPr>
          <w:t>.</w:t>
        </w:r>
        <w:r>
          <w:rPr>
            <w:rStyle w:val="Hyperlink"/>
            <w:highlight w:val="yellow"/>
            <w:lang w:val="en-GB"/>
          </w:rPr>
          <w:t>eu</w:t>
        </w:r>
        <w:r w:rsidRPr="00A021FD">
          <w:rPr>
            <w:rStyle w:val="Hyperlink"/>
            <w:highlight w:val="yellow"/>
          </w:rPr>
          <w:t>/</w:t>
        </w:r>
        <w:r>
          <w:rPr>
            <w:rStyle w:val="Hyperlink"/>
            <w:highlight w:val="yellow"/>
            <w:lang w:val="en-GB"/>
          </w:rPr>
          <w:t>evaluation</w:t>
        </w:r>
        <w:r w:rsidRPr="00A021FD">
          <w:rPr>
            <w:rStyle w:val="Hyperlink"/>
            <w:highlight w:val="yellow"/>
          </w:rPr>
          <w:t>/</w:t>
        </w:r>
        <w:r>
          <w:rPr>
            <w:rStyle w:val="Hyperlink"/>
            <w:highlight w:val="yellow"/>
            <w:lang w:val="en-GB"/>
          </w:rPr>
          <w:t>publications</w:t>
        </w:r>
        <w:r w:rsidRPr="00A021FD">
          <w:rPr>
            <w:rStyle w:val="Hyperlink"/>
            <w:highlight w:val="yellow"/>
          </w:rPr>
          <w:t>/</w:t>
        </w:r>
        <w:r>
          <w:rPr>
            <w:rStyle w:val="Hyperlink"/>
            <w:highlight w:val="yellow"/>
            <w:lang w:val="en-GB"/>
          </w:rPr>
          <w:t>e</w:t>
        </w:r>
        <w:r w:rsidRPr="00A021FD">
          <w:rPr>
            <w:rStyle w:val="Hyperlink"/>
            <w:highlight w:val="yellow"/>
          </w:rPr>
          <w:t>-</w:t>
        </w:r>
        <w:r>
          <w:rPr>
            <w:rStyle w:val="Hyperlink"/>
            <w:highlight w:val="yellow"/>
            <w:lang w:val="en-GB"/>
          </w:rPr>
          <w:t>library</w:t>
        </w:r>
        <w:r w:rsidRPr="00A021FD">
          <w:rPr>
            <w:rStyle w:val="Hyperlink"/>
            <w:highlight w:val="yellow"/>
          </w:rPr>
          <w:t>_</w:t>
        </w:r>
        <w:r>
          <w:rPr>
            <w:rStyle w:val="Hyperlink"/>
            <w:highlight w:val="yellow"/>
            <w:lang w:val="en-GB"/>
          </w:rPr>
          <w:t>en</w:t>
        </w:r>
      </w:hyperlink>
    </w:p>
    <w:p w:rsidR="00143584" w:rsidRDefault="00D64125">
      <w:pPr>
        <w:pStyle w:val="HBox"/>
        <w:rPr>
          <w:rFonts w:cs="Arial"/>
        </w:rPr>
      </w:pPr>
      <w:r>
        <w:rPr>
          <w:highlight w:val="yellow"/>
        </w:rPr>
        <w:t xml:space="preserve">Работен документ: Общи въпроси за оценка на програмите за развитие на селските райони за периода 2014—2020 г., </w:t>
      </w:r>
      <w:hyperlink r:id="rId51" w:history="1">
        <w:r>
          <w:rPr>
            <w:rStyle w:val="Hyperlink"/>
            <w:highlight w:val="yellow"/>
            <w:lang w:val="en-GB"/>
          </w:rPr>
          <w:t>http</w:t>
        </w:r>
        <w:r>
          <w:rPr>
            <w:rStyle w:val="Hyperlink"/>
            <w:highlight w:val="yellow"/>
          </w:rPr>
          <w:t>://</w:t>
        </w:r>
        <w:r>
          <w:rPr>
            <w:rStyle w:val="Hyperlink"/>
            <w:highlight w:val="yellow"/>
            <w:lang w:val="en-GB"/>
          </w:rPr>
          <w:t>enrd</w:t>
        </w:r>
        <w:r>
          <w:rPr>
            <w:rStyle w:val="Hyperlink"/>
            <w:highlight w:val="yellow"/>
          </w:rPr>
          <w:t>.</w:t>
        </w:r>
        <w:r>
          <w:rPr>
            <w:rStyle w:val="Hyperlink"/>
            <w:highlight w:val="yellow"/>
            <w:lang w:val="en-GB"/>
          </w:rPr>
          <w:t>ec</w:t>
        </w:r>
        <w:r>
          <w:rPr>
            <w:rStyle w:val="Hyperlink"/>
            <w:highlight w:val="yellow"/>
          </w:rPr>
          <w:t>.</w:t>
        </w:r>
        <w:r>
          <w:rPr>
            <w:rStyle w:val="Hyperlink"/>
            <w:highlight w:val="yellow"/>
            <w:lang w:val="en-GB"/>
          </w:rPr>
          <w:t>europa</w:t>
        </w:r>
        <w:r>
          <w:rPr>
            <w:rStyle w:val="Hyperlink"/>
            <w:highlight w:val="yellow"/>
          </w:rPr>
          <w:t>.</w:t>
        </w:r>
        <w:r>
          <w:rPr>
            <w:rStyle w:val="Hyperlink"/>
            <w:highlight w:val="yellow"/>
            <w:lang w:val="en-GB"/>
          </w:rPr>
          <w:t>eu</w:t>
        </w:r>
        <w:r>
          <w:rPr>
            <w:rStyle w:val="Hyperlink"/>
            <w:highlight w:val="yellow"/>
          </w:rPr>
          <w:t>/</w:t>
        </w:r>
        <w:r>
          <w:rPr>
            <w:rStyle w:val="Hyperlink"/>
            <w:highlight w:val="yellow"/>
            <w:lang w:val="en-GB"/>
          </w:rPr>
          <w:t>evaluation</w:t>
        </w:r>
        <w:r>
          <w:rPr>
            <w:rStyle w:val="Hyperlink"/>
            <w:highlight w:val="yellow"/>
          </w:rPr>
          <w:t>/</w:t>
        </w:r>
        <w:r>
          <w:rPr>
            <w:rStyle w:val="Hyperlink"/>
            <w:highlight w:val="yellow"/>
            <w:lang w:val="en-GB"/>
          </w:rPr>
          <w:t>publications</w:t>
        </w:r>
        <w:r>
          <w:rPr>
            <w:rStyle w:val="Hyperlink"/>
            <w:highlight w:val="yellow"/>
          </w:rPr>
          <w:t>/</w:t>
        </w:r>
        <w:r>
          <w:rPr>
            <w:rStyle w:val="Hyperlink"/>
            <w:highlight w:val="yellow"/>
            <w:lang w:val="en-GB"/>
          </w:rPr>
          <w:t>e</w:t>
        </w:r>
        <w:r>
          <w:rPr>
            <w:rStyle w:val="Hyperlink"/>
            <w:highlight w:val="yellow"/>
          </w:rPr>
          <w:t>-</w:t>
        </w:r>
        <w:r>
          <w:rPr>
            <w:rStyle w:val="Hyperlink"/>
            <w:highlight w:val="yellow"/>
            <w:lang w:val="en-GB"/>
          </w:rPr>
          <w:t>library</w:t>
        </w:r>
        <w:r>
          <w:rPr>
            <w:rStyle w:val="Hyperlink"/>
            <w:highlight w:val="yellow"/>
          </w:rPr>
          <w:t>_</w:t>
        </w:r>
        <w:r>
          <w:rPr>
            <w:rStyle w:val="Hyperlink"/>
            <w:highlight w:val="yellow"/>
            <w:lang w:val="en-GB"/>
          </w:rPr>
          <w:t>en</w:t>
        </w:r>
      </w:hyperlink>
    </w:p>
    <w:p w:rsidR="00143584" w:rsidRDefault="00D64125">
      <w:pPr>
        <w:pStyle w:val="HHeading1"/>
        <w:rPr>
          <w:rFonts w:cs="Arial"/>
        </w:rPr>
      </w:pPr>
      <w:bookmarkStart w:id="86" w:name="_Toc460936114"/>
      <w:bookmarkStart w:id="87" w:name="_Toc474938238"/>
      <w:r>
        <w:lastRenderedPageBreak/>
        <w:t>STRUCTURING THE EVALUATION</w:t>
      </w:r>
      <w:bookmarkEnd w:id="86"/>
      <w:bookmarkEnd w:id="87"/>
    </w:p>
    <w:p w:rsidR="00143584" w:rsidRDefault="00D64125">
      <w:pPr>
        <w:pStyle w:val="HStandard"/>
        <w:rPr>
          <w:rFonts w:cs="Arial"/>
        </w:rPr>
      </w:pPr>
      <w:r>
        <w:t xml:space="preserve">In the structuring phase, the evaluation stakeholders set up the </w:t>
      </w:r>
      <w:r>
        <w:rPr>
          <w:b/>
        </w:rPr>
        <w:t>evaluation approach</w:t>
      </w:r>
      <w:r>
        <w:t xml:space="preserve"> and establish the basics for collecting the </w:t>
      </w:r>
      <w:r>
        <w:rPr>
          <w:b/>
        </w:rPr>
        <w:t>evidence</w:t>
      </w:r>
      <w: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143584" w:rsidRDefault="00D64125">
      <w:pPr>
        <w:pStyle w:val="HStandard"/>
        <w:rPr>
          <w:rFonts w:cs="Arial"/>
        </w:rPr>
      </w:pPr>
      <w: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143584" w:rsidRDefault="00D64125">
      <w:pPr>
        <w:pStyle w:val="HStandard"/>
        <w:rPr>
          <w:rFonts w:cs="Arial"/>
        </w:rPr>
      </w:pPr>
      <w:r>
        <w:t xml:space="preserve">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  </w:t>
      </w:r>
    </w:p>
    <w:p w:rsidR="00143584" w:rsidRDefault="00D64125">
      <w:pPr>
        <w:pStyle w:val="HStandard"/>
        <w:rPr>
          <w:rFonts w:cs="Arial"/>
        </w:rPr>
      </w:pPr>
      <w:r>
        <w:t>As for conducting and reporting on the evaluation in the AIR 2017 the structuring phase should preferably focus on the legal requirement</w:t>
      </w:r>
      <w:r>
        <w:rPr>
          <w:rStyle w:val="FootnoteReference"/>
        </w:rPr>
        <w:footnoteReference w:id="56"/>
      </w:r>
      <w: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143584" w:rsidRDefault="00D64125">
      <w:pPr>
        <w:pStyle w:val="HStandard"/>
        <w:rPr>
          <w:rFonts w:cs="Arial"/>
        </w:rPr>
      </w:pPr>
      <w: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143584" w:rsidRDefault="00D64125">
      <w:pPr>
        <w:pStyle w:val="HHeading2"/>
        <w:rPr>
          <w:rFonts w:cs="Arial"/>
        </w:rPr>
      </w:pPr>
      <w:bookmarkStart w:id="88" w:name="_Toc460936115"/>
      <w:bookmarkStart w:id="89" w:name="_Toc474938239"/>
      <w:r>
        <w:t>Set up a consistent evaluation approach</w:t>
      </w:r>
      <w:bookmarkEnd w:id="88"/>
      <w:bookmarkEnd w:id="89"/>
    </w:p>
    <w:p w:rsidR="00143584" w:rsidRDefault="00D64125">
      <w:pPr>
        <w:pStyle w:val="HHeading3"/>
        <w:rPr>
          <w:rFonts w:cs="Arial"/>
        </w:rPr>
      </w:pPr>
      <w:bookmarkStart w:id="90" w:name="_Toc460936116"/>
      <w:bookmarkStart w:id="91" w:name="_Toc474938240"/>
      <w:r>
        <w:t>Selection of a suitable evaluation approach for the evaluation of RDP results in 2017</w:t>
      </w:r>
      <w:bookmarkEnd w:id="90"/>
      <w:bookmarkEnd w:id="91"/>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143584">
        <w:trPr>
          <w:jc w:val="center"/>
        </w:trPr>
        <w:tc>
          <w:tcPr>
            <w:tcW w:w="9071" w:type="dxa"/>
            <w:tcBorders>
              <w:bottom w:val="single" w:sz="4" w:space="0" w:color="6F6F6F" w:themeColor="text1"/>
            </w:tcBorders>
            <w:shd w:val="clear" w:color="auto" w:fill="F6B183" w:themeFill="background2" w:themeFillTint="99"/>
          </w:tcPr>
          <w:p w:rsidR="00143584" w:rsidRDefault="00D64125">
            <w:pPr>
              <w:pStyle w:val="HStandard"/>
              <w:rPr>
                <w:rFonts w:cs="Arial"/>
              </w:rPr>
            </w:pPr>
            <w: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143584">
        <w:trPr>
          <w:jc w:val="center"/>
        </w:trPr>
        <w:tc>
          <w:tcPr>
            <w:tcW w:w="9071" w:type="dxa"/>
            <w:shd w:val="clear" w:color="auto" w:fill="FCE5D5" w:themeFill="background2" w:themeFillTint="33"/>
          </w:tcPr>
          <w:p w:rsidR="00143584" w:rsidRDefault="00D64125">
            <w:pPr>
              <w:pStyle w:val="HHeading5"/>
              <w:rPr>
                <w:rFonts w:cs="Arial"/>
              </w:rPr>
            </w:pPr>
            <w:r>
              <w:t xml:space="preserve">Recommended working steps: </w:t>
            </w:r>
          </w:p>
          <w:p w:rsidR="00143584" w:rsidRDefault="00D64125">
            <w:pPr>
              <w:pStyle w:val="Hlistbullet"/>
              <w:rPr>
                <w:rFonts w:cs="Arial"/>
              </w:rPr>
            </w:pPr>
            <w:r>
              <w:rPr>
                <w:b/>
              </w:rPr>
              <w:t>Review what the evaluation approach needs to be able to capture for the specific evaluation in 2017</w:t>
            </w:r>
            <w: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143584" w:rsidRDefault="00D64125">
            <w:pPr>
              <w:pStyle w:val="Hlistbullet"/>
              <w:rPr>
                <w:rFonts w:cs="Arial"/>
              </w:rPr>
            </w:pPr>
            <w:r>
              <w:rPr>
                <w:b/>
              </w:rPr>
              <w:t>Review various evaluation approaches based on quality criteria:</w:t>
            </w:r>
            <w:r>
              <w:t xml:space="preserve"> Different evaluation </w:t>
            </w:r>
            <w:r>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Pr>
                <w:b/>
                <w:color w:val="57825E" w:themeColor="accent4"/>
              </w:rPr>
              <w:t>(</w:t>
            </w:r>
            <w:r>
              <w:rPr>
                <w:rFonts w:cs="Arial"/>
                <w:b/>
                <w:color w:val="57825E" w:themeColor="accent4"/>
              </w:rPr>
              <w:fldChar w:fldCharType="begin"/>
            </w:r>
            <w:r>
              <w:rPr>
                <w:rFonts w:cs="Arial"/>
                <w:b/>
                <w:color w:val="57825E" w:themeColor="accent4"/>
              </w:rPr>
              <w:instrText xml:space="preserve"> REF _Ref434849342 \w \h  \* MERGEFORMAT </w:instrText>
            </w:r>
            <w:r>
              <w:rPr>
                <w:rFonts w:cs="Arial"/>
                <w:b/>
                <w:color w:val="57825E" w:themeColor="accent4"/>
              </w:rPr>
            </w:r>
            <w:r>
              <w:rPr>
                <w:rFonts w:cs="Arial"/>
                <w:b/>
                <w:color w:val="57825E" w:themeColor="accent4"/>
              </w:rPr>
              <w:fldChar w:fldCharType="separate"/>
            </w:r>
            <w:r>
              <w:rPr>
                <w:rFonts w:cs="Arial"/>
                <w:b/>
                <w:color w:val="57825E" w:themeColor="accent4"/>
              </w:rPr>
              <w:t>0</w:t>
            </w:r>
            <w:r>
              <w:rPr>
                <w:rFonts w:cs="Arial"/>
                <w:b/>
                <w:color w:val="57825E" w:themeColor="accent4"/>
              </w:rPr>
              <w:fldChar w:fldCharType="end"/>
            </w:r>
            <w:r>
              <w:rPr>
                <w:b/>
                <w:color w:val="57825E" w:themeColor="accent4"/>
              </w:rPr>
              <w:t xml:space="preserve"> - Criteria for selection of evaluation approach)</w:t>
            </w:r>
            <w:r>
              <w:rPr>
                <w:color w:val="57825E" w:themeColor="accent4"/>
              </w:rPr>
              <w:t xml:space="preserve"> </w:t>
            </w:r>
          </w:p>
          <w:p w:rsidR="00143584" w:rsidRDefault="00D64125">
            <w:pPr>
              <w:pStyle w:val="Hlistbullet"/>
              <w:rPr>
                <w:rFonts w:cs="Arial"/>
              </w:rPr>
            </w:pPr>
            <w:r>
              <w:rPr>
                <w:b/>
              </w:rPr>
              <w:t>Assess the adequateness of the approaches for the assessment of programme effectiveness and efficiency</w:t>
            </w:r>
            <w: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143584" w:rsidRDefault="00D64125">
            <w:pPr>
              <w:pStyle w:val="Hlistbullet"/>
              <w:rPr>
                <w:rFonts w:cs="Arial"/>
              </w:rPr>
            </w:pPr>
            <w:r>
              <w:rPr>
                <w:b/>
              </w:rPr>
              <w:t>Assess the adequateness of the approaches for analysing the achievements of RDP objectives</w:t>
            </w:r>
            <w: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143584">
        <w:trPr>
          <w:jc w:val="center"/>
        </w:trPr>
        <w:tc>
          <w:tcPr>
            <w:tcW w:w="9071" w:type="dxa"/>
          </w:tcPr>
          <w:p w:rsidR="00143584" w:rsidRDefault="00D64125">
            <w:pPr>
              <w:rPr>
                <w:rFonts w:cs="Arial"/>
                <w:sz w:val="20"/>
                <w:szCs w:val="20"/>
              </w:rPr>
            </w:pPr>
            <w:r>
              <w:rPr>
                <w:b/>
                <w:color w:val="373737" w:themeColor="background1" w:themeShade="40"/>
                <w:sz w:val="20"/>
              </w:rPr>
              <w:lastRenderedPageBreak/>
              <w:t xml:space="preserve">Expected outcome: </w:t>
            </w:r>
            <w:r>
              <w:rPr>
                <w:color w:val="373737" w:themeColor="background1" w:themeShade="40"/>
                <w:sz w:val="20"/>
              </w:rPr>
              <w:t xml:space="preserve">Decision on evaluation approach. </w:t>
            </w:r>
          </w:p>
        </w:tc>
      </w:tr>
    </w:tbl>
    <w:p w:rsidR="00143584" w:rsidRDefault="00D64125">
      <w:pPr>
        <w:pStyle w:val="HHeading5"/>
        <w:rPr>
          <w:rFonts w:cs="Arial"/>
        </w:rPr>
      </w:pPr>
      <w:r>
        <w:t>What needs to be captured by the evaluation approach?</w:t>
      </w:r>
    </w:p>
    <w:p w:rsidR="00143584" w:rsidRDefault="00D64125">
      <w:pPr>
        <w:pStyle w:val="HStandard"/>
        <w:rPr>
          <w:rFonts w:cs="Arial"/>
        </w:rPr>
      </w:pPr>
      <w: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143584" w:rsidRDefault="00D64125">
      <w:pPr>
        <w:pStyle w:val="HStandard"/>
        <w:rPr>
          <w:rFonts w:cs="Arial"/>
        </w:rPr>
      </w:pPr>
      <w:r>
        <w:t>The assessment of programme results</w:t>
      </w:r>
      <w:r>
        <w:rPr>
          <w:rStyle w:val="FootnoteReference"/>
        </w:rPr>
        <w:footnoteReference w:id="57"/>
      </w:r>
      <w:r>
        <w:t xml:space="preserve"> requires taking into consideration:</w:t>
      </w:r>
    </w:p>
    <w:p w:rsidR="00143584" w:rsidRDefault="00D64125">
      <w:pPr>
        <w:pStyle w:val="Hlistbullet"/>
      </w:pPr>
      <w:r>
        <w:t xml:space="preserve">Direct programme effects which occur at the level of the programme beneficiaries (to see them involves, in most cases, comparison of the effects between programme beneficiaries and non-beneficiaries), </w:t>
      </w:r>
    </w:p>
    <w:p w:rsidR="00143584" w:rsidRDefault="00D64125">
      <w:pPr>
        <w:pStyle w:val="Hlistbullet"/>
      </w:pPr>
      <w: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143584" w:rsidRDefault="00D64125">
      <w:pPr>
        <w:pStyle w:val="Hlistbullet"/>
        <w:numPr>
          <w:ilvl w:val="0"/>
          <w:numId w:val="0"/>
        </w:numPr>
        <w:rPr>
          <w:rFonts w:cs="Arial"/>
        </w:rPr>
      </w:pPr>
      <w:r>
        <w:t>In the assessment of RDP results the calculation of the results indicator covers the operations:</w:t>
      </w:r>
    </w:p>
    <w:p w:rsidR="00143584" w:rsidRDefault="00D64125">
      <w:pPr>
        <w:pStyle w:val="Hlistbullet"/>
      </w:pPr>
      <w:r>
        <w:t xml:space="preserve">Primarily programmed and implemented under the FA which relates to the results indicator.  </w:t>
      </w:r>
    </w:p>
    <w:p w:rsidR="00143584" w:rsidRDefault="00D64125">
      <w:pPr>
        <w:pStyle w:val="Hlistbullet"/>
      </w:pPr>
      <w:r>
        <w:t>Operations which are programmed under other FAs but which contribute secondarily to the above result indicator.</w:t>
      </w:r>
    </w:p>
    <w:p w:rsidR="00143584" w:rsidRDefault="00D64125">
      <w:pPr>
        <w:pStyle w:val="HStandard"/>
        <w:rPr>
          <w:rFonts w:cs="Arial"/>
        </w:rPr>
      </w:pPr>
      <w:r>
        <w:t xml:space="preserve">To assess </w:t>
      </w:r>
      <w:r>
        <w:rPr>
          <w:b/>
        </w:rPr>
        <w:t>secondary contributions</w:t>
      </w:r>
      <w:r>
        <w:t xml:space="preserve"> of operations to focus areas other than those under which they are programmed, Member States can use sampling techniques. Samples are based on information </w:t>
      </w:r>
      <w:r>
        <w:lastRenderedPageBreak/>
        <w:t xml:space="preserve">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143584" w:rsidRDefault="00D64125">
      <w:pPr>
        <w:pStyle w:val="Hlistbullet2"/>
        <w:numPr>
          <w:ilvl w:val="0"/>
          <w:numId w:val="0"/>
        </w:numPr>
        <w:rPr>
          <w:rFonts w:cs="Arial"/>
        </w:rPr>
      </w:pPr>
      <w: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143584" w:rsidRDefault="00D64125">
      <w:pPr>
        <w:pStyle w:val="H-Heading4"/>
      </w:pPr>
      <w:r>
        <w:t xml:space="preserve">Challenges in the assessment of programme results </w:t>
      </w:r>
    </w:p>
    <w:p w:rsidR="00143584" w:rsidRDefault="00D64125">
      <w:pPr>
        <w:pStyle w:val="HStandard"/>
        <w:rPr>
          <w:rFonts w:cs="Arial"/>
        </w:rPr>
      </w:pPr>
      <w:r>
        <w:t xml:space="preserve">The </w:t>
      </w:r>
      <w:r>
        <w:rPr>
          <w:b/>
        </w:rPr>
        <w:t>major challenge</w:t>
      </w:r>
      <w: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Pr>
          <w:rStyle w:val="FootnoteReference"/>
        </w:rPr>
        <w:footnoteReference w:id="58"/>
      </w:r>
      <w:r>
        <w:t>:</w:t>
      </w:r>
    </w:p>
    <w:p w:rsidR="00143584" w:rsidRDefault="00D64125">
      <w:pPr>
        <w:pStyle w:val="Hlistbullet"/>
        <w:numPr>
          <w:ilvl w:val="0"/>
          <w:numId w:val="0"/>
        </w:numPr>
        <w:rPr>
          <w:rFonts w:cs="Arial"/>
        </w:rPr>
      </w:pPr>
      <w:r>
        <w:t>The scope of socio-economic and environmental objectives is very broad because of the heterogeneity of rural areas and their specific strengths and weaknesses;</w:t>
      </w:r>
    </w:p>
    <w:p w:rsidR="00143584" w:rsidRDefault="00D64125">
      <w:pPr>
        <w:pStyle w:val="HStandard"/>
        <w:rPr>
          <w:rFonts w:cs="Arial"/>
        </w:rPr>
      </w:pPr>
      <w: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Pr>
          <w:i/>
          <w:vertAlign w:val="superscript"/>
        </w:rPr>
        <w:footnoteReference w:id="59"/>
      </w:r>
      <w:r>
        <w:rPr>
          <w:vertAlign w:val="superscript"/>
        </w:rPr>
        <w:t>.</w:t>
      </w:r>
    </w:p>
    <w:p w:rsidR="00143584" w:rsidRDefault="00D64125">
      <w:pPr>
        <w:pStyle w:val="HStandard"/>
        <w:rPr>
          <w:rFonts w:cs="Arial"/>
        </w:rPr>
      </w:pPr>
      <w: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rsidR="00143584" w:rsidRDefault="00D64125">
      <w:pPr>
        <w:pStyle w:val="HStandard"/>
        <w:rPr>
          <w:rFonts w:cs="Arial"/>
        </w:rPr>
      </w:pPr>
      <w: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143584" w:rsidRDefault="00D64125">
      <w:pPr>
        <w:pStyle w:val="HStandard"/>
        <w:rPr>
          <w:rFonts w:cs="Arial"/>
        </w:rPr>
      </w:pPr>
      <w: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143584" w:rsidRDefault="00D64125">
      <w:pPr>
        <w:pStyle w:val="H-Heading4"/>
      </w:pPr>
      <w:r>
        <w:lastRenderedPageBreak/>
        <w:t>Selection of the most advantageous evaluation approach</w:t>
      </w:r>
    </w:p>
    <w:p w:rsidR="00143584" w:rsidRDefault="00D64125">
      <w:pPr>
        <w:pStyle w:val="HStandard"/>
        <w:rPr>
          <w:rFonts w:cs="Arial"/>
        </w:rPr>
      </w:pPr>
      <w:r>
        <w:t xml:space="preserve">There are four basic evaluation approaches: a) theory of change, b) quantitative, c) qualitative and d) mixed approaches (see </w:t>
      </w:r>
      <w:hyperlink r:id="rId52">
        <w:r>
          <w:rPr>
            <w:rStyle w:val="Hyperlink"/>
          </w:rPr>
          <w:t>Guidelines for ex-post evaluation of RDPs 2007-2013</w:t>
        </w:r>
      </w:hyperlink>
      <w:r>
        <w:t xml:space="preserve">). </w:t>
      </w:r>
    </w:p>
    <w:p w:rsidR="00143584" w:rsidRDefault="00D64125">
      <w:pPr>
        <w:pStyle w:val="HStandard"/>
        <w:rPr>
          <w:rFonts w:cs="Arial"/>
        </w:rPr>
      </w:pPr>
      <w: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143584" w:rsidRDefault="00D64125">
      <w:pPr>
        <w:pStyle w:val="HStandard"/>
        <w:rPr>
          <w:rFonts w:cs="Arial"/>
        </w:rPr>
      </w:pPr>
      <w: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143584" w:rsidRDefault="00D64125">
      <w:pPr>
        <w:pStyle w:val="HStandard"/>
        <w:rPr>
          <w:rFonts w:cs="Arial"/>
        </w:rPr>
      </w:pPr>
      <w: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143584" w:rsidRDefault="00D64125">
      <w:pPr>
        <w:pStyle w:val="HStandard"/>
        <w:rPr>
          <w:rFonts w:cs="Arial"/>
        </w:rPr>
      </w:pPr>
      <w: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Pr>
          <w:rStyle w:val="FootnoteReference"/>
        </w:rPr>
        <w:footnoteReference w:id="60"/>
      </w:r>
      <w:r>
        <w:t xml:space="preserve">. </w:t>
      </w:r>
    </w:p>
    <w:p w:rsidR="00143584" w:rsidRDefault="00D64125">
      <w:pPr>
        <w:pStyle w:val="HHeading5"/>
        <w:rPr>
          <w:rFonts w:cs="Arial"/>
        </w:rPr>
      </w:pPr>
      <w:r>
        <w:t xml:space="preserve">Further reading </w:t>
      </w:r>
    </w:p>
    <w:p w:rsidR="00143584" w:rsidRDefault="00D64125">
      <w:pPr>
        <w:pStyle w:val="HBox"/>
        <w:rPr>
          <w:rFonts w:cs="Arial"/>
        </w:rPr>
      </w:pPr>
      <w:r>
        <w:t xml:space="preserve">Capturing the success of your RDP: guidelines for ex post evaluation of 2007-2013 RDPs, Chapter 4, Part II, </w:t>
      </w:r>
      <w:r>
        <w:rPr>
          <w:rStyle w:val="Hyperlink"/>
        </w:rPr>
        <w:t>e</w:t>
      </w:r>
      <w:hyperlink r:id="rId53">
        <w:r>
          <w:rPr>
            <w:rStyle w:val="Hyperlink"/>
          </w:rPr>
          <w:t>nrd.ec.europa.eu/enrd-static/evaluation/library/evaluation-helpdesk-publications/en/evaluation-helpdesk-publications_en.html</w:t>
        </w:r>
      </w:hyperlink>
    </w:p>
    <w:p w:rsidR="00143584" w:rsidRDefault="00D64125">
      <w:pPr>
        <w:pStyle w:val="HHeading3"/>
        <w:rPr>
          <w:rFonts w:cs="Arial"/>
        </w:rPr>
      </w:pPr>
      <w:bookmarkStart w:id="92" w:name="_Toc460936117"/>
      <w:bookmarkStart w:id="93" w:name="_Toc474938241"/>
      <w:r>
        <w:t>Select evaluation methods and their combinations</w:t>
      </w:r>
      <w:bookmarkEnd w:id="92"/>
      <w:bookmarkEnd w:id="93"/>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143584">
        <w:trPr>
          <w:jc w:val="center"/>
        </w:trPr>
        <w:tc>
          <w:tcPr>
            <w:tcW w:w="9071" w:type="dxa"/>
            <w:tcBorders>
              <w:bottom w:val="single" w:sz="4" w:space="0" w:color="6F6F6F" w:themeColor="text1"/>
            </w:tcBorders>
            <w:shd w:val="clear" w:color="auto" w:fill="F6B183" w:themeFill="background2" w:themeFillTint="99"/>
          </w:tcPr>
          <w:p w:rsidR="00143584" w:rsidRDefault="00D64125">
            <w:pPr>
              <w:pStyle w:val="HStandard"/>
              <w:rPr>
                <w:rFonts w:cs="Arial"/>
              </w:rPr>
            </w:pPr>
            <w: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143584">
        <w:trPr>
          <w:jc w:val="center"/>
        </w:trPr>
        <w:tc>
          <w:tcPr>
            <w:tcW w:w="9071" w:type="dxa"/>
            <w:shd w:val="clear" w:color="auto" w:fill="FCE5D5" w:themeFill="background2" w:themeFillTint="33"/>
          </w:tcPr>
          <w:p w:rsidR="00143584" w:rsidRDefault="00D64125">
            <w:pPr>
              <w:pStyle w:val="HHeading5"/>
              <w:rPr>
                <w:rFonts w:cs="Arial"/>
              </w:rPr>
            </w:pPr>
            <w:r>
              <w:t xml:space="preserve">Recommended working steps: </w:t>
            </w:r>
          </w:p>
          <w:p w:rsidR="00143584" w:rsidRDefault="00D64125">
            <w:pPr>
              <w:pStyle w:val="Hlistbullet"/>
              <w:rPr>
                <w:rFonts w:eastAsiaTheme="majorEastAsia" w:cs="Arial"/>
              </w:rPr>
            </w:pPr>
            <w:r>
              <w:rPr>
                <w:rFonts w:eastAsiaTheme="majorEastAsia"/>
                <w:b/>
              </w:rPr>
              <w:t>Verify the applicability of a given evaluation method in the context of a pre-selected evaluation approach</w:t>
            </w:r>
            <w:r>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rsidR="00143584" w:rsidRDefault="00D64125">
            <w:pPr>
              <w:pStyle w:val="Hlistbullet"/>
              <w:rPr>
                <w:rFonts w:eastAsiaTheme="majorEastAsia" w:cs="Arial"/>
              </w:rPr>
            </w:pPr>
            <w:r>
              <w:rPr>
                <w:rFonts w:eastAsiaTheme="majorEastAsia"/>
                <w:b/>
              </w:rPr>
              <w:lastRenderedPageBreak/>
              <w:t>Review the ability of a method to meet basic evaluation standards</w:t>
            </w:r>
            <w: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143584" w:rsidRDefault="00D64125">
            <w:pPr>
              <w:pStyle w:val="Hlistbullet"/>
              <w:rPr>
                <w:rFonts w:eastAsiaTheme="majorEastAsia"/>
              </w:rPr>
            </w:pPr>
            <w:r>
              <w:rPr>
                <w:rFonts w:eastAsiaTheme="majorEastAsia"/>
                <w:b/>
              </w:rPr>
              <w:t>Consider the budget, time and data constraints</w:t>
            </w:r>
            <w: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143584" w:rsidRDefault="00D64125">
            <w:pPr>
              <w:pStyle w:val="Hlistbullet"/>
              <w:rPr>
                <w:rFonts w:eastAsiaTheme="majorEastAsia"/>
              </w:rPr>
            </w:pPr>
            <w:r>
              <w:rPr>
                <w:rFonts w:eastAsiaTheme="majorEastAsia"/>
                <w:b/>
              </w:rPr>
              <w:t>Selection of suitable methods</w:t>
            </w:r>
            <w: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143584">
        <w:trPr>
          <w:jc w:val="center"/>
        </w:trPr>
        <w:tc>
          <w:tcPr>
            <w:tcW w:w="9071" w:type="dxa"/>
            <w:shd w:val="clear" w:color="auto" w:fill="FFFFFF" w:themeFill="accent1" w:themeFillTint="33"/>
          </w:tcPr>
          <w:p w:rsidR="00143584" w:rsidRDefault="00D64125">
            <w:pPr>
              <w:pStyle w:val="HStandard"/>
              <w:rPr>
                <w:rFonts w:cs="Arial"/>
              </w:rPr>
            </w:pPr>
            <w:r>
              <w:rPr>
                <w:b/>
              </w:rPr>
              <w:lastRenderedPageBreak/>
              <w:t>Expected outcome</w:t>
            </w:r>
            <w:r>
              <w:t>: Selected evaluation methods</w:t>
            </w:r>
          </w:p>
        </w:tc>
      </w:tr>
    </w:tbl>
    <w:p w:rsidR="00143584" w:rsidRDefault="00D64125">
      <w:pPr>
        <w:pStyle w:val="H-Heading4"/>
      </w:pPr>
      <w:r>
        <w:t>What should be considered in the selection of suitable evaluation methods?</w:t>
      </w:r>
    </w:p>
    <w:p w:rsidR="00143584" w:rsidRDefault="00D64125">
      <w:pPr>
        <w:pStyle w:val="HStandard"/>
        <w:rPr>
          <w:rFonts w:cs="Arial"/>
        </w:rPr>
      </w:pPr>
      <w:r>
        <w:t>In the process of selecting a suitable method, the following issues are crucial</w:t>
      </w:r>
      <w:r>
        <w:rPr>
          <w:rStyle w:val="FootnoteReference"/>
        </w:rPr>
        <w:footnoteReference w:id="61"/>
      </w:r>
      <w:r>
        <w:t>:</w:t>
      </w:r>
    </w:p>
    <w:p w:rsidR="00143584" w:rsidRDefault="00D64125">
      <w:pPr>
        <w:pStyle w:val="Hlistbullet"/>
        <w:rPr>
          <w:rFonts w:cs="Arial"/>
        </w:rPr>
      </w:pPr>
      <w: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Pr>
          <w:rStyle w:val="FootnoteReference"/>
        </w:rPr>
        <w:footnoteReference w:id="62"/>
      </w:r>
      <w:r>
        <w:t>. Restrictions on the access of individual data may decrease the level of transparency but model specification, estimation techniques, and test statistics should be transparent even in such cases.</w:t>
      </w:r>
    </w:p>
    <w:p w:rsidR="00143584" w:rsidRDefault="00D64125">
      <w:pPr>
        <w:pStyle w:val="Hlistbullet"/>
        <w:rPr>
          <w:rFonts w:cs="Arial"/>
        </w:rPr>
      </w:pPr>
      <w:r>
        <w:t xml:space="preserve">Methods that can provide quantitative results are generally preferred; however, other methods may still be useful when there are restrictions in the use of quantitative methods (e.g. data gaps, etc.) </w:t>
      </w:r>
    </w:p>
    <w:p w:rsidR="00143584" w:rsidRDefault="00D64125">
      <w:pPr>
        <w:pStyle w:val="Hlistbullet"/>
        <w:rPr>
          <w:rFonts w:cs="Arial"/>
        </w:rPr>
      </w:pPr>
      <w: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143584" w:rsidRDefault="00D64125">
      <w:pPr>
        <w:pStyle w:val="Hlistbullet"/>
        <w:rPr>
          <w:rFonts w:cs="Arial"/>
        </w:rPr>
      </w:pPr>
      <w:r>
        <w:t>The results of different methods are expressed in different scales: e.g. counterfactual econometric and quantitative methods (e.g. Propensity-Score Matching</w:t>
      </w:r>
      <w:r>
        <w:rPr>
          <w:rStyle w:val="FootnoteReference"/>
        </w:rPr>
        <w:footnoteReference w:id="63"/>
      </w:r>
      <w: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143584" w:rsidRDefault="00D64125">
      <w:pPr>
        <w:pStyle w:val="Hlistbullet"/>
        <w:rPr>
          <w:rFonts w:cs="Arial"/>
        </w:rPr>
      </w:pPr>
      <w: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w:t>
      </w:r>
      <w:r>
        <w:lastRenderedPageBreak/>
        <w:t xml:space="preserve">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143584" w:rsidRDefault="00D64125">
      <w:pPr>
        <w:pStyle w:val="Hlistbullet"/>
        <w:rPr>
          <w:rFonts w:cs="Arial"/>
        </w:rPr>
      </w:pPr>
      <w: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143584" w:rsidRDefault="00D64125">
      <w:pPr>
        <w:pStyle w:val="Hlistbullet"/>
        <w:rPr>
          <w:rFonts w:cs="Arial"/>
        </w:rPr>
      </w:pPr>
      <w: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143584" w:rsidRDefault="00D64125">
      <w:pPr>
        <w:pStyle w:val="Hlistbullet"/>
        <w:rPr>
          <w:rFonts w:cs="Arial"/>
        </w:rPr>
      </w:pPr>
      <w:r>
        <w:t xml:space="preserve">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  </w:t>
      </w:r>
    </w:p>
    <w:p w:rsidR="00143584" w:rsidRDefault="00D64125">
      <w:pPr>
        <w:pStyle w:val="Hlistbullet"/>
        <w:rPr>
          <w:rFonts w:cs="Arial"/>
        </w:rPr>
      </w:pPr>
      <w: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143584" w:rsidRDefault="00D64125">
      <w:pPr>
        <w:pStyle w:val="Hlistbullet"/>
      </w:pPr>
      <w: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Pr>
          <w:rStyle w:val="FootnoteReference"/>
        </w:rPr>
        <w:footnoteReference w:id="64"/>
      </w:r>
      <w:r>
        <w:t>.</w:t>
      </w:r>
    </w:p>
    <w:p w:rsidR="00143584" w:rsidRDefault="00D64125">
      <w:pPr>
        <w:pStyle w:val="HHeading5"/>
        <w:rPr>
          <w:rFonts w:cs="Arial"/>
        </w:rPr>
      </w:pPr>
      <w:r>
        <w:t>Specificities of LEADER</w:t>
      </w:r>
    </w:p>
    <w:p w:rsidR="00143584" w:rsidRDefault="00D64125">
      <w:pPr>
        <w:pStyle w:val="HStandard"/>
        <w:rPr>
          <w:rFonts w:cs="Arial"/>
        </w:rPr>
      </w:pPr>
      <w: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rsidR="00143584" w:rsidRDefault="00D64125">
      <w:pPr>
        <w:pStyle w:val="HStandard"/>
        <w:rPr>
          <w:rFonts w:cs="Arial"/>
        </w:rPr>
      </w:pPr>
      <w: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143584" w:rsidRDefault="00D64125">
      <w:pPr>
        <w:pStyle w:val="HHeadingfigures"/>
      </w:pPr>
      <w:bookmarkStart w:id="94" w:name="_Toc460936157"/>
      <w:bookmarkStart w:id="95" w:name="_Toc474937856"/>
      <w:r>
        <w:lastRenderedPageBreak/>
        <w:t>LEADER as an evaluation topic.</w:t>
      </w:r>
      <w:bookmarkEnd w:id="94"/>
      <w:bookmarkEnd w:id="95"/>
    </w:p>
    <w:p w:rsidR="00143584" w:rsidRDefault="00D64125">
      <w:pPr>
        <w:jc w:val="center"/>
        <w:rPr>
          <w:rFonts w:cs="Arial"/>
        </w:rPr>
      </w:pPr>
      <w:r>
        <w:rPr>
          <w:rFonts w:cs="Arial"/>
          <w:noProof/>
          <w:lang w:val="en-GB" w:eastAsia="en-GB" w:bidi="ar-SA"/>
        </w:rPr>
        <w:drawing>
          <wp:inline distT="0" distB="0" distL="0" distR="0">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4"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143584" w:rsidRDefault="00D64125">
      <w:pPr>
        <w:pStyle w:val="HSource"/>
        <w:rPr>
          <w:rFonts w:cs="Arial"/>
        </w:rPr>
      </w:pPr>
      <w:r>
        <w:t>Source: European Evaluation Helpdesk for Rural Development, 2015</w:t>
      </w:r>
    </w:p>
    <w:p w:rsidR="00143584" w:rsidRDefault="00D64125">
      <w:pPr>
        <w:pStyle w:val="HStandard"/>
        <w:rPr>
          <w:rFonts w:cs="Arial"/>
        </w:rPr>
      </w:pPr>
      <w: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143584" w:rsidRDefault="00D64125">
      <w:pPr>
        <w:pStyle w:val="HStandard"/>
        <w:rPr>
          <w:rFonts w:cs="Arial"/>
        </w:rPr>
      </w:pPr>
      <w: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rsidR="00143584" w:rsidRDefault="00D64125">
      <w:pPr>
        <w:pStyle w:val="HHeading5"/>
        <w:rPr>
          <w:rFonts w:cs="Arial"/>
        </w:rPr>
      </w:pPr>
      <w:r>
        <w:t>Specificities of TA and the NRN</w:t>
      </w:r>
    </w:p>
    <w:p w:rsidR="00143584" w:rsidRDefault="00D64125">
      <w:pPr>
        <w:pStyle w:val="HStandard"/>
        <w:rPr>
          <w:rFonts w:cs="Arial"/>
        </w:rPr>
      </w:pPr>
      <w: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143584" w:rsidRDefault="00D64125">
      <w:pPr>
        <w:pStyle w:val="HHeading5"/>
        <w:rPr>
          <w:rFonts w:cs="Arial"/>
        </w:rPr>
      </w:pPr>
      <w:r>
        <w:t xml:space="preserve">Further reading </w:t>
      </w:r>
    </w:p>
    <w:p w:rsidR="00143584" w:rsidRDefault="00D64125">
      <w:pPr>
        <w:pStyle w:val="HBox"/>
        <w:rPr>
          <w:rFonts w:cs="Arial"/>
        </w:rPr>
      </w:pPr>
      <w:r>
        <w:t xml:space="preserve">Capturing the success of your RDP: guidelines for ex post evaluation of 2007-2013 RDPs, Chapter 4, Part II, </w:t>
      </w:r>
      <w:r>
        <w:rPr>
          <w:rStyle w:val="Hyperlink"/>
        </w:rPr>
        <w:t>e</w:t>
      </w:r>
      <w:hyperlink r:id="rId55">
        <w:r>
          <w:rPr>
            <w:rStyle w:val="Hyperlink"/>
          </w:rPr>
          <w:t>nrd.ec.europa.eu/enrd-static/evaluation/library/evaluation-helpdesk-publications/en/evaluation-helpdesk-publications_en.html</w:t>
        </w:r>
      </w:hyperlink>
    </w:p>
    <w:p w:rsidR="00143584" w:rsidRDefault="00D64125">
      <w:pPr>
        <w:pStyle w:val="HHeading2"/>
        <w:rPr>
          <w:rFonts w:cs="Arial"/>
        </w:rPr>
      </w:pPr>
      <w:bookmarkStart w:id="96" w:name="_Toc428969473"/>
      <w:bookmarkStart w:id="97" w:name="_Toc460936118"/>
      <w:bookmarkStart w:id="98" w:name="_Toc474938242"/>
      <w:r>
        <w:lastRenderedPageBreak/>
        <w:t>Establish the evidence for evaluation</w:t>
      </w:r>
      <w:bookmarkEnd w:id="96"/>
      <w:bookmarkEnd w:id="97"/>
      <w:bookmarkEnd w:id="98"/>
      <w:r>
        <w:t xml:space="preserve"> </w:t>
      </w:r>
    </w:p>
    <w:p w:rsidR="00143584" w:rsidRDefault="00D64125">
      <w:pPr>
        <w:pStyle w:val="HHeading3"/>
        <w:tabs>
          <w:tab w:val="clear" w:pos="567"/>
          <w:tab w:val="clear" w:pos="720"/>
        </w:tabs>
        <w:rPr>
          <w:rFonts w:cs="Arial"/>
        </w:rPr>
      </w:pPr>
      <w:bookmarkStart w:id="99" w:name="_Toc460936119"/>
      <w:bookmarkStart w:id="100" w:name="_Toc474938243"/>
      <w:r>
        <w:t>Review data requirements for the chosen methods</w:t>
      </w:r>
      <w:bookmarkEnd w:id="99"/>
      <w:bookmarkEnd w:id="100"/>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143584">
        <w:trPr>
          <w:jc w:val="center"/>
        </w:trPr>
        <w:tc>
          <w:tcPr>
            <w:tcW w:w="9071" w:type="dxa"/>
            <w:tcBorders>
              <w:bottom w:val="single" w:sz="4" w:space="0" w:color="6F6F6F" w:themeColor="text1"/>
            </w:tcBorders>
            <w:shd w:val="clear" w:color="auto" w:fill="F6B183" w:themeFill="background2" w:themeFillTint="99"/>
          </w:tcPr>
          <w:p w:rsidR="00143584" w:rsidRDefault="00D64125">
            <w:pPr>
              <w:pStyle w:val="HStandard"/>
              <w:rPr>
                <w:rFonts w:cs="Arial"/>
              </w:rPr>
            </w:pPr>
            <w: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143584">
        <w:trPr>
          <w:jc w:val="center"/>
        </w:trPr>
        <w:tc>
          <w:tcPr>
            <w:tcW w:w="9071" w:type="dxa"/>
            <w:shd w:val="clear" w:color="auto" w:fill="FCE5D5" w:themeFill="background2" w:themeFillTint="33"/>
          </w:tcPr>
          <w:p w:rsidR="00143584" w:rsidRDefault="00D64125">
            <w:pPr>
              <w:pStyle w:val="HHeading5"/>
              <w:rPr>
                <w:rFonts w:cs="Arial"/>
              </w:rPr>
            </w:pPr>
            <w:r>
              <w:t>Recommended working steps</w:t>
            </w:r>
          </w:p>
          <w:p w:rsidR="00143584" w:rsidRDefault="00D64125">
            <w:pPr>
              <w:pStyle w:val="Hlistbullet"/>
              <w:rPr>
                <w:rFonts w:cs="Arial"/>
              </w:rPr>
            </w:pPr>
            <w:r>
              <w:rPr>
                <w:b/>
              </w:rPr>
              <w:t>Check the availability of data for all common, additional and programme-specific indicators and of financial data:</w:t>
            </w:r>
            <w:r>
              <w:t xml:space="preserve"> Identify data gaps (quality and availability). In case the data for certain common indicators are missing and cannot be obtained in a cost effective way, proxy indicators should be used. </w:t>
            </w:r>
          </w:p>
          <w:p w:rsidR="00143584" w:rsidRDefault="00D64125">
            <w:pPr>
              <w:pStyle w:val="Hlistbullet"/>
              <w:rPr>
                <w:rFonts w:cs="Arial"/>
              </w:rPr>
            </w:pPr>
            <w:r>
              <w:rPr>
                <w:b/>
              </w:rPr>
              <w:t>Check the availability of data to calculate target values of indicators:</w:t>
            </w:r>
            <w:r>
              <w:t xml:space="preserve"> Examine if the data to calculate target values is in place. Some expected values, e.g. expected leverage of investments, should be set after specific research work has been carried out. </w:t>
            </w:r>
          </w:p>
          <w:p w:rsidR="00143584" w:rsidRDefault="00D64125">
            <w:pPr>
              <w:pStyle w:val="Hlistbullet"/>
              <w:rPr>
                <w:rFonts w:cs="Arial"/>
              </w:rPr>
            </w:pPr>
            <w:r>
              <w:rPr>
                <w:b/>
              </w:rPr>
              <w:t>Decide which data is needed to calculate the net values of result (in 2017) and impact (in 2019) indicators and check their availability</w:t>
            </w:r>
            <w: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143584" w:rsidRDefault="00D64125">
            <w:pPr>
              <w:pStyle w:val="Hlistbullet"/>
              <w:rPr>
                <w:rFonts w:cs="Arial"/>
              </w:rPr>
            </w:pPr>
            <w:r>
              <w:rPr>
                <w:b/>
              </w:rPr>
              <w:t>Make the necessary arrangements for ensuring data availability:</w:t>
            </w:r>
            <w: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143584" w:rsidRDefault="00D64125">
            <w:pPr>
              <w:pStyle w:val="Hlistbullet"/>
              <w:rPr>
                <w:rFonts w:cs="Arial"/>
              </w:rPr>
            </w:pPr>
            <w:r>
              <w:rPr>
                <w:b/>
              </w:rPr>
              <w:t>Decide if additional data needs to be collected:</w:t>
            </w:r>
            <w: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   </w:t>
            </w:r>
          </w:p>
          <w:p w:rsidR="00143584" w:rsidRDefault="00D64125">
            <w:pPr>
              <w:pStyle w:val="Hlistbullet"/>
              <w:rPr>
                <w:rFonts w:cs="Arial"/>
              </w:rPr>
            </w:pPr>
            <w:r>
              <w:rPr>
                <w:b/>
              </w:rPr>
              <w:t>Propose adjustments of the monitoring system in order to make it better fit for evaluation:</w:t>
            </w:r>
            <w: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143584">
        <w:trPr>
          <w:jc w:val="center"/>
        </w:trPr>
        <w:tc>
          <w:tcPr>
            <w:tcW w:w="9071" w:type="dxa"/>
          </w:tcPr>
          <w:p w:rsidR="00143584" w:rsidRDefault="00D64125">
            <w:pPr>
              <w:pStyle w:val="HStandard"/>
              <w:rPr>
                <w:rFonts w:cs="Arial"/>
              </w:rPr>
            </w:pPr>
            <w:r>
              <w:rPr>
                <w:b/>
              </w:rPr>
              <w:t>Expected outcome</w:t>
            </w:r>
            <w:r>
              <w:t xml:space="preserve">: inventory of existing data sources, data gap analysis, arrangements for data provision and access. </w:t>
            </w:r>
          </w:p>
        </w:tc>
      </w:tr>
    </w:tbl>
    <w:p w:rsidR="00143584" w:rsidRDefault="00D64125">
      <w:pPr>
        <w:pStyle w:val="HHeading5"/>
        <w:rPr>
          <w:rFonts w:cs="Arial"/>
        </w:rPr>
      </w:pPr>
      <w:r>
        <w:t>Evaluation tasks and data needs</w:t>
      </w:r>
    </w:p>
    <w:p w:rsidR="00143584" w:rsidRDefault="00D64125">
      <w:pPr>
        <w:pStyle w:val="HStandard"/>
        <w:rPr>
          <w:rFonts w:cs="Arial"/>
        </w:rPr>
      </w:pPr>
      <w: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rsidR="00143584" w:rsidRDefault="00D64125">
      <w:pPr>
        <w:pStyle w:val="HStandard"/>
        <w:rPr>
          <w:rFonts w:cs="Arial"/>
        </w:rPr>
      </w:pPr>
      <w:r>
        <w:lastRenderedPageBreak/>
        <w:t>The following table presents the evaluation tasks to be reported in the AIR 2017</w:t>
      </w:r>
      <w:r>
        <w:rPr>
          <w:rStyle w:val="FootnoteReference"/>
        </w:rPr>
        <w:footnoteReference w:id="65"/>
      </w:r>
      <w:r>
        <w:t xml:space="preserve"> and respective data requirements. </w:t>
      </w:r>
    </w:p>
    <w:p w:rsidR="00143584" w:rsidRDefault="00D64125">
      <w:pPr>
        <w:pStyle w:val="HHeadingtables"/>
        <w:rPr>
          <w:rFonts w:cs="Arial"/>
        </w:rPr>
      </w:pPr>
      <w:bookmarkStart w:id="101" w:name="_Toc460936138"/>
      <w:bookmarkStart w:id="102" w:name="_Toc474937835"/>
      <w:r>
        <w:t>Evaluation task and data needs in 2017</w:t>
      </w:r>
      <w:bookmarkEnd w:id="101"/>
      <w:bookmarkEnd w:id="102"/>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143584">
        <w:trPr>
          <w:trHeight w:val="578"/>
          <w:tblHeader/>
          <w:jc w:val="center"/>
        </w:trPr>
        <w:tc>
          <w:tcPr>
            <w:tcW w:w="3644" w:type="dxa"/>
            <w:shd w:val="clear" w:color="auto" w:fill="F07E31" w:themeFill="background2"/>
          </w:tcPr>
          <w:p w:rsidR="00143584" w:rsidRDefault="00D64125">
            <w:pPr>
              <w:pStyle w:val="Htableleftbolt"/>
              <w:rPr>
                <w:rFonts w:cs="Arial"/>
                <w:color w:val="FFFFFF" w:themeColor="accent1"/>
              </w:rPr>
            </w:pPr>
            <w:r>
              <w:rPr>
                <w:color w:val="FFFFFF" w:themeColor="accent1"/>
              </w:rPr>
              <w:t>Evaluation tasks</w:t>
            </w:r>
          </w:p>
        </w:tc>
        <w:tc>
          <w:tcPr>
            <w:tcW w:w="2275" w:type="dxa"/>
            <w:shd w:val="clear" w:color="auto" w:fill="F07E31" w:themeFill="background2"/>
          </w:tcPr>
          <w:p w:rsidR="00143584" w:rsidRDefault="00D64125">
            <w:pPr>
              <w:pStyle w:val="Htableleftbolt"/>
              <w:rPr>
                <w:rFonts w:cs="Arial"/>
                <w:color w:val="FFFFFF" w:themeColor="accent1"/>
              </w:rPr>
            </w:pPr>
            <w:r>
              <w:rPr>
                <w:color w:val="FFFFFF" w:themeColor="accent1"/>
              </w:rPr>
              <w:t>Types of data needed / Relevant data needs</w:t>
            </w:r>
          </w:p>
        </w:tc>
        <w:tc>
          <w:tcPr>
            <w:tcW w:w="1031" w:type="dxa"/>
            <w:shd w:val="clear" w:color="auto" w:fill="F07E31" w:themeFill="background2"/>
          </w:tcPr>
          <w:p w:rsidR="00143584" w:rsidRDefault="00D64125">
            <w:pPr>
              <w:pStyle w:val="Htableleftbolt"/>
              <w:rPr>
                <w:rFonts w:cs="Arial"/>
                <w:color w:val="FFFFFF" w:themeColor="accent1"/>
              </w:rPr>
            </w:pPr>
            <w:r>
              <w:rPr>
                <w:color w:val="FFFFFF" w:themeColor="accent1"/>
              </w:rPr>
              <w:t>Time to collect</w:t>
            </w:r>
          </w:p>
        </w:tc>
        <w:tc>
          <w:tcPr>
            <w:tcW w:w="2060" w:type="dxa"/>
            <w:shd w:val="clear" w:color="auto" w:fill="F07E31" w:themeFill="background2"/>
          </w:tcPr>
          <w:p w:rsidR="00143584" w:rsidRDefault="00D64125">
            <w:pPr>
              <w:pStyle w:val="Htableleftbolt"/>
              <w:rPr>
                <w:rFonts w:cs="Arial"/>
                <w:color w:val="FFFFFF" w:themeColor="accent1"/>
              </w:rPr>
            </w:pPr>
            <w:r>
              <w:rPr>
                <w:color w:val="FFFFFF" w:themeColor="accent1"/>
              </w:rPr>
              <w:t>Legal Base</w:t>
            </w:r>
          </w:p>
        </w:tc>
      </w:tr>
      <w:tr w:rsidR="00143584">
        <w:trPr>
          <w:trHeight w:val="1373"/>
          <w:jc w:val="center"/>
        </w:trPr>
        <w:tc>
          <w:tcPr>
            <w:tcW w:w="3644" w:type="dxa"/>
            <w:shd w:val="clear" w:color="auto" w:fill="auto"/>
          </w:tcPr>
          <w:p w:rsidR="00143584" w:rsidRDefault="00D64125">
            <w:pPr>
              <w:pStyle w:val="Htableleft"/>
              <w:rPr>
                <w:rFonts w:cs="Arial"/>
                <w:sz w:val="16"/>
                <w:szCs w:val="16"/>
              </w:rPr>
            </w:pPr>
            <w:r>
              <w:rPr>
                <w:sz w:val="16"/>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143584" w:rsidRDefault="00D64125">
            <w:pPr>
              <w:pStyle w:val="Htableleft"/>
              <w:rPr>
                <w:rFonts w:cs="Arial"/>
                <w:sz w:val="16"/>
                <w:szCs w:val="16"/>
              </w:rPr>
            </w:pPr>
            <w:r>
              <w:rPr>
                <w:sz w:val="16"/>
              </w:rPr>
              <w:t>Data to calculate gross and, whenever possible, also net values of result indicators (complementary result indicators, target indicators expressed in ratios, additional indicators, and programme-specific indicators)</w:t>
            </w:r>
          </w:p>
          <w:p w:rsidR="00143584" w:rsidRDefault="00D64125">
            <w:pPr>
              <w:pStyle w:val="Htableleft"/>
              <w:rPr>
                <w:rFonts w:cs="Arial"/>
                <w:sz w:val="16"/>
                <w:szCs w:val="16"/>
              </w:rPr>
            </w:pPr>
            <w:r>
              <w:rPr>
                <w:sz w:val="16"/>
              </w:rPr>
              <w:t xml:space="preserve">Additional data &amp; information needed to answer focus area- related EQ and EQ related to other RDP aspects  </w:t>
            </w:r>
          </w:p>
        </w:tc>
        <w:tc>
          <w:tcPr>
            <w:tcW w:w="1031" w:type="dxa"/>
            <w:shd w:val="clear" w:color="auto" w:fill="auto"/>
          </w:tcPr>
          <w:p w:rsidR="00143584" w:rsidRDefault="00D64125">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Pr>
                <w:sz w:val="16"/>
              </w:rPr>
              <w:t xml:space="preserve">Since the programme start </w:t>
            </w:r>
          </w:p>
        </w:tc>
        <w:tc>
          <w:tcPr>
            <w:tcW w:w="2060" w:type="dxa"/>
            <w:shd w:val="clear" w:color="auto" w:fill="auto"/>
          </w:tcPr>
          <w:p w:rsidR="00143584" w:rsidRDefault="00D64125">
            <w:pPr>
              <w:pStyle w:val="Htableleft"/>
              <w:rPr>
                <w:rFonts w:cs="Arial"/>
                <w:sz w:val="16"/>
                <w:szCs w:val="16"/>
              </w:rPr>
            </w:pPr>
            <w:r>
              <w:rPr>
                <w:sz w:val="16"/>
              </w:rPr>
              <w:t>Commission Implementing Regulation (EU) No 808/2014, Annex VII, point 7</w:t>
            </w:r>
          </w:p>
        </w:tc>
      </w:tr>
    </w:tbl>
    <w:p w:rsidR="00143584" w:rsidRDefault="00D64125">
      <w:pPr>
        <w:pStyle w:val="HHeading5"/>
        <w:rPr>
          <w:rFonts w:cs="Arial"/>
        </w:rPr>
      </w:pPr>
      <w:r>
        <w:t>Types of data in RDP evaluation</w:t>
      </w:r>
    </w:p>
    <w:p w:rsidR="00143584" w:rsidRDefault="00D64125">
      <w:pPr>
        <w:pStyle w:val="HStandard"/>
        <w:rPr>
          <w:rFonts w:cs="Arial"/>
        </w:rPr>
      </w:pPr>
      <w:r>
        <w:t>The following table provides an overview of the different types of data used in the evaluation of RDPs.</w:t>
      </w:r>
    </w:p>
    <w:p w:rsidR="00143584" w:rsidRDefault="00D64125">
      <w:pPr>
        <w:pStyle w:val="HHeadingtables"/>
        <w:rPr>
          <w:rFonts w:cs="Arial"/>
        </w:rPr>
      </w:pPr>
      <w:bookmarkStart w:id="103" w:name="_Toc428965199"/>
      <w:bookmarkStart w:id="104" w:name="_Toc460936139"/>
      <w:bookmarkStart w:id="105" w:name="_Toc474937836"/>
      <w:r>
        <w:t>Types of data used in rural development evaluation</w:t>
      </w:r>
      <w:bookmarkEnd w:id="103"/>
      <w:bookmarkEnd w:id="104"/>
      <w:bookmarkEnd w:id="105"/>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14358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143584" w:rsidRDefault="00D64125">
            <w:pPr>
              <w:pStyle w:val="Htableleftbolt"/>
              <w:rPr>
                <w:rFonts w:cs="Arial"/>
                <w:color w:val="FFFFFF" w:themeColor="accent1"/>
              </w:rPr>
            </w:pPr>
            <w:r>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143584" w:rsidRDefault="00D64125">
            <w:pPr>
              <w:pStyle w:val="Htableleftbolt"/>
              <w:rPr>
                <w:rFonts w:cs="Arial"/>
                <w:color w:val="FFFFFF" w:themeColor="accent1"/>
              </w:rPr>
            </w:pPr>
            <w:r>
              <w:rPr>
                <w:color w:val="FFFFFF" w:themeColor="accent1"/>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143584" w:rsidRDefault="00D64125">
            <w:pPr>
              <w:pStyle w:val="Htableleftbolt"/>
              <w:rPr>
                <w:rFonts w:cs="Arial"/>
                <w:color w:val="FFFFFF" w:themeColor="accent1"/>
              </w:rPr>
            </w:pPr>
            <w:r>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143584" w:rsidRDefault="00D64125">
            <w:pPr>
              <w:pStyle w:val="Htableleftbolt"/>
              <w:rPr>
                <w:rFonts w:cs="Arial"/>
                <w:color w:val="FFFFFF" w:themeColor="accent1"/>
              </w:rPr>
            </w:pPr>
            <w:r>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143584" w:rsidRDefault="00D64125">
            <w:pPr>
              <w:pStyle w:val="Htableleftbolt"/>
              <w:rPr>
                <w:rFonts w:cs="Arial"/>
                <w:color w:val="FFFFFF" w:themeColor="accent1"/>
              </w:rPr>
            </w:pPr>
            <w:r>
              <w:rPr>
                <w:color w:val="FFFFFF" w:themeColor="accent1"/>
              </w:rPr>
              <w:t xml:space="preserve">Necessary arrangements </w:t>
            </w:r>
          </w:p>
        </w:tc>
      </w:tr>
      <w:tr w:rsidR="0014358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None </w:t>
            </w:r>
          </w:p>
        </w:tc>
      </w:tr>
      <w:tr w:rsidR="0014358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143584">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Evaluator prepares and conducts the survey</w:t>
            </w:r>
          </w:p>
        </w:tc>
      </w:tr>
      <w:tr w:rsidR="0014358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143584">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Agreement with the tax office</w:t>
            </w:r>
          </w:p>
        </w:tc>
      </w:tr>
      <w:tr w:rsidR="0014358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None </w:t>
            </w:r>
          </w:p>
        </w:tc>
      </w:tr>
      <w:tr w:rsidR="0014358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143584">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Request for data sets</w:t>
            </w:r>
          </w:p>
        </w:tc>
      </w:tr>
      <w:tr w:rsidR="0014358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143584">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Evaluator prepares and conducts the survey</w:t>
            </w:r>
          </w:p>
        </w:tc>
      </w:tr>
      <w:tr w:rsidR="0014358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None </w:t>
            </w:r>
          </w:p>
        </w:tc>
      </w:tr>
      <w:tr w:rsidR="0014358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143584">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Request for data sets</w:t>
            </w:r>
          </w:p>
        </w:tc>
      </w:tr>
      <w:tr w:rsidR="0014358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143584">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Evaluator prepares and conducts the survey</w:t>
            </w:r>
          </w:p>
        </w:tc>
      </w:tr>
      <w:tr w:rsidR="0014358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Contract with the research institute</w:t>
            </w:r>
          </w:p>
        </w:tc>
      </w:tr>
      <w:tr w:rsidR="0014358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143584">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143584" w:rsidRDefault="00D64125">
            <w:pPr>
              <w:pStyle w:val="Htableleft"/>
              <w:rPr>
                <w:rFonts w:cs="Arial"/>
                <w:sz w:val="16"/>
                <w:szCs w:val="16"/>
              </w:rPr>
            </w:pPr>
            <w:r>
              <w:rPr>
                <w:sz w:val="16"/>
              </w:rPr>
              <w:t>Contract with the NGO</w:t>
            </w:r>
          </w:p>
        </w:tc>
      </w:tr>
    </w:tbl>
    <w:p w:rsidR="00143584" w:rsidRDefault="00143584">
      <w:pPr>
        <w:pStyle w:val="HHeading5"/>
        <w:rPr>
          <w:rFonts w:cs="Arial"/>
        </w:rPr>
      </w:pPr>
    </w:p>
    <w:p w:rsidR="00143584" w:rsidRDefault="00D64125">
      <w:pPr>
        <w:pStyle w:val="HStandard"/>
        <w:rPr>
          <w:color w:val="57825E"/>
        </w:rPr>
      </w:pPr>
      <w:r>
        <w:br w:type="page"/>
      </w:r>
    </w:p>
    <w:p w:rsidR="00143584" w:rsidRDefault="00D64125">
      <w:pPr>
        <w:pStyle w:val="HHeading5"/>
        <w:rPr>
          <w:rFonts w:cs="Arial"/>
        </w:rPr>
      </w:pPr>
      <w:r>
        <w:lastRenderedPageBreak/>
        <w:t xml:space="preserve">Evaluation methods and data needs </w:t>
      </w:r>
    </w:p>
    <w:p w:rsidR="00143584" w:rsidRDefault="00D64125">
      <w:pPr>
        <w:pStyle w:val="HStandard"/>
        <w:rPr>
          <w:rFonts w:cs="Arial"/>
        </w:rPr>
      </w:pPr>
      <w:r>
        <w:t>The evaluation approach and methods chosen have consequences on data needs, as the data availability has implications on the selection of methods. The following table provides an overview of data requirements in relation to selected methods.</w:t>
      </w:r>
    </w:p>
    <w:p w:rsidR="00143584" w:rsidRDefault="00143584">
      <w:pPr>
        <w:pStyle w:val="HStandard"/>
        <w:rPr>
          <w:rFonts w:cs="Arial"/>
        </w:rPr>
        <w:sectPr w:rsidR="00143584">
          <w:headerReference w:type="default" r:id="rId56"/>
          <w:footerReference w:type="default" r:id="rId57"/>
          <w:headerReference w:type="first" r:id="rId58"/>
          <w:footerReference w:type="first" r:id="rId59"/>
          <w:pgSz w:w="11906" w:h="16838" w:code="9"/>
          <w:pgMar w:top="1418" w:right="1418" w:bottom="1418" w:left="1418" w:header="737" w:footer="1021" w:gutter="0"/>
          <w:cols w:space="708"/>
          <w:titlePg/>
          <w:docGrid w:linePitch="360"/>
        </w:sectPr>
      </w:pPr>
    </w:p>
    <w:p w:rsidR="00143584" w:rsidRDefault="00D64125">
      <w:pPr>
        <w:pStyle w:val="HHeadingtables"/>
        <w:rPr>
          <w:rFonts w:cs="Arial"/>
        </w:rPr>
      </w:pPr>
      <w:bookmarkStart w:id="106" w:name="_Toc460936140"/>
      <w:bookmarkStart w:id="107" w:name="_Toc474937837"/>
      <w:r>
        <w:lastRenderedPageBreak/>
        <w:t>Methods and related data needs (example)</w:t>
      </w:r>
      <w:bookmarkEnd w:id="106"/>
      <w:bookmarkEnd w:id="107"/>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143584">
        <w:trPr>
          <w:tblHeader/>
        </w:trPr>
        <w:tc>
          <w:tcPr>
            <w:tcW w:w="1555" w:type="dxa"/>
            <w:shd w:val="clear" w:color="auto" w:fill="F07E31" w:themeFill="background2"/>
          </w:tcPr>
          <w:p w:rsidR="00143584" w:rsidRDefault="00D64125">
            <w:pPr>
              <w:pStyle w:val="Htableleftbolt"/>
              <w:rPr>
                <w:rFonts w:cs="Arial"/>
                <w:color w:val="FFFFFF" w:themeColor="accent1"/>
              </w:rPr>
            </w:pPr>
            <w:r>
              <w:rPr>
                <w:color w:val="FFFFFF" w:themeColor="accent1"/>
              </w:rPr>
              <w:t>Method</w:t>
            </w:r>
          </w:p>
        </w:tc>
        <w:tc>
          <w:tcPr>
            <w:tcW w:w="4110" w:type="dxa"/>
            <w:shd w:val="clear" w:color="auto" w:fill="F07E31" w:themeFill="background2"/>
          </w:tcPr>
          <w:p w:rsidR="00143584" w:rsidRDefault="00D64125">
            <w:pPr>
              <w:pStyle w:val="Htableleftbolt"/>
              <w:rPr>
                <w:rFonts w:cs="Arial"/>
                <w:color w:val="FFFFFF" w:themeColor="accent1"/>
              </w:rPr>
            </w:pPr>
            <w:r>
              <w:rPr>
                <w:color w:val="FFFFFF" w:themeColor="accent1"/>
              </w:rPr>
              <w:t>Data needs</w:t>
            </w:r>
          </w:p>
        </w:tc>
        <w:tc>
          <w:tcPr>
            <w:tcW w:w="4111" w:type="dxa"/>
            <w:shd w:val="clear" w:color="auto" w:fill="F07E31" w:themeFill="background2"/>
          </w:tcPr>
          <w:p w:rsidR="00143584" w:rsidRDefault="00D64125">
            <w:pPr>
              <w:pStyle w:val="Htableleftbolt"/>
              <w:rPr>
                <w:rFonts w:cs="Arial"/>
                <w:color w:val="FFFFFF" w:themeColor="accent1"/>
              </w:rPr>
            </w:pPr>
            <w:r>
              <w:rPr>
                <w:color w:val="FFFFFF" w:themeColor="accent1"/>
              </w:rPr>
              <w:t xml:space="preserve">Existing data sources/providers </w:t>
            </w:r>
          </w:p>
          <w:p w:rsidR="00143584" w:rsidRDefault="00D64125">
            <w:pPr>
              <w:pStyle w:val="Htableleftbolt"/>
              <w:rPr>
                <w:rFonts w:cs="Arial"/>
                <w:color w:val="FFFFFF" w:themeColor="accent1"/>
              </w:rPr>
            </w:pPr>
            <w:r>
              <w:rPr>
                <w:color w:val="FFFFFF" w:themeColor="accent1"/>
              </w:rPr>
              <w:t>(links if possible)</w:t>
            </w:r>
          </w:p>
        </w:tc>
        <w:tc>
          <w:tcPr>
            <w:tcW w:w="2693" w:type="dxa"/>
            <w:shd w:val="clear" w:color="auto" w:fill="F07E31" w:themeFill="background2"/>
          </w:tcPr>
          <w:p w:rsidR="00143584" w:rsidRDefault="00D64125">
            <w:pPr>
              <w:pStyle w:val="Htableleftbolt"/>
              <w:rPr>
                <w:rFonts w:cs="Arial"/>
                <w:color w:val="FFFFFF" w:themeColor="accent1"/>
              </w:rPr>
            </w:pPr>
            <w:r>
              <w:rPr>
                <w:color w:val="FFFFFF" w:themeColor="accent1"/>
              </w:rPr>
              <w:t>Arrangements to ensure access (if needed)</w:t>
            </w:r>
          </w:p>
        </w:tc>
        <w:tc>
          <w:tcPr>
            <w:tcW w:w="2410" w:type="dxa"/>
            <w:shd w:val="clear" w:color="auto" w:fill="F07E31" w:themeFill="background2"/>
          </w:tcPr>
          <w:p w:rsidR="00143584" w:rsidRDefault="00D64125">
            <w:pPr>
              <w:pStyle w:val="Htableleftbolt"/>
              <w:rPr>
                <w:rFonts w:cs="Arial"/>
                <w:color w:val="FFFFFF" w:themeColor="accent1"/>
              </w:rPr>
            </w:pPr>
            <w:r>
              <w:rPr>
                <w:color w:val="FFFFFF" w:themeColor="accent1"/>
              </w:rPr>
              <w:t>Data gaps /collection by evaluator</w:t>
            </w:r>
          </w:p>
        </w:tc>
      </w:tr>
      <w:tr w:rsidR="00143584">
        <w:tc>
          <w:tcPr>
            <w:tcW w:w="14879" w:type="dxa"/>
            <w:gridSpan w:val="5"/>
            <w:shd w:val="clear" w:color="auto" w:fill="auto"/>
          </w:tcPr>
          <w:p w:rsidR="00143584" w:rsidRDefault="00D64125">
            <w:pPr>
              <w:pStyle w:val="Htableleft"/>
              <w:rPr>
                <w:rFonts w:cs="Arial"/>
                <w:sz w:val="16"/>
                <w:szCs w:val="16"/>
              </w:rPr>
            </w:pPr>
            <w:r>
              <w:rPr>
                <w:sz w:val="16"/>
              </w:rPr>
              <w:t>Quantitative</w:t>
            </w:r>
          </w:p>
        </w:tc>
      </w:tr>
      <w:tr w:rsidR="00143584">
        <w:tc>
          <w:tcPr>
            <w:tcW w:w="14879" w:type="dxa"/>
            <w:gridSpan w:val="5"/>
            <w:shd w:val="clear" w:color="auto" w:fill="auto"/>
          </w:tcPr>
          <w:p w:rsidR="00143584" w:rsidRDefault="00D64125">
            <w:pPr>
              <w:pStyle w:val="Htableleft"/>
              <w:rPr>
                <w:rFonts w:cs="Arial"/>
                <w:sz w:val="16"/>
                <w:szCs w:val="16"/>
              </w:rPr>
            </w:pPr>
            <w:r>
              <w:rPr>
                <w:sz w:val="16"/>
              </w:rPr>
              <w:t>Micro Methods</w:t>
            </w:r>
          </w:p>
        </w:tc>
      </w:tr>
      <w:tr w:rsidR="00143584">
        <w:tc>
          <w:tcPr>
            <w:tcW w:w="1555" w:type="dxa"/>
            <w:shd w:val="clear" w:color="auto" w:fill="auto"/>
          </w:tcPr>
          <w:p w:rsidR="00143584" w:rsidRDefault="00D64125">
            <w:pPr>
              <w:pStyle w:val="Htableleft"/>
              <w:rPr>
                <w:rFonts w:cs="Arial"/>
                <w:sz w:val="16"/>
                <w:szCs w:val="16"/>
              </w:rPr>
            </w:pPr>
            <w:r>
              <w:rPr>
                <w:sz w:val="16"/>
              </w:rPr>
              <w:t>Counterfactual surveys</w:t>
            </w:r>
          </w:p>
        </w:tc>
        <w:tc>
          <w:tcPr>
            <w:tcW w:w="4110" w:type="dxa"/>
            <w:shd w:val="clear" w:color="auto" w:fill="auto"/>
          </w:tcPr>
          <w:p w:rsidR="00143584" w:rsidRDefault="00D64125">
            <w:pPr>
              <w:pStyle w:val="Htableleft"/>
              <w:rPr>
                <w:rFonts w:cs="Arial"/>
                <w:sz w:val="16"/>
                <w:szCs w:val="16"/>
              </w:rPr>
            </w:pPr>
            <w:r>
              <w:rPr>
                <w:sz w:val="16"/>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143584" w:rsidRDefault="00D64125">
            <w:pPr>
              <w:pStyle w:val="Htableleft"/>
              <w:rPr>
                <w:rFonts w:cs="Arial"/>
                <w:sz w:val="16"/>
                <w:szCs w:val="16"/>
              </w:rPr>
            </w:pPr>
            <w:r>
              <w:rPr>
                <w:sz w:val="16"/>
              </w:rPr>
              <w:t>Data at micro-level (from beneficiaries and non-beneficiaries) should be collected on the basis of secondary data and/or own surveys. The FADN database combined with an anonymous data from the Paying Agency can be used for this purpose.</w:t>
            </w:r>
          </w:p>
          <w:p w:rsidR="00143584" w:rsidRDefault="005E336E">
            <w:pPr>
              <w:pStyle w:val="Htableleft"/>
              <w:rPr>
                <w:rStyle w:val="Hyperlink"/>
                <w:sz w:val="16"/>
                <w:szCs w:val="16"/>
              </w:rPr>
            </w:pPr>
            <w:hyperlink r:id="rId60">
              <w:r w:rsidR="00D64125">
                <w:rPr>
                  <w:rStyle w:val="Hyperlink"/>
                  <w:sz w:val="16"/>
                </w:rPr>
                <w:t>http://ec.europa.eu/agriculture/ricaprod/</w:t>
              </w:r>
            </w:hyperlink>
            <w:r w:rsidR="00D64125">
              <w:rPr>
                <w:rStyle w:val="Hyperlink"/>
                <w:sz w:val="16"/>
              </w:rPr>
              <w:t xml:space="preserve"> </w:t>
            </w:r>
          </w:p>
        </w:tc>
        <w:tc>
          <w:tcPr>
            <w:tcW w:w="2693" w:type="dxa"/>
            <w:shd w:val="clear" w:color="auto" w:fill="auto"/>
          </w:tcPr>
          <w:p w:rsidR="00143584" w:rsidRDefault="00D64125">
            <w:pPr>
              <w:pStyle w:val="Htableleft"/>
              <w:rPr>
                <w:rFonts w:cs="Arial"/>
                <w:sz w:val="16"/>
                <w:szCs w:val="16"/>
              </w:rPr>
            </w:pPr>
            <w:r>
              <w:rPr>
                <w:sz w:val="16"/>
              </w:rPr>
              <w:t>Arrangements carried out with Liaison Agencies:</w:t>
            </w:r>
          </w:p>
          <w:p w:rsidR="00143584" w:rsidRDefault="005E336E">
            <w:pPr>
              <w:pStyle w:val="Htableleft"/>
              <w:rPr>
                <w:rStyle w:val="Hyperlink"/>
                <w:sz w:val="16"/>
                <w:szCs w:val="16"/>
              </w:rPr>
            </w:pPr>
            <w:hyperlink r:id="rId61">
              <w:r w:rsidR="00D64125">
                <w:rPr>
                  <w:rStyle w:val="Hyperlink"/>
                  <w:sz w:val="16"/>
                </w:rPr>
                <w:t>http://ec.europa.eu/agriculture/ricaprod/liaisonagency_en.cfm</w:t>
              </w:r>
            </w:hyperlink>
            <w:r w:rsidR="00D64125">
              <w:rPr>
                <w:rStyle w:val="Hyperlink"/>
                <w:sz w:val="16"/>
              </w:rPr>
              <w:t xml:space="preserve"> </w:t>
            </w:r>
          </w:p>
        </w:tc>
        <w:tc>
          <w:tcPr>
            <w:tcW w:w="2410" w:type="dxa"/>
            <w:shd w:val="clear" w:color="auto" w:fill="auto"/>
          </w:tcPr>
          <w:p w:rsidR="00143584" w:rsidRDefault="00D64125">
            <w:pPr>
              <w:pStyle w:val="Htableleft"/>
              <w:rPr>
                <w:rFonts w:cs="Arial"/>
                <w:sz w:val="16"/>
                <w:szCs w:val="16"/>
              </w:rPr>
            </w:pPr>
            <w:r>
              <w:rPr>
                <w:sz w:val="16"/>
              </w:rPr>
              <w:t>Data on support from other programmes from the relevant authorities or the single Paying Agency.</w:t>
            </w:r>
          </w:p>
        </w:tc>
      </w:tr>
      <w:tr w:rsidR="00143584">
        <w:tc>
          <w:tcPr>
            <w:tcW w:w="1555" w:type="dxa"/>
            <w:shd w:val="clear" w:color="auto" w:fill="auto"/>
          </w:tcPr>
          <w:p w:rsidR="00143584" w:rsidRDefault="00D64125">
            <w:pPr>
              <w:pStyle w:val="Htableleft"/>
              <w:rPr>
                <w:rFonts w:cs="Arial"/>
                <w:sz w:val="16"/>
                <w:szCs w:val="16"/>
              </w:rPr>
            </w:pPr>
            <w:r>
              <w:rPr>
                <w:sz w:val="16"/>
              </w:rPr>
              <w:t>Tracer surveys</w:t>
            </w:r>
          </w:p>
        </w:tc>
        <w:tc>
          <w:tcPr>
            <w:tcW w:w="4110" w:type="dxa"/>
            <w:shd w:val="clear" w:color="auto" w:fill="auto"/>
          </w:tcPr>
          <w:p w:rsidR="00143584" w:rsidRDefault="00D64125">
            <w:pPr>
              <w:pStyle w:val="Htableleft"/>
              <w:rPr>
                <w:rFonts w:cs="Arial"/>
                <w:sz w:val="16"/>
                <w:szCs w:val="16"/>
              </w:rPr>
            </w:pPr>
            <w:r>
              <w:rPr>
                <w:sz w:val="16"/>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143584" w:rsidRDefault="00D64125">
            <w:pPr>
              <w:pStyle w:val="Htableleft"/>
              <w:rPr>
                <w:rFonts w:cs="Arial"/>
                <w:sz w:val="16"/>
                <w:szCs w:val="16"/>
              </w:rPr>
            </w:pPr>
            <w:r>
              <w:rPr>
                <w:sz w:val="16"/>
              </w:rPr>
              <w:t xml:space="preserve">Primary data collection </w:t>
            </w:r>
          </w:p>
        </w:tc>
        <w:tc>
          <w:tcPr>
            <w:tcW w:w="2693" w:type="dxa"/>
            <w:shd w:val="clear" w:color="auto" w:fill="auto"/>
          </w:tcPr>
          <w:p w:rsidR="00143584" w:rsidRDefault="00D64125">
            <w:pPr>
              <w:pStyle w:val="Htableleft"/>
              <w:rPr>
                <w:rFonts w:cs="Arial"/>
                <w:sz w:val="16"/>
                <w:szCs w:val="16"/>
              </w:rPr>
            </w:pPr>
            <w:r>
              <w:rPr>
                <w:sz w:val="16"/>
              </w:rPr>
              <w:t>No access rules applied</w:t>
            </w:r>
          </w:p>
        </w:tc>
        <w:tc>
          <w:tcPr>
            <w:tcW w:w="2410" w:type="dxa"/>
            <w:shd w:val="clear" w:color="auto" w:fill="auto"/>
          </w:tcPr>
          <w:p w:rsidR="00143584" w:rsidRDefault="00D64125">
            <w:pPr>
              <w:pStyle w:val="Htableleft"/>
              <w:rPr>
                <w:rFonts w:cs="Arial"/>
                <w:sz w:val="16"/>
                <w:szCs w:val="16"/>
              </w:rPr>
            </w:pPr>
            <w:r>
              <w:rPr>
                <w:sz w:val="16"/>
              </w:rPr>
              <w:t xml:space="preserve">All data to be collected by evaluator. </w:t>
            </w:r>
          </w:p>
        </w:tc>
      </w:tr>
      <w:tr w:rsidR="00143584">
        <w:tc>
          <w:tcPr>
            <w:tcW w:w="14879" w:type="dxa"/>
            <w:gridSpan w:val="5"/>
            <w:shd w:val="clear" w:color="auto" w:fill="auto"/>
          </w:tcPr>
          <w:p w:rsidR="00143584" w:rsidRDefault="00D64125">
            <w:pPr>
              <w:pStyle w:val="Htableleft"/>
              <w:rPr>
                <w:rFonts w:cs="Arial"/>
                <w:sz w:val="16"/>
                <w:szCs w:val="16"/>
              </w:rPr>
            </w:pPr>
            <w:r>
              <w:rPr>
                <w:sz w:val="16"/>
              </w:rPr>
              <w:t>Macro Methods</w:t>
            </w:r>
          </w:p>
        </w:tc>
      </w:tr>
      <w:tr w:rsidR="00143584">
        <w:tc>
          <w:tcPr>
            <w:tcW w:w="1555" w:type="dxa"/>
            <w:shd w:val="clear" w:color="auto" w:fill="auto"/>
          </w:tcPr>
          <w:p w:rsidR="00143584" w:rsidRDefault="00D64125">
            <w:pPr>
              <w:pStyle w:val="Htableleft"/>
              <w:rPr>
                <w:rFonts w:cs="Arial"/>
                <w:sz w:val="16"/>
                <w:szCs w:val="16"/>
              </w:rPr>
            </w:pPr>
            <w:r>
              <w:rPr>
                <w:sz w:val="16"/>
              </w:rPr>
              <w:t>Input-Output (I-O) and related techniques</w:t>
            </w:r>
          </w:p>
        </w:tc>
        <w:tc>
          <w:tcPr>
            <w:tcW w:w="4110" w:type="dxa"/>
            <w:shd w:val="clear" w:color="auto" w:fill="auto"/>
          </w:tcPr>
          <w:p w:rsidR="00143584" w:rsidRDefault="00D64125">
            <w:pPr>
              <w:pStyle w:val="Htableleft"/>
              <w:rPr>
                <w:rFonts w:cs="Arial"/>
                <w:sz w:val="16"/>
                <w:szCs w:val="16"/>
              </w:rPr>
            </w:pPr>
            <w:r>
              <w:rPr>
                <w:sz w:val="16"/>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143584" w:rsidRDefault="00D64125">
            <w:pPr>
              <w:pStyle w:val="Htableleft"/>
              <w:rPr>
                <w:rFonts w:cs="Arial"/>
                <w:sz w:val="16"/>
                <w:szCs w:val="16"/>
              </w:rPr>
            </w:pPr>
            <w:r>
              <w:rPr>
                <w:sz w:val="16"/>
              </w:rPr>
              <w:t>National I-O tables from Eurostat.</w:t>
            </w:r>
          </w:p>
          <w:p w:rsidR="00143584" w:rsidRDefault="005E336E">
            <w:pPr>
              <w:pStyle w:val="Htableleft"/>
              <w:rPr>
                <w:rStyle w:val="Hyperlink"/>
                <w:sz w:val="16"/>
                <w:szCs w:val="16"/>
              </w:rPr>
            </w:pPr>
            <w:hyperlink r:id="rId62">
              <w:r w:rsidR="00D64125">
                <w:rPr>
                  <w:rStyle w:val="Hyperlink"/>
                  <w:sz w:val="16"/>
                </w:rPr>
                <w:t>http://ec.europa.eu/eurostat/web/esa-supply-use-input-tables/data/database</w:t>
              </w:r>
            </w:hyperlink>
            <w:r w:rsidR="00D64125">
              <w:rPr>
                <w:rStyle w:val="Hyperlink"/>
                <w:sz w:val="16"/>
              </w:rPr>
              <w:t xml:space="preserve"> </w:t>
            </w:r>
          </w:p>
        </w:tc>
        <w:tc>
          <w:tcPr>
            <w:tcW w:w="2693" w:type="dxa"/>
            <w:shd w:val="clear" w:color="auto" w:fill="auto"/>
          </w:tcPr>
          <w:p w:rsidR="00143584" w:rsidRDefault="00D64125">
            <w:pPr>
              <w:pStyle w:val="Htableleft"/>
              <w:rPr>
                <w:rFonts w:cs="Arial"/>
                <w:sz w:val="16"/>
                <w:szCs w:val="16"/>
              </w:rPr>
            </w:pPr>
            <w:r>
              <w:rPr>
                <w:sz w:val="16"/>
              </w:rPr>
              <w:t>No access rules applied</w:t>
            </w:r>
          </w:p>
        </w:tc>
        <w:tc>
          <w:tcPr>
            <w:tcW w:w="2410" w:type="dxa"/>
            <w:shd w:val="clear" w:color="auto" w:fill="auto"/>
          </w:tcPr>
          <w:p w:rsidR="00143584" w:rsidRDefault="00D64125">
            <w:pPr>
              <w:pStyle w:val="Htableleft"/>
              <w:rPr>
                <w:rFonts w:cs="Arial"/>
                <w:sz w:val="16"/>
                <w:szCs w:val="16"/>
              </w:rPr>
            </w:pPr>
            <w:r>
              <w:rPr>
                <w:sz w:val="16"/>
              </w:rPr>
              <w:t>National account, Consumer Expenditure Surveys and FADN data to complement the I-O and produce the SAM</w:t>
            </w:r>
          </w:p>
        </w:tc>
      </w:tr>
      <w:tr w:rsidR="00143584">
        <w:tc>
          <w:tcPr>
            <w:tcW w:w="1555" w:type="dxa"/>
            <w:shd w:val="clear" w:color="auto" w:fill="auto"/>
          </w:tcPr>
          <w:p w:rsidR="00143584" w:rsidRDefault="00D64125">
            <w:pPr>
              <w:pStyle w:val="Htableleft"/>
              <w:rPr>
                <w:rFonts w:cs="Arial"/>
                <w:sz w:val="16"/>
                <w:szCs w:val="16"/>
              </w:rPr>
            </w:pPr>
            <w:r>
              <w:rPr>
                <w:sz w:val="16"/>
              </w:rPr>
              <w:t>CGE models</w:t>
            </w:r>
          </w:p>
        </w:tc>
        <w:tc>
          <w:tcPr>
            <w:tcW w:w="4110" w:type="dxa"/>
            <w:shd w:val="clear" w:color="auto" w:fill="auto"/>
          </w:tcPr>
          <w:p w:rsidR="00143584" w:rsidRDefault="00D64125">
            <w:pPr>
              <w:pStyle w:val="Htableleft"/>
              <w:rPr>
                <w:rFonts w:cs="Arial"/>
                <w:sz w:val="16"/>
                <w:szCs w:val="16"/>
              </w:rPr>
            </w:pPr>
            <w:r>
              <w:rPr>
                <w:sz w:val="16"/>
              </w:rPr>
              <w:t xml:space="preserve">For Recursive Dynamic CGE model, data needs are more specific to the construction of the model rather than the RDP model input. </w:t>
            </w:r>
          </w:p>
        </w:tc>
        <w:tc>
          <w:tcPr>
            <w:tcW w:w="4111" w:type="dxa"/>
            <w:shd w:val="clear" w:color="auto" w:fill="auto"/>
          </w:tcPr>
          <w:p w:rsidR="00143584" w:rsidRDefault="00D64125">
            <w:pPr>
              <w:pStyle w:val="Htableleft"/>
              <w:rPr>
                <w:rFonts w:cs="Arial"/>
                <w:sz w:val="16"/>
                <w:szCs w:val="16"/>
              </w:rPr>
            </w:pPr>
            <w:r>
              <w:rPr>
                <w:sz w:val="16"/>
              </w:rPr>
              <w:t>Does not apply, unless ready to use CGEs are used like the GTAP of Purdue University at:</w:t>
            </w:r>
          </w:p>
          <w:p w:rsidR="00143584" w:rsidRDefault="005E336E">
            <w:pPr>
              <w:pStyle w:val="Htableleft"/>
              <w:rPr>
                <w:rStyle w:val="Hyperlink"/>
                <w:sz w:val="16"/>
                <w:szCs w:val="16"/>
              </w:rPr>
            </w:pPr>
            <w:hyperlink r:id="rId63">
              <w:r w:rsidR="00D64125">
                <w:rPr>
                  <w:rStyle w:val="Hyperlink"/>
                  <w:sz w:val="16"/>
                </w:rPr>
                <w:t>https://www.gtap.agecon.purdue.edu/</w:t>
              </w:r>
            </w:hyperlink>
            <w:r w:rsidR="00D64125">
              <w:rPr>
                <w:rStyle w:val="Hyperlink"/>
                <w:sz w:val="16"/>
              </w:rPr>
              <w:t xml:space="preserve"> </w:t>
            </w:r>
          </w:p>
        </w:tc>
        <w:tc>
          <w:tcPr>
            <w:tcW w:w="2693" w:type="dxa"/>
            <w:shd w:val="clear" w:color="auto" w:fill="auto"/>
          </w:tcPr>
          <w:p w:rsidR="00143584" w:rsidRDefault="00D64125">
            <w:pPr>
              <w:pStyle w:val="Htableleft"/>
              <w:rPr>
                <w:rFonts w:cs="Arial"/>
                <w:sz w:val="16"/>
                <w:szCs w:val="16"/>
              </w:rPr>
            </w:pPr>
            <w:r>
              <w:rPr>
                <w:sz w:val="16"/>
              </w:rPr>
              <w:t>No access rules applied</w:t>
            </w:r>
          </w:p>
        </w:tc>
        <w:tc>
          <w:tcPr>
            <w:tcW w:w="2410" w:type="dxa"/>
            <w:shd w:val="clear" w:color="auto" w:fill="auto"/>
          </w:tcPr>
          <w:p w:rsidR="00143584" w:rsidRDefault="00D64125">
            <w:pPr>
              <w:pStyle w:val="Htableleft"/>
              <w:rPr>
                <w:rFonts w:cs="Arial"/>
                <w:sz w:val="16"/>
                <w:szCs w:val="16"/>
              </w:rPr>
            </w:pPr>
            <w:r>
              <w:rPr>
                <w:sz w:val="16"/>
              </w:rPr>
              <w:t xml:space="preserve">I-O Table, National accounts, Consumer Expenditure Survey, Labour Force Survey and FADN data </w:t>
            </w:r>
          </w:p>
        </w:tc>
      </w:tr>
      <w:tr w:rsidR="00143584">
        <w:trPr>
          <w:trHeight w:val="330"/>
        </w:trPr>
        <w:tc>
          <w:tcPr>
            <w:tcW w:w="14879" w:type="dxa"/>
            <w:gridSpan w:val="5"/>
            <w:shd w:val="clear" w:color="auto" w:fill="auto"/>
          </w:tcPr>
          <w:p w:rsidR="00143584" w:rsidRDefault="00D64125">
            <w:pPr>
              <w:pStyle w:val="Htableleft"/>
              <w:rPr>
                <w:rFonts w:cs="Arial"/>
                <w:sz w:val="16"/>
                <w:szCs w:val="16"/>
              </w:rPr>
            </w:pPr>
            <w:r>
              <w:rPr>
                <w:sz w:val="16"/>
              </w:rPr>
              <w:t>Mostly Qualitative</w:t>
            </w:r>
          </w:p>
        </w:tc>
      </w:tr>
      <w:tr w:rsidR="00143584">
        <w:tc>
          <w:tcPr>
            <w:tcW w:w="1555" w:type="dxa"/>
            <w:shd w:val="clear" w:color="auto" w:fill="auto"/>
          </w:tcPr>
          <w:p w:rsidR="00143584" w:rsidRDefault="00D64125">
            <w:pPr>
              <w:pStyle w:val="Htableleft"/>
              <w:rPr>
                <w:rFonts w:cs="Arial"/>
                <w:sz w:val="16"/>
                <w:szCs w:val="16"/>
              </w:rPr>
            </w:pPr>
            <w:r>
              <w:rPr>
                <w:sz w:val="16"/>
              </w:rPr>
              <w:t>Focus groups and elite interviews</w:t>
            </w:r>
          </w:p>
        </w:tc>
        <w:tc>
          <w:tcPr>
            <w:tcW w:w="4110" w:type="dxa"/>
            <w:shd w:val="clear" w:color="auto" w:fill="auto"/>
          </w:tcPr>
          <w:p w:rsidR="00143584" w:rsidRDefault="00D64125">
            <w:pPr>
              <w:pStyle w:val="Htableleft"/>
              <w:rPr>
                <w:rFonts w:cs="Arial"/>
                <w:sz w:val="16"/>
                <w:szCs w:val="16"/>
              </w:rPr>
            </w:pPr>
            <w:r>
              <w:rPr>
                <w:sz w:val="16"/>
              </w:rPr>
              <w:t xml:space="preserve">Focus groups and elite interviews are used when the evaluator aims at recording informed opinions by key stakeholders either through common participation and interaction (focus group) or individually (elite interview).  </w:t>
            </w:r>
          </w:p>
        </w:tc>
        <w:tc>
          <w:tcPr>
            <w:tcW w:w="4111" w:type="dxa"/>
            <w:shd w:val="clear" w:color="auto" w:fill="auto"/>
          </w:tcPr>
          <w:p w:rsidR="00143584" w:rsidRDefault="00D64125">
            <w:pPr>
              <w:pStyle w:val="Htableleft"/>
              <w:rPr>
                <w:rFonts w:cs="Arial"/>
                <w:sz w:val="16"/>
                <w:szCs w:val="16"/>
              </w:rPr>
            </w:pPr>
            <w:r>
              <w:rPr>
                <w:sz w:val="16"/>
              </w:rPr>
              <w:t xml:space="preserve">Does not apply </w:t>
            </w:r>
          </w:p>
        </w:tc>
        <w:tc>
          <w:tcPr>
            <w:tcW w:w="2693" w:type="dxa"/>
            <w:shd w:val="clear" w:color="auto" w:fill="auto"/>
          </w:tcPr>
          <w:p w:rsidR="00143584" w:rsidRDefault="00D64125">
            <w:pPr>
              <w:pStyle w:val="Htableleft"/>
              <w:rPr>
                <w:rFonts w:cs="Arial"/>
                <w:sz w:val="16"/>
                <w:szCs w:val="16"/>
              </w:rPr>
            </w:pPr>
            <w:r>
              <w:rPr>
                <w:sz w:val="16"/>
              </w:rPr>
              <w:t>No access rules applied</w:t>
            </w:r>
          </w:p>
        </w:tc>
        <w:tc>
          <w:tcPr>
            <w:tcW w:w="2410" w:type="dxa"/>
            <w:shd w:val="clear" w:color="auto" w:fill="auto"/>
          </w:tcPr>
          <w:p w:rsidR="00143584" w:rsidRDefault="00D64125">
            <w:pPr>
              <w:pStyle w:val="Htableleft"/>
              <w:rPr>
                <w:rFonts w:cs="Arial"/>
                <w:sz w:val="16"/>
                <w:szCs w:val="16"/>
              </w:rPr>
            </w:pPr>
            <w:r>
              <w:rPr>
                <w:sz w:val="16"/>
              </w:rPr>
              <w:t xml:space="preserve">All data to be collected by evaluator. </w:t>
            </w:r>
          </w:p>
        </w:tc>
      </w:tr>
      <w:tr w:rsidR="00143584">
        <w:trPr>
          <w:trHeight w:val="434"/>
        </w:trPr>
        <w:tc>
          <w:tcPr>
            <w:tcW w:w="14879" w:type="dxa"/>
            <w:gridSpan w:val="5"/>
            <w:shd w:val="clear" w:color="auto" w:fill="auto"/>
          </w:tcPr>
          <w:p w:rsidR="00143584" w:rsidRDefault="00D64125">
            <w:pPr>
              <w:pStyle w:val="Htableleft"/>
              <w:rPr>
                <w:rFonts w:cs="Arial"/>
                <w:sz w:val="16"/>
                <w:szCs w:val="16"/>
              </w:rPr>
            </w:pPr>
            <w:r>
              <w:rPr>
                <w:sz w:val="16"/>
              </w:rPr>
              <w:t>Mixed</w:t>
            </w:r>
          </w:p>
        </w:tc>
      </w:tr>
      <w:tr w:rsidR="00143584">
        <w:tc>
          <w:tcPr>
            <w:tcW w:w="1555" w:type="dxa"/>
            <w:shd w:val="clear" w:color="auto" w:fill="auto"/>
          </w:tcPr>
          <w:p w:rsidR="00143584" w:rsidRDefault="00D64125">
            <w:pPr>
              <w:pStyle w:val="Htableleft"/>
              <w:rPr>
                <w:rFonts w:cs="Arial"/>
                <w:sz w:val="16"/>
                <w:szCs w:val="16"/>
              </w:rPr>
            </w:pPr>
            <w:r>
              <w:rPr>
                <w:sz w:val="16"/>
              </w:rPr>
              <w:t xml:space="preserve">Quality of Life and </w:t>
            </w:r>
            <w:r>
              <w:rPr>
                <w:sz w:val="16"/>
              </w:rPr>
              <w:lastRenderedPageBreak/>
              <w:t>of Local Governance, and Satisfaction Surveys</w:t>
            </w:r>
          </w:p>
        </w:tc>
        <w:tc>
          <w:tcPr>
            <w:tcW w:w="4110" w:type="dxa"/>
            <w:shd w:val="clear" w:color="auto" w:fill="auto"/>
          </w:tcPr>
          <w:p w:rsidR="00143584" w:rsidRDefault="00D64125">
            <w:pPr>
              <w:pStyle w:val="Htableleft"/>
              <w:rPr>
                <w:rFonts w:cs="Arial"/>
                <w:sz w:val="16"/>
                <w:szCs w:val="16"/>
              </w:rPr>
            </w:pPr>
            <w:r>
              <w:rPr>
                <w:sz w:val="16"/>
              </w:rPr>
              <w:lastRenderedPageBreak/>
              <w:t xml:space="preserve">Surveys targeting quality of life in rural areas mainly </w:t>
            </w:r>
            <w:r>
              <w:rPr>
                <w:sz w:val="16"/>
              </w:rPr>
              <w:lastRenderedPageBreak/>
              <w:t xml:space="preserve">refer to the provision, access and use of services and utilities. Local governance studies and life satisfaction surveys may also support the quality of life evaluation.  </w:t>
            </w:r>
          </w:p>
          <w:p w:rsidR="00143584" w:rsidRDefault="00D64125">
            <w:pPr>
              <w:pStyle w:val="Htableleft"/>
              <w:rPr>
                <w:rFonts w:cs="Arial"/>
                <w:sz w:val="16"/>
                <w:szCs w:val="16"/>
              </w:rPr>
            </w:pPr>
            <w:r>
              <w:rPr>
                <w:sz w:val="16"/>
              </w:rPr>
              <w:t xml:space="preserve"> </w:t>
            </w:r>
          </w:p>
        </w:tc>
        <w:tc>
          <w:tcPr>
            <w:tcW w:w="4111" w:type="dxa"/>
            <w:shd w:val="clear" w:color="auto" w:fill="auto"/>
          </w:tcPr>
          <w:p w:rsidR="00143584" w:rsidRDefault="00D64125">
            <w:pPr>
              <w:pStyle w:val="Htableleft"/>
              <w:rPr>
                <w:rFonts w:cs="Arial"/>
                <w:sz w:val="16"/>
                <w:szCs w:val="16"/>
              </w:rPr>
            </w:pPr>
            <w:r>
              <w:rPr>
                <w:sz w:val="16"/>
              </w:rPr>
              <w:lastRenderedPageBreak/>
              <w:t xml:space="preserve">There is existing roll on surveys at the global as well </w:t>
            </w:r>
            <w:r>
              <w:rPr>
                <w:sz w:val="16"/>
              </w:rPr>
              <w:lastRenderedPageBreak/>
              <w:t>as European scale. The problem is that they rarely distinguish between rural and urban areas and, of course, it is difficult to isolate net effects.</w:t>
            </w:r>
          </w:p>
        </w:tc>
        <w:tc>
          <w:tcPr>
            <w:tcW w:w="2693" w:type="dxa"/>
            <w:shd w:val="clear" w:color="auto" w:fill="auto"/>
          </w:tcPr>
          <w:p w:rsidR="00143584" w:rsidRDefault="00D64125">
            <w:pPr>
              <w:pStyle w:val="Htableleft"/>
              <w:rPr>
                <w:rFonts w:cs="Arial"/>
                <w:sz w:val="16"/>
                <w:szCs w:val="16"/>
              </w:rPr>
            </w:pPr>
            <w:r>
              <w:rPr>
                <w:sz w:val="16"/>
              </w:rPr>
              <w:lastRenderedPageBreak/>
              <w:t xml:space="preserve">Eurostat SILK rules apply for </w:t>
            </w:r>
            <w:r>
              <w:rPr>
                <w:sz w:val="16"/>
              </w:rPr>
              <w:lastRenderedPageBreak/>
              <w:t>anonymised data but the country-level samples are relatively small.</w:t>
            </w:r>
          </w:p>
          <w:p w:rsidR="00143584" w:rsidRDefault="00D64125">
            <w:pPr>
              <w:pStyle w:val="Htableleft"/>
              <w:rPr>
                <w:rFonts w:cs="Arial"/>
                <w:sz w:val="16"/>
                <w:szCs w:val="16"/>
              </w:rPr>
            </w:pPr>
            <w:r>
              <w:rPr>
                <w:sz w:val="16"/>
              </w:rPr>
              <w:t>The OECD does not provide access to micro-data.</w:t>
            </w:r>
          </w:p>
        </w:tc>
        <w:tc>
          <w:tcPr>
            <w:tcW w:w="2410" w:type="dxa"/>
            <w:shd w:val="clear" w:color="auto" w:fill="auto"/>
          </w:tcPr>
          <w:p w:rsidR="00143584" w:rsidRDefault="00D64125">
            <w:pPr>
              <w:pStyle w:val="Htableleft"/>
              <w:rPr>
                <w:rFonts w:cs="Arial"/>
                <w:sz w:val="16"/>
                <w:szCs w:val="16"/>
              </w:rPr>
            </w:pPr>
            <w:r>
              <w:rPr>
                <w:sz w:val="16"/>
              </w:rPr>
              <w:lastRenderedPageBreak/>
              <w:t xml:space="preserve">All data to be collected by </w:t>
            </w:r>
            <w:r>
              <w:rPr>
                <w:sz w:val="16"/>
              </w:rPr>
              <w:lastRenderedPageBreak/>
              <w:t>evaluator.</w:t>
            </w:r>
          </w:p>
        </w:tc>
      </w:tr>
    </w:tbl>
    <w:p w:rsidR="00143584" w:rsidRDefault="00143584">
      <w:pPr>
        <w:pStyle w:val="HStandard"/>
        <w:rPr>
          <w:rFonts w:cs="Arial"/>
        </w:rPr>
      </w:pPr>
    </w:p>
    <w:p w:rsidR="00143584" w:rsidRDefault="00143584">
      <w:pPr>
        <w:pStyle w:val="HStandard"/>
        <w:rPr>
          <w:rFonts w:cs="Arial"/>
        </w:rPr>
      </w:pPr>
    </w:p>
    <w:p w:rsidR="00143584" w:rsidRDefault="00143584">
      <w:pPr>
        <w:pStyle w:val="HStandard"/>
        <w:rPr>
          <w:rFonts w:cs="Arial"/>
        </w:rPr>
      </w:pPr>
    </w:p>
    <w:p w:rsidR="00143584" w:rsidRDefault="00143584">
      <w:pPr>
        <w:pStyle w:val="HStandard"/>
        <w:rPr>
          <w:rFonts w:cs="Arial"/>
        </w:rPr>
      </w:pPr>
    </w:p>
    <w:p w:rsidR="00143584" w:rsidRDefault="00143584">
      <w:pPr>
        <w:pStyle w:val="HStandard"/>
        <w:rPr>
          <w:rFonts w:cs="Arial"/>
        </w:rPr>
        <w:sectPr w:rsidR="00143584">
          <w:headerReference w:type="default" r:id="rId64"/>
          <w:footerReference w:type="default" r:id="rId65"/>
          <w:headerReference w:type="first" r:id="rId66"/>
          <w:footerReference w:type="first" r:id="rId67"/>
          <w:pgSz w:w="16838" w:h="11906" w:orient="landscape" w:code="9"/>
          <w:pgMar w:top="1418" w:right="1418" w:bottom="1418" w:left="1418" w:header="737" w:footer="1021" w:gutter="0"/>
          <w:cols w:space="708"/>
          <w:titlePg/>
          <w:docGrid w:linePitch="360"/>
        </w:sectPr>
      </w:pPr>
    </w:p>
    <w:p w:rsidR="00143584" w:rsidRDefault="00D64125">
      <w:pPr>
        <w:pStyle w:val="HHeading5"/>
        <w:rPr>
          <w:rFonts w:cs="Arial"/>
        </w:rPr>
      </w:pPr>
      <w:r>
        <w:lastRenderedPageBreak/>
        <w:t>Addressing data gaps</w:t>
      </w:r>
    </w:p>
    <w:p w:rsidR="00143584" w:rsidRDefault="00D64125">
      <w:pPr>
        <w:pStyle w:val="HStandard"/>
        <w:rPr>
          <w:rFonts w:cs="Arial"/>
        </w:rPr>
      </w:pPr>
      <w:r>
        <w:t xml:space="preserve">Data gaps may be caused by a variety of reasons: no systematic data collection, the data is only available for limited levels (e.g. national, but not regional), missing data-sets on certain context indicators (e.g. environmental indicators). </w:t>
      </w:r>
    </w:p>
    <w:p w:rsidR="00143584" w:rsidRDefault="00D64125">
      <w:pPr>
        <w:pStyle w:val="HStandard"/>
        <w:rPr>
          <w:rFonts w:cs="Arial"/>
        </w:rPr>
      </w:pPr>
      <w: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143584" w:rsidRDefault="00D64125">
      <w:pPr>
        <w:pStyle w:val="HStandard"/>
        <w:rPr>
          <w:rFonts w:cs="Arial"/>
        </w:rPr>
      </w:pPr>
      <w:r>
        <w:t>The requirements for evaluations in the current programming period underline the need for Member States to put in place the necessary procedures for data collection and management for evaluations</w:t>
      </w:r>
      <w:r>
        <w:rPr>
          <w:rStyle w:val="FootnoteReference"/>
        </w:rPr>
        <w:footnoteReference w:id="66"/>
      </w:r>
      <w:r>
        <w:t xml:space="preserve">. Managing Authorities are well advised to incorporate any data needs related to programme-specific elements in their monitoring and evaluation systems as early as possible. </w:t>
      </w:r>
    </w:p>
    <w:p w:rsidR="00143584" w:rsidRDefault="00D64125">
      <w:pPr>
        <w:pStyle w:val="HHeading5"/>
        <w:rPr>
          <w:rFonts w:cs="Arial"/>
        </w:rPr>
      </w:pPr>
      <w:r>
        <w:t xml:space="preserve">Costs </w:t>
      </w:r>
    </w:p>
    <w:p w:rsidR="00143584" w:rsidRDefault="00D64125">
      <w:pPr>
        <w:pStyle w:val="HStandard"/>
        <w:rPr>
          <w:rFonts w:cs="Arial"/>
        </w:rPr>
      </w:pPr>
      <w: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143584" w:rsidRDefault="00D64125">
      <w:pPr>
        <w:pStyle w:val="HHeading5"/>
        <w:rPr>
          <w:rFonts w:cs="Arial"/>
        </w:rPr>
      </w:pPr>
      <w:r>
        <w:t>Role of stakeholders in ensuring data availability</w:t>
      </w:r>
    </w:p>
    <w:p w:rsidR="00143584" w:rsidRDefault="00D64125">
      <w:pPr>
        <w:pStyle w:val="HStandard"/>
        <w:rPr>
          <w:rFonts w:cs="Arial"/>
        </w:rPr>
      </w:pPr>
      <w: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143584" w:rsidRDefault="00D64125">
      <w:pPr>
        <w:pStyle w:val="HHeadingtables"/>
        <w:rPr>
          <w:rFonts w:cs="Arial"/>
        </w:rPr>
      </w:pPr>
      <w:bookmarkStart w:id="108" w:name="_Toc428965200"/>
      <w:bookmarkStart w:id="109" w:name="_Toc460936141"/>
      <w:bookmarkStart w:id="110" w:name="_Toc474937838"/>
      <w:r>
        <w:t>Evaluation stakeholders and their role in ensuring data availability and quality</w:t>
      </w:r>
      <w:r>
        <w:rPr>
          <w:rStyle w:val="FootnoteReference"/>
        </w:rPr>
        <w:footnoteReference w:id="67"/>
      </w:r>
      <w:bookmarkEnd w:id="108"/>
      <w:bookmarkEnd w:id="109"/>
      <w:bookmarkEnd w:id="110"/>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143584">
        <w:trPr>
          <w:trHeight w:val="596"/>
          <w:tblHeader/>
          <w:jc w:val="center"/>
        </w:trPr>
        <w:tc>
          <w:tcPr>
            <w:tcW w:w="1696" w:type="dxa"/>
            <w:shd w:val="clear" w:color="auto" w:fill="F07E31" w:themeFill="background2"/>
          </w:tcPr>
          <w:p w:rsidR="00143584" w:rsidRDefault="00D64125">
            <w:pPr>
              <w:pStyle w:val="Htableleftbolt"/>
              <w:rPr>
                <w:rFonts w:cs="Arial"/>
                <w:color w:val="FFFFFF" w:themeColor="accent1"/>
              </w:rPr>
            </w:pPr>
            <w:r>
              <w:rPr>
                <w:color w:val="FFFFFF" w:themeColor="accent1"/>
              </w:rPr>
              <w:t>Stakeholder</w:t>
            </w:r>
          </w:p>
        </w:tc>
        <w:tc>
          <w:tcPr>
            <w:tcW w:w="7366" w:type="dxa"/>
            <w:shd w:val="clear" w:color="auto" w:fill="F07E31" w:themeFill="background2"/>
          </w:tcPr>
          <w:p w:rsidR="00143584" w:rsidRDefault="00D64125">
            <w:pPr>
              <w:pStyle w:val="Htableleftbolt"/>
              <w:rPr>
                <w:rFonts w:cs="Arial"/>
                <w:color w:val="FFFFFF" w:themeColor="accent1"/>
              </w:rPr>
            </w:pPr>
            <w:r>
              <w:rPr>
                <w:color w:val="FFFFFF" w:themeColor="accent1"/>
              </w:rPr>
              <w:t>Description of role in the data management and collection</w:t>
            </w:r>
          </w:p>
        </w:tc>
      </w:tr>
      <w:tr w:rsidR="00143584">
        <w:trPr>
          <w:jc w:val="center"/>
        </w:trPr>
        <w:tc>
          <w:tcPr>
            <w:tcW w:w="1696" w:type="dxa"/>
            <w:shd w:val="clear" w:color="auto" w:fill="auto"/>
          </w:tcPr>
          <w:p w:rsidR="00143584" w:rsidRDefault="00D64125">
            <w:pPr>
              <w:pStyle w:val="Htableleft"/>
              <w:rPr>
                <w:rFonts w:cs="Arial"/>
              </w:rPr>
            </w:pPr>
            <w:r>
              <w:t>Managing Authority</w:t>
            </w:r>
          </w:p>
        </w:tc>
        <w:tc>
          <w:tcPr>
            <w:tcW w:w="7366" w:type="dxa"/>
            <w:shd w:val="clear" w:color="auto" w:fill="auto"/>
          </w:tcPr>
          <w:p w:rsidR="00143584" w:rsidRDefault="00D64125">
            <w:pPr>
              <w:pStyle w:val="Hlistbullet"/>
              <w:spacing w:after="60"/>
              <w:rPr>
                <w:sz w:val="18"/>
                <w:szCs w:val="18"/>
              </w:rPr>
            </w:pPr>
            <w:r>
              <w:rPr>
                <w:sz w:val="18"/>
              </w:rPr>
              <w:t>Draw up a detailed evaluation plan with the monitoring and evaluation system</w:t>
            </w:r>
          </w:p>
          <w:p w:rsidR="00143584" w:rsidRDefault="00D64125">
            <w:pPr>
              <w:pStyle w:val="Hlistbullet"/>
              <w:spacing w:after="60"/>
              <w:rPr>
                <w:sz w:val="18"/>
                <w:szCs w:val="18"/>
              </w:rPr>
            </w:pPr>
            <w:r>
              <w:rPr>
                <w:sz w:val="18"/>
              </w:rPr>
              <w:t>Ensure a secure electronic system and a monitoring system for all common and programme-specific indicators</w:t>
            </w:r>
          </w:p>
          <w:p w:rsidR="00143584" w:rsidRDefault="00D64125">
            <w:pPr>
              <w:pStyle w:val="Hlistbullet"/>
              <w:spacing w:after="60"/>
              <w:rPr>
                <w:sz w:val="18"/>
                <w:szCs w:val="18"/>
              </w:rPr>
            </w:pPr>
            <w:r>
              <w:rPr>
                <w:sz w:val="18"/>
              </w:rPr>
              <w:t>Establish appropriate data infrastructure, including the necessary resources for collecting, storing and updating data</w:t>
            </w:r>
          </w:p>
          <w:p w:rsidR="00143584" w:rsidRDefault="00D64125">
            <w:pPr>
              <w:pStyle w:val="Hlistbullet"/>
              <w:spacing w:after="60"/>
              <w:rPr>
                <w:sz w:val="18"/>
                <w:szCs w:val="18"/>
              </w:rPr>
            </w:pPr>
            <w:r>
              <w:rPr>
                <w:sz w:val="18"/>
              </w:rPr>
              <w:t>Establish clear and transparent data collection and management procedures</w:t>
            </w:r>
          </w:p>
          <w:p w:rsidR="00143584" w:rsidRDefault="00D64125">
            <w:pPr>
              <w:pStyle w:val="Hlistbullet"/>
              <w:spacing w:after="60"/>
              <w:rPr>
                <w:sz w:val="18"/>
                <w:szCs w:val="18"/>
              </w:rPr>
            </w:pPr>
            <w:r>
              <w:rPr>
                <w:sz w:val="18"/>
              </w:rPr>
              <w:t>Screen all available data sources, communicate with providers, and make arrangements that data is available in a specific format and with a sufficient level of quality needed for the RDP evaluation</w:t>
            </w:r>
          </w:p>
          <w:p w:rsidR="00143584" w:rsidRDefault="00D64125">
            <w:pPr>
              <w:pStyle w:val="Hlistbullet"/>
              <w:spacing w:after="60"/>
              <w:rPr>
                <w:sz w:val="18"/>
                <w:szCs w:val="18"/>
              </w:rPr>
            </w:pPr>
            <w:r>
              <w:rPr>
                <w:sz w:val="18"/>
              </w:rPr>
              <w:t xml:space="preserve">Ensure also communication among data providers </w:t>
            </w:r>
          </w:p>
          <w:p w:rsidR="00143584" w:rsidRDefault="00D64125">
            <w:pPr>
              <w:pStyle w:val="Hlistbullet"/>
              <w:spacing w:after="60"/>
              <w:rPr>
                <w:sz w:val="18"/>
                <w:szCs w:val="18"/>
              </w:rPr>
            </w:pPr>
            <w:r>
              <w:rPr>
                <w:sz w:val="18"/>
              </w:rPr>
              <w:t>Establish the processes for ensuring timely implementation of evaluations and reporting on them</w:t>
            </w:r>
          </w:p>
          <w:p w:rsidR="00143584" w:rsidRDefault="00D64125">
            <w:pPr>
              <w:pStyle w:val="Hlistbullet"/>
              <w:spacing w:after="60"/>
              <w:rPr>
                <w:sz w:val="18"/>
                <w:szCs w:val="18"/>
              </w:rPr>
            </w:pPr>
            <w:r>
              <w:rPr>
                <w:sz w:val="18"/>
              </w:rPr>
              <w:t>Design a good concept note and Terms of Reference taking into account the available budget for evaluation, the evaluation scope and the preferred evaluation approaches</w:t>
            </w:r>
          </w:p>
          <w:p w:rsidR="00143584" w:rsidRDefault="00D64125">
            <w:pPr>
              <w:pStyle w:val="Hlistbullet"/>
              <w:spacing w:after="60"/>
            </w:pPr>
            <w:r>
              <w:rPr>
                <w:sz w:val="18"/>
              </w:rPr>
              <w:t xml:space="preserve">Ensure early involvement of data providers (national statistical office, relevant ministries, research institutes, etc.) in monitoring and evaluation from the planning </w:t>
            </w:r>
            <w:r>
              <w:rPr>
                <w:sz w:val="18"/>
              </w:rPr>
              <w:lastRenderedPageBreak/>
              <w:t>stage</w:t>
            </w:r>
          </w:p>
        </w:tc>
      </w:tr>
      <w:tr w:rsidR="00143584">
        <w:trPr>
          <w:jc w:val="center"/>
        </w:trPr>
        <w:tc>
          <w:tcPr>
            <w:tcW w:w="1696" w:type="dxa"/>
            <w:shd w:val="clear" w:color="auto" w:fill="auto"/>
          </w:tcPr>
          <w:p w:rsidR="00143584" w:rsidRDefault="00D64125">
            <w:pPr>
              <w:pStyle w:val="Htableleft"/>
              <w:rPr>
                <w:rFonts w:cs="Arial"/>
              </w:rPr>
            </w:pPr>
            <w:r>
              <w:lastRenderedPageBreak/>
              <w:t>Paying Agency</w:t>
            </w:r>
          </w:p>
        </w:tc>
        <w:tc>
          <w:tcPr>
            <w:tcW w:w="7366" w:type="dxa"/>
            <w:shd w:val="clear" w:color="auto" w:fill="auto"/>
          </w:tcPr>
          <w:p w:rsidR="00143584" w:rsidRDefault="00D64125">
            <w:pPr>
              <w:pStyle w:val="Hlistbullet"/>
              <w:spacing w:after="60"/>
              <w:rPr>
                <w:sz w:val="18"/>
                <w:szCs w:val="18"/>
              </w:rPr>
            </w:pPr>
            <w:r>
              <w:rPr>
                <w:sz w:val="18"/>
              </w:rPr>
              <w:t>Establish clear and transparent procedures for the recording of monitoring information on applications, supported projects, payments and control</w:t>
            </w:r>
          </w:p>
          <w:p w:rsidR="00143584" w:rsidRDefault="00D64125">
            <w:pPr>
              <w:pStyle w:val="Hlistbullet"/>
              <w:spacing w:after="60"/>
              <w:rPr>
                <w:sz w:val="18"/>
                <w:szCs w:val="18"/>
              </w:rPr>
            </w:pPr>
            <w:r>
              <w:rPr>
                <w:sz w:val="18"/>
              </w:rPr>
              <w:t>Operations database</w:t>
            </w:r>
          </w:p>
          <w:p w:rsidR="00143584" w:rsidRDefault="00D64125">
            <w:pPr>
              <w:pStyle w:val="Hlistbullet"/>
              <w:spacing w:after="60"/>
              <w:rPr>
                <w:sz w:val="18"/>
                <w:szCs w:val="18"/>
              </w:rPr>
            </w:pPr>
            <w:r>
              <w:rPr>
                <w:sz w:val="18"/>
              </w:rPr>
              <w:t xml:space="preserve">Set up simple, transparent and fast procedures for the Managing Authority’s and the evaluator’s access to data </w:t>
            </w:r>
          </w:p>
          <w:p w:rsidR="00143584" w:rsidRDefault="00D64125">
            <w:pPr>
              <w:pStyle w:val="Hlistbullet"/>
              <w:spacing w:after="60"/>
              <w:rPr>
                <w:sz w:val="18"/>
                <w:szCs w:val="18"/>
              </w:rPr>
            </w:pPr>
            <w:r>
              <w:rPr>
                <w:sz w:val="18"/>
              </w:rPr>
              <w:t>Establish a common data system to facilitate access to data or an interface to facilitate the transfer and handling of data between the Paying Agency and the Managing Authority</w:t>
            </w:r>
          </w:p>
          <w:p w:rsidR="00143584" w:rsidRDefault="00D64125">
            <w:pPr>
              <w:pStyle w:val="Hlistbullet"/>
              <w:spacing w:after="60"/>
            </w:pPr>
            <w:r>
              <w:rPr>
                <w:sz w:val="18"/>
              </w:rPr>
              <w:t xml:space="preserve">Ensure a link to other databases, if required </w:t>
            </w:r>
          </w:p>
        </w:tc>
      </w:tr>
      <w:tr w:rsidR="00143584">
        <w:trPr>
          <w:jc w:val="center"/>
        </w:trPr>
        <w:tc>
          <w:tcPr>
            <w:tcW w:w="1696" w:type="dxa"/>
            <w:shd w:val="clear" w:color="auto" w:fill="auto"/>
          </w:tcPr>
          <w:p w:rsidR="00143584" w:rsidRDefault="00D64125">
            <w:pPr>
              <w:pStyle w:val="Htableleft"/>
              <w:rPr>
                <w:rFonts w:cs="Arial"/>
              </w:rPr>
            </w:pPr>
            <w:r>
              <w:t>Evaluation Steering Group (if established, otherwise Managing Authority)</w:t>
            </w:r>
          </w:p>
        </w:tc>
        <w:tc>
          <w:tcPr>
            <w:tcW w:w="7366" w:type="dxa"/>
            <w:shd w:val="clear" w:color="auto" w:fill="auto"/>
          </w:tcPr>
          <w:p w:rsidR="00143584" w:rsidRDefault="00D64125">
            <w:pPr>
              <w:pStyle w:val="Hlistbullet"/>
              <w:spacing w:after="60"/>
              <w:rPr>
                <w:sz w:val="18"/>
                <w:szCs w:val="18"/>
              </w:rPr>
            </w:pPr>
            <w:r>
              <w:rPr>
                <w:sz w:val="18"/>
              </w:rPr>
              <w:t>Facilitate and coordinate stakeholders’ consultation for the evaluation</w:t>
            </w:r>
          </w:p>
          <w:p w:rsidR="00143584" w:rsidRDefault="00D64125">
            <w:pPr>
              <w:pStyle w:val="Hlistbullet"/>
              <w:spacing w:after="60"/>
              <w:rPr>
                <w:sz w:val="18"/>
                <w:szCs w:val="18"/>
              </w:rPr>
            </w:pPr>
            <w:r>
              <w:rPr>
                <w:sz w:val="18"/>
              </w:rPr>
              <w:t>Establish a process for checking and ensuring the relevance of monitoring and evaluation activities to programme needs</w:t>
            </w:r>
          </w:p>
          <w:p w:rsidR="00143584" w:rsidRDefault="00D64125">
            <w:pPr>
              <w:pStyle w:val="Hlistbullet"/>
              <w:spacing w:after="60"/>
              <w:rPr>
                <w:sz w:val="18"/>
                <w:szCs w:val="18"/>
              </w:rPr>
            </w:pPr>
            <w:r>
              <w:rPr>
                <w:sz w:val="18"/>
              </w:rPr>
              <w:t>Ensure a Steering Group composition of experts on evaluation and rural development with experts who can provide advice on data availability, information and relevant contacts to evaluators</w:t>
            </w:r>
          </w:p>
          <w:p w:rsidR="00143584" w:rsidRDefault="00D64125">
            <w:pPr>
              <w:pStyle w:val="Hlistbullet"/>
              <w:spacing w:after="60"/>
            </w:pPr>
            <w:r>
              <w:rPr>
                <w:sz w:val="18"/>
              </w:rPr>
              <w:t>Potentially involve beneficiaries in the Steering Group to facilitate access to micro-data and contacts of evaluators with beneficiaries</w:t>
            </w:r>
          </w:p>
        </w:tc>
      </w:tr>
      <w:tr w:rsidR="00143584">
        <w:trPr>
          <w:jc w:val="center"/>
        </w:trPr>
        <w:tc>
          <w:tcPr>
            <w:tcW w:w="1696" w:type="dxa"/>
            <w:shd w:val="clear" w:color="auto" w:fill="auto"/>
          </w:tcPr>
          <w:p w:rsidR="00143584" w:rsidRDefault="00D64125">
            <w:pPr>
              <w:pStyle w:val="Htableleft"/>
              <w:rPr>
                <w:rFonts w:cs="Arial"/>
              </w:rPr>
            </w:pPr>
            <w:r>
              <w:t>Working Groups (if established)</w:t>
            </w:r>
          </w:p>
        </w:tc>
        <w:tc>
          <w:tcPr>
            <w:tcW w:w="7366" w:type="dxa"/>
            <w:shd w:val="clear" w:color="auto" w:fill="auto"/>
          </w:tcPr>
          <w:p w:rsidR="00143584" w:rsidRDefault="00D64125">
            <w:pPr>
              <w:pStyle w:val="Hlistbullet"/>
              <w:spacing w:after="60"/>
              <w:rPr>
                <w:sz w:val="18"/>
                <w:szCs w:val="18"/>
              </w:rPr>
            </w:pPr>
            <w:r>
              <w:rPr>
                <w:sz w:val="18"/>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143584" w:rsidRDefault="00D64125">
            <w:pPr>
              <w:pStyle w:val="Hlistbullet"/>
              <w:spacing w:after="60"/>
              <w:rPr>
                <w:sz w:val="18"/>
                <w:szCs w:val="18"/>
              </w:rPr>
            </w:pPr>
            <w:r>
              <w:rPr>
                <w:sz w:val="18"/>
              </w:rPr>
              <w:t>Establish thematic working groups according to the needs of each evaluation in order to enhance its quality</w:t>
            </w:r>
          </w:p>
        </w:tc>
      </w:tr>
      <w:tr w:rsidR="00143584">
        <w:trPr>
          <w:jc w:val="center"/>
        </w:trPr>
        <w:tc>
          <w:tcPr>
            <w:tcW w:w="1696" w:type="dxa"/>
            <w:shd w:val="clear" w:color="auto" w:fill="auto"/>
          </w:tcPr>
          <w:p w:rsidR="00143584" w:rsidRDefault="00D64125">
            <w:pPr>
              <w:pStyle w:val="Htableleft"/>
              <w:rPr>
                <w:rFonts w:cs="Arial"/>
              </w:rPr>
            </w:pPr>
            <w:r>
              <w:t>LAGs</w:t>
            </w:r>
          </w:p>
        </w:tc>
        <w:tc>
          <w:tcPr>
            <w:tcW w:w="7366" w:type="dxa"/>
            <w:shd w:val="clear" w:color="auto" w:fill="auto"/>
          </w:tcPr>
          <w:p w:rsidR="00143584" w:rsidRDefault="00D64125">
            <w:pPr>
              <w:pStyle w:val="Hlistbullet"/>
              <w:spacing w:after="60"/>
              <w:rPr>
                <w:sz w:val="18"/>
                <w:szCs w:val="18"/>
              </w:rPr>
            </w:pPr>
            <w:r>
              <w:rPr>
                <w:sz w:val="18"/>
              </w:rPr>
              <w:t>Establish processes for bringing the LAG local knowledge and contacts to the service of the evaluation</w:t>
            </w:r>
          </w:p>
          <w:p w:rsidR="00143584" w:rsidRDefault="00D64125">
            <w:pPr>
              <w:pStyle w:val="Hlistbullet"/>
              <w:spacing w:after="60"/>
              <w:rPr>
                <w:sz w:val="18"/>
                <w:szCs w:val="18"/>
              </w:rPr>
            </w:pPr>
            <w:r>
              <w:rPr>
                <w:sz w:val="18"/>
              </w:rPr>
              <w:t>LAG level operations database</w:t>
            </w:r>
          </w:p>
          <w:p w:rsidR="00143584" w:rsidRDefault="00D64125">
            <w:pPr>
              <w:pStyle w:val="Hlistbullet"/>
              <w:spacing w:after="60"/>
              <w:rPr>
                <w:sz w:val="18"/>
                <w:szCs w:val="18"/>
              </w:rPr>
            </w:pPr>
            <w:r>
              <w:rPr>
                <w:sz w:val="18"/>
              </w:rPr>
              <w:t>Establish processes for feeding into the self-assessment and the outcomes of CLLD strategy into the evaluation</w:t>
            </w:r>
          </w:p>
          <w:p w:rsidR="00143584" w:rsidRDefault="00D64125">
            <w:pPr>
              <w:pStyle w:val="Hlistbullet"/>
              <w:spacing w:after="60"/>
            </w:pPr>
            <w:r>
              <w:rPr>
                <w:sz w:val="18"/>
              </w:rPr>
              <w:t>Encourage the participation of LAG members in the evaluation steering groups</w:t>
            </w:r>
          </w:p>
        </w:tc>
      </w:tr>
      <w:tr w:rsidR="00143584">
        <w:trPr>
          <w:jc w:val="center"/>
        </w:trPr>
        <w:tc>
          <w:tcPr>
            <w:tcW w:w="1696" w:type="dxa"/>
            <w:shd w:val="clear" w:color="auto" w:fill="auto"/>
          </w:tcPr>
          <w:p w:rsidR="00143584" w:rsidRDefault="00D64125">
            <w:pPr>
              <w:pStyle w:val="Htableleft"/>
              <w:rPr>
                <w:rFonts w:cs="Arial"/>
              </w:rPr>
            </w:pPr>
            <w:r>
              <w:t>NRNs</w:t>
            </w:r>
          </w:p>
        </w:tc>
        <w:tc>
          <w:tcPr>
            <w:tcW w:w="7366" w:type="dxa"/>
            <w:shd w:val="clear" w:color="auto" w:fill="auto"/>
          </w:tcPr>
          <w:p w:rsidR="00143584" w:rsidRDefault="00D64125">
            <w:pPr>
              <w:pStyle w:val="Hlistbullet"/>
              <w:spacing w:after="60"/>
              <w:rPr>
                <w:sz w:val="18"/>
                <w:szCs w:val="18"/>
              </w:rPr>
            </w:pPr>
            <w:r>
              <w:rPr>
                <w:sz w:val="18"/>
              </w:rPr>
              <w:t>Establish an effective and transparent system for disseminating evaluation results</w:t>
            </w:r>
          </w:p>
          <w:p w:rsidR="00143584" w:rsidRDefault="00D64125">
            <w:pPr>
              <w:pStyle w:val="Hlistbullet"/>
              <w:spacing w:after="60"/>
              <w:rPr>
                <w:sz w:val="18"/>
                <w:szCs w:val="18"/>
              </w:rPr>
            </w:pPr>
            <w:r>
              <w:rPr>
                <w:sz w:val="18"/>
              </w:rPr>
              <w:t>Facilitate contacts and provide advice to evaluators on alternative data sources and other data requirements</w:t>
            </w:r>
          </w:p>
          <w:p w:rsidR="00143584" w:rsidRDefault="00D64125">
            <w:pPr>
              <w:pStyle w:val="Hlistbullet"/>
              <w:spacing w:after="60"/>
              <w:rPr>
                <w:sz w:val="18"/>
                <w:szCs w:val="18"/>
              </w:rPr>
            </w:pPr>
            <w:r>
              <w:rPr>
                <w:sz w:val="18"/>
              </w:rPr>
              <w:t>Establish mechanisms to transfer knowledge on monitoring and evaluation from one country or region to another, including the provision of capacity building to evaluators</w:t>
            </w:r>
          </w:p>
          <w:p w:rsidR="00143584" w:rsidRDefault="00D64125">
            <w:pPr>
              <w:pStyle w:val="Hlistbullet"/>
              <w:spacing w:after="60"/>
            </w:pPr>
            <w:r>
              <w:rPr>
                <w:sz w:val="18"/>
              </w:rPr>
              <w:t>Develop a system for the establishment of regional proxies when only national data is available for indicators</w:t>
            </w:r>
          </w:p>
        </w:tc>
      </w:tr>
      <w:tr w:rsidR="00143584">
        <w:trPr>
          <w:jc w:val="center"/>
        </w:trPr>
        <w:tc>
          <w:tcPr>
            <w:tcW w:w="1696" w:type="dxa"/>
            <w:shd w:val="clear" w:color="auto" w:fill="auto"/>
          </w:tcPr>
          <w:p w:rsidR="00143584" w:rsidRDefault="00D64125">
            <w:pPr>
              <w:pStyle w:val="Htableleft"/>
              <w:rPr>
                <w:rFonts w:cs="Arial"/>
              </w:rPr>
            </w:pPr>
            <w:r>
              <w:t>Regional governments and agencies</w:t>
            </w:r>
          </w:p>
        </w:tc>
        <w:tc>
          <w:tcPr>
            <w:tcW w:w="7366" w:type="dxa"/>
            <w:shd w:val="clear" w:color="auto" w:fill="auto"/>
          </w:tcPr>
          <w:p w:rsidR="00143584" w:rsidRDefault="00D64125">
            <w:pPr>
              <w:pStyle w:val="Hlistbullet"/>
              <w:spacing w:after="60"/>
              <w:rPr>
                <w:sz w:val="18"/>
                <w:szCs w:val="18"/>
              </w:rPr>
            </w:pPr>
            <w:r>
              <w:rPr>
                <w:sz w:val="18"/>
              </w:rPr>
              <w:t>Establish a process of communication with the Managing Authority and Paying Agency to provide help in addressing any data requirements</w:t>
            </w:r>
          </w:p>
          <w:p w:rsidR="00143584" w:rsidRDefault="00D64125">
            <w:pPr>
              <w:pStyle w:val="Hlistbullet"/>
              <w:spacing w:after="60"/>
              <w:rPr>
                <w:sz w:val="18"/>
                <w:szCs w:val="18"/>
              </w:rPr>
            </w:pPr>
            <w:r>
              <w:rPr>
                <w:sz w:val="18"/>
              </w:rPr>
              <w:t>Adapt their data collection systems to the monitoring and data collection requirements of the RDPs and feed them into or build an interface with the Managing Authority's systems</w:t>
            </w:r>
          </w:p>
        </w:tc>
      </w:tr>
      <w:tr w:rsidR="00143584">
        <w:trPr>
          <w:jc w:val="center"/>
        </w:trPr>
        <w:tc>
          <w:tcPr>
            <w:tcW w:w="1696" w:type="dxa"/>
            <w:shd w:val="clear" w:color="auto" w:fill="auto"/>
          </w:tcPr>
          <w:p w:rsidR="00143584" w:rsidRDefault="00D64125">
            <w:pPr>
              <w:pStyle w:val="Htableleft"/>
              <w:rPr>
                <w:rFonts w:cs="Arial"/>
              </w:rPr>
            </w:pPr>
            <w:r>
              <w:t>Data providers</w:t>
            </w:r>
          </w:p>
        </w:tc>
        <w:tc>
          <w:tcPr>
            <w:tcW w:w="7366" w:type="dxa"/>
            <w:shd w:val="clear" w:color="auto" w:fill="auto"/>
          </w:tcPr>
          <w:p w:rsidR="00143584" w:rsidRDefault="00D64125">
            <w:pPr>
              <w:pStyle w:val="Hlistbullet"/>
              <w:spacing w:after="60"/>
              <w:rPr>
                <w:sz w:val="18"/>
                <w:szCs w:val="18"/>
              </w:rPr>
            </w:pPr>
            <w:r>
              <w:rPr>
                <w:sz w:val="18"/>
              </w:rPr>
              <w:t>Provide data of relevance to RDPs and the results of research on relevant topics to evaluators</w:t>
            </w:r>
          </w:p>
          <w:p w:rsidR="00143584" w:rsidRDefault="00D64125">
            <w:pPr>
              <w:pStyle w:val="Hlistbullet"/>
              <w:spacing w:after="60"/>
              <w:rPr>
                <w:sz w:val="18"/>
                <w:szCs w:val="18"/>
              </w:rPr>
            </w:pPr>
            <w:r>
              <w:rPr>
                <w:sz w:val="18"/>
              </w:rPr>
              <w:t>Provide expert knowledge and even collect specific monitoring data for the Managing Authority (possibly on a contractual basis)</w:t>
            </w:r>
          </w:p>
          <w:p w:rsidR="00143584" w:rsidRDefault="00D64125">
            <w:pPr>
              <w:pStyle w:val="Hlistbullet"/>
              <w:spacing w:after="60"/>
              <w:rPr>
                <w:sz w:val="18"/>
                <w:szCs w:val="18"/>
              </w:rPr>
            </w:pPr>
            <w:r>
              <w:rPr>
                <w:sz w:val="18"/>
              </w:rPr>
              <w:t>Encourage the participation of data providers in evaluation steering groups and/or the Monitoring Committee</w:t>
            </w:r>
          </w:p>
        </w:tc>
      </w:tr>
      <w:tr w:rsidR="00143584">
        <w:trPr>
          <w:jc w:val="center"/>
        </w:trPr>
        <w:tc>
          <w:tcPr>
            <w:tcW w:w="1696" w:type="dxa"/>
            <w:shd w:val="clear" w:color="auto" w:fill="auto"/>
          </w:tcPr>
          <w:p w:rsidR="00143584" w:rsidRDefault="00D64125">
            <w:pPr>
              <w:pStyle w:val="Htableleft"/>
              <w:rPr>
                <w:rFonts w:cs="Arial"/>
              </w:rPr>
            </w:pPr>
            <w:r>
              <w:t>Evaluators</w:t>
            </w:r>
          </w:p>
        </w:tc>
        <w:tc>
          <w:tcPr>
            <w:tcW w:w="7366" w:type="dxa"/>
            <w:shd w:val="clear" w:color="auto" w:fill="auto"/>
          </w:tcPr>
          <w:p w:rsidR="00143584" w:rsidRDefault="00D64125">
            <w:pPr>
              <w:pStyle w:val="Hlistbullet"/>
              <w:spacing w:after="60"/>
              <w:rPr>
                <w:sz w:val="18"/>
                <w:szCs w:val="18"/>
              </w:rPr>
            </w:pPr>
            <w:r>
              <w:rPr>
                <w:sz w:val="18"/>
              </w:rPr>
              <w:t xml:space="preserve">Ensure capacities and expertise appropriate to the evaluation type and topic </w:t>
            </w:r>
          </w:p>
          <w:p w:rsidR="00143584" w:rsidRDefault="00D64125">
            <w:pPr>
              <w:pStyle w:val="Hlistbullet"/>
              <w:spacing w:after="60"/>
              <w:rPr>
                <w:sz w:val="18"/>
                <w:szCs w:val="18"/>
              </w:rPr>
            </w:pPr>
            <w:r>
              <w:rPr>
                <w:sz w:val="18"/>
              </w:rPr>
              <w:t xml:space="preserve">Set up evaluation teams with capacities to implement the necessary evaluation </w:t>
            </w:r>
            <w:r>
              <w:rPr>
                <w:sz w:val="18"/>
              </w:rPr>
              <w:lastRenderedPageBreak/>
              <w:t>methods (quantitative, qualitative)</w:t>
            </w:r>
          </w:p>
          <w:p w:rsidR="00143584" w:rsidRDefault="00D64125">
            <w:pPr>
              <w:pStyle w:val="Hlistbullet"/>
              <w:spacing w:after="60"/>
              <w:rPr>
                <w:sz w:val="18"/>
                <w:szCs w:val="18"/>
              </w:rPr>
            </w:pPr>
            <w:r>
              <w:rPr>
                <w:sz w:val="18"/>
              </w:rPr>
              <w:t>Establish a continuous interface with the Managing Authority for the timely collection of data, the identification of data gaps and solutions to bridge them</w:t>
            </w:r>
          </w:p>
          <w:p w:rsidR="00143584" w:rsidRDefault="00D64125">
            <w:pPr>
              <w:pStyle w:val="Hlistbullet"/>
              <w:spacing w:after="60"/>
            </w:pPr>
            <w:r>
              <w:rPr>
                <w:sz w:val="18"/>
              </w:rPr>
              <w:t>Evaluators often have considerable experience with data collection and access to different data sources. Such experience can be brought into the evaluation teams to address any difficulties to access data.</w:t>
            </w:r>
          </w:p>
        </w:tc>
      </w:tr>
    </w:tbl>
    <w:p w:rsidR="00143584" w:rsidRDefault="00D64125">
      <w:pPr>
        <w:pStyle w:val="HHeading5"/>
        <w:rPr>
          <w:rFonts w:cs="Arial"/>
        </w:rPr>
      </w:pPr>
      <w:r>
        <w:lastRenderedPageBreak/>
        <w:t>Specificities of LEADER</w:t>
      </w:r>
    </w:p>
    <w:p w:rsidR="00143584" w:rsidRDefault="00D64125">
      <w:pPr>
        <w:pStyle w:val="HStandard"/>
        <w:rPr>
          <w:rFonts w:cs="Arial"/>
        </w:rPr>
      </w:pPr>
      <w: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143584" w:rsidRDefault="00D64125">
      <w:pPr>
        <w:pStyle w:val="HStandard"/>
        <w:rPr>
          <w:rFonts w:cs="Arial"/>
        </w:rPr>
      </w:pPr>
      <w:r>
        <w:t>In the case of the CLLD strategies specific intervention logic, the LAG should develop feasible indicators and ensure the data collection itself.</w:t>
      </w:r>
    </w:p>
    <w:p w:rsidR="00143584" w:rsidRDefault="00D64125">
      <w:pPr>
        <w:pStyle w:val="HHeading5"/>
        <w:rPr>
          <w:rFonts w:cs="Arial"/>
        </w:rPr>
      </w:pPr>
      <w:r>
        <w:t xml:space="preserve">Specificities of TA </w:t>
      </w:r>
    </w:p>
    <w:p w:rsidR="00143584" w:rsidRDefault="00D64125">
      <w:pPr>
        <w:pStyle w:val="HStandard"/>
        <w:rPr>
          <w:rFonts w:cs="Arial"/>
        </w:rPr>
      </w:pPr>
      <w:r>
        <w:t xml:space="preserve">It is expected that mainly qualitative methods will be used in the evaluation of TA actions. This will require collecting mainly information from RDP stakeholders using qualitative tools, such as interviews, surveys, focus groups, etc.  Data on accomplished actions divided by type and information needed in the assessment may be collected by programme authorities and used by the evaluator in addition to qualitative information.   </w:t>
      </w:r>
    </w:p>
    <w:p w:rsidR="00143584" w:rsidRDefault="00D64125">
      <w:pPr>
        <w:pStyle w:val="HHeading5"/>
        <w:rPr>
          <w:rFonts w:cs="Arial"/>
        </w:rPr>
      </w:pPr>
      <w:r>
        <w:t>Specificities of the NRN</w:t>
      </w:r>
    </w:p>
    <w:p w:rsidR="00143584" w:rsidRDefault="00D64125">
      <w:pPr>
        <w:pStyle w:val="HStandard"/>
        <w:rPr>
          <w:rFonts w:cs="Arial"/>
        </w:rPr>
      </w:pPr>
      <w:r>
        <w:t xml:space="preserve">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  </w:t>
      </w:r>
    </w:p>
    <w:p w:rsidR="00143584" w:rsidRDefault="00D64125">
      <w:pPr>
        <w:pStyle w:val="HHeading3"/>
        <w:tabs>
          <w:tab w:val="clear" w:pos="567"/>
          <w:tab w:val="clear" w:pos="720"/>
        </w:tabs>
        <w:rPr>
          <w:rFonts w:cs="Arial"/>
        </w:rPr>
      </w:pPr>
      <w:bookmarkStart w:id="111" w:name="_Toc460936120"/>
      <w:bookmarkStart w:id="112" w:name="_Toc474938244"/>
      <w:r>
        <w:t>Manage and collect data for evaluation</w:t>
      </w:r>
      <w:bookmarkEnd w:id="111"/>
      <w:bookmarkEnd w:id="112"/>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143584">
        <w:trPr>
          <w:jc w:val="center"/>
        </w:trPr>
        <w:tc>
          <w:tcPr>
            <w:tcW w:w="9071" w:type="dxa"/>
            <w:tcBorders>
              <w:bottom w:val="single" w:sz="4" w:space="0" w:color="6F6F6F" w:themeColor="text1"/>
            </w:tcBorders>
            <w:shd w:val="clear" w:color="auto" w:fill="F6B183" w:themeFill="background2" w:themeFillTint="99"/>
          </w:tcPr>
          <w:p w:rsidR="00143584" w:rsidRDefault="00D64125">
            <w:pPr>
              <w:pStyle w:val="HStandard"/>
              <w:jc w:val="left"/>
              <w:rPr>
                <w:rFonts w:cs="Arial"/>
              </w:rPr>
            </w:pPr>
            <w: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143584">
        <w:trPr>
          <w:jc w:val="center"/>
        </w:trPr>
        <w:tc>
          <w:tcPr>
            <w:tcW w:w="9071" w:type="dxa"/>
            <w:shd w:val="clear" w:color="auto" w:fill="FCE5D5" w:themeFill="background2" w:themeFillTint="33"/>
          </w:tcPr>
          <w:p w:rsidR="00143584" w:rsidRDefault="00D64125">
            <w:pPr>
              <w:pStyle w:val="HHeading5"/>
              <w:rPr>
                <w:rFonts w:cs="Arial"/>
              </w:rPr>
            </w:pPr>
            <w:r>
              <w:t>Recommended working steps:</w:t>
            </w:r>
          </w:p>
          <w:p w:rsidR="00143584" w:rsidRDefault="00D64125">
            <w:pPr>
              <w:pStyle w:val="Hlistbullet"/>
              <w:jc w:val="left"/>
            </w:pPr>
            <w:r>
              <w:rPr>
                <w:b/>
              </w:rPr>
              <w:t>Allocate clear data collection responsibilities in order to clarify who is responsible for the collection of various types data for indicators</w:t>
            </w:r>
            <w:r>
              <w:t xml:space="preserve"> (Context, Output, Result-Target, Complementary Result, and Impact):</w:t>
            </w:r>
          </w:p>
          <w:p w:rsidR="00143584" w:rsidRDefault="00D64125">
            <w:pPr>
              <w:pStyle w:val="Hlistbullet2"/>
              <w:jc w:val="left"/>
            </w:pPr>
            <w:r>
              <w:t>collecting primary disaggregated data at application level, or through the payment request after project finalisation</w:t>
            </w:r>
          </w:p>
          <w:p w:rsidR="00143584" w:rsidRDefault="00D64125">
            <w:pPr>
              <w:pStyle w:val="Hlistbullet2"/>
              <w:jc w:val="left"/>
            </w:pPr>
            <w:r>
              <w:lastRenderedPageBreak/>
              <w:t>transmitting or uploading disaggregated data at pre-defined time and frequency</w:t>
            </w:r>
          </w:p>
          <w:p w:rsidR="00143584" w:rsidRDefault="00D64125">
            <w:pPr>
              <w:pStyle w:val="Hlistbullet2"/>
              <w:jc w:val="left"/>
            </w:pPr>
            <w:r>
              <w:t>inspecting data for abnormal and missing values (quality control)</w:t>
            </w:r>
          </w:p>
          <w:p w:rsidR="00143584" w:rsidRDefault="00D64125">
            <w:pPr>
              <w:pStyle w:val="Hlistbullet2"/>
              <w:jc w:val="left"/>
            </w:pPr>
            <w:r>
              <w:t>aggregating data according to spatial units and the Member State level</w:t>
            </w:r>
          </w:p>
          <w:p w:rsidR="00143584" w:rsidRDefault="00D64125">
            <w:pPr>
              <w:pStyle w:val="Hlistbullet2"/>
              <w:jc w:val="left"/>
            </w:pPr>
            <w:r>
              <w:t>storing data</w:t>
            </w:r>
          </w:p>
          <w:p w:rsidR="00143584" w:rsidRDefault="00D64125">
            <w:pPr>
              <w:pStyle w:val="Hlistbullet"/>
              <w:jc w:val="left"/>
              <w:rPr>
                <w:rFonts w:cs="Arial"/>
              </w:rPr>
            </w:pPr>
            <w:r>
              <w:rPr>
                <w:b/>
              </w:rPr>
              <w:t>Allocate clear data retrieval responsibilities:</w:t>
            </w:r>
            <w:r>
              <w:t xml:space="preserve"> Many indicators (e.g. impact indicators) demand data from Eurostat supported by national statistics. Other evaluation exercises may require anonymised data from European</w:t>
            </w:r>
            <w:r>
              <w:noBreakHyphen/>
              <w:t>wide Eurostat surveys, e.g. the FADN in order to establish counterfactuals or a simple sampling frame. At this stage, the Managing Authority should consult sources from Eurostat and national statistics:</w:t>
            </w:r>
          </w:p>
          <w:p w:rsidR="00143584" w:rsidRDefault="00D64125">
            <w:pPr>
              <w:pStyle w:val="Hlistbullet2"/>
              <w:jc w:val="left"/>
            </w:pPr>
            <w:r>
              <w:t>retrieving data aggregated or disaggregated at pre-defined time and frequency;</w:t>
            </w:r>
          </w:p>
          <w:p w:rsidR="00143584" w:rsidRDefault="00D64125">
            <w:pPr>
              <w:pStyle w:val="Hlistbullet2"/>
              <w:jc w:val="left"/>
            </w:pPr>
            <w:r>
              <w:t>inspecting data for abnormal and missing values and communicating with the relevant statistical authorities;</w:t>
            </w:r>
          </w:p>
          <w:p w:rsidR="00143584" w:rsidRDefault="00D64125">
            <w:pPr>
              <w:pStyle w:val="Hlistbullet2"/>
              <w:jc w:val="left"/>
            </w:pPr>
            <w:r>
              <w:t>storing data and producing a metafile with the information concerning data.</w:t>
            </w:r>
          </w:p>
          <w:p w:rsidR="00143584" w:rsidRDefault="00D64125">
            <w:pPr>
              <w:pStyle w:val="Hlistbullet"/>
              <w:jc w:val="left"/>
              <w:rPr>
                <w:rFonts w:cs="Arial"/>
              </w:rPr>
            </w:pPr>
            <w:r>
              <w:rPr>
                <w:b/>
              </w:rPr>
              <w:t>Decide on the necessary primary surveys to be conducted by the evaluator:</w:t>
            </w:r>
            <w: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At this stage you should decide on:</w:t>
            </w:r>
          </w:p>
          <w:p w:rsidR="00143584" w:rsidRDefault="00D64125">
            <w:pPr>
              <w:pStyle w:val="Hlistbullet2"/>
              <w:jc w:val="left"/>
            </w:pPr>
            <w:r>
              <w:t>The scope and objectives of the survey;</w:t>
            </w:r>
          </w:p>
          <w:p w:rsidR="00143584" w:rsidRDefault="00D64125">
            <w:pPr>
              <w:pStyle w:val="Hlistbullet2"/>
              <w:jc w:val="left"/>
            </w:pPr>
            <w:r>
              <w:t>The type of the survey (qualitative-quantitative) taking into account the evaluation methodology chosen;</w:t>
            </w:r>
          </w:p>
          <w:p w:rsidR="00143584" w:rsidRDefault="00D64125">
            <w:pPr>
              <w:pStyle w:val="Hlistbullet2"/>
              <w:jc w:val="left"/>
            </w:pPr>
            <w:r>
              <w:t>Statistical data which may serve as a sampling frame (e.g. FADN);</w:t>
            </w:r>
          </w:p>
          <w:p w:rsidR="00143584" w:rsidRDefault="00D64125">
            <w:pPr>
              <w:pStyle w:val="Hlistbullet2"/>
              <w:jc w:val="left"/>
            </w:pPr>
            <w:r>
              <w:t>Opportunities to merge surveys and minimise the time and cost.</w:t>
            </w:r>
          </w:p>
          <w:p w:rsidR="00143584" w:rsidRDefault="00D64125">
            <w:pPr>
              <w:pStyle w:val="Hlistbullet"/>
              <w:jc w:val="left"/>
              <w:rPr>
                <w:rFonts w:cs="Arial"/>
              </w:rPr>
            </w:pPr>
            <w:r>
              <w:rPr>
                <w:b/>
              </w:rPr>
              <w:t>Plan field surveys</w:t>
            </w:r>
            <w:r>
              <w:t>: Field surveys should be planned as early as possible because much of the required baseline data may be retrieved at the time of application.</w:t>
            </w:r>
          </w:p>
          <w:p w:rsidR="00143584" w:rsidRDefault="00D64125">
            <w:pPr>
              <w:pStyle w:val="Hlistbullet"/>
              <w:jc w:val="left"/>
              <w:rPr>
                <w:rFonts w:cs="Arial"/>
              </w:rPr>
            </w:pPr>
            <w:r>
              <w:rPr>
                <w:b/>
              </w:rPr>
              <w:t>Plan qualitative exercises:</w:t>
            </w:r>
            <w:r>
              <w:t xml:space="preserve">  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rsidR="00143584" w:rsidRDefault="00D64125">
            <w:pPr>
              <w:pStyle w:val="Hlistbullet"/>
              <w:jc w:val="left"/>
              <w:rPr>
                <w:rFonts w:cs="Arial"/>
              </w:rPr>
            </w:pPr>
            <w:r>
              <w:rPr>
                <w:b/>
              </w:rPr>
              <w:t>Monitor the database:</w:t>
            </w:r>
            <w: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143584" w:rsidRDefault="00D64125">
            <w:pPr>
              <w:pStyle w:val="Hlistbullet"/>
              <w:jc w:val="left"/>
            </w:pPr>
            <w:r>
              <w:rPr>
                <w:b/>
              </w:rPr>
              <w:t>Create and maintain a dynamic database:</w:t>
            </w:r>
            <w:r>
              <w:t xml:space="preserve"> Database management and maintenance including security of personal data is of the outmost importance. The evaluators should have access to this database limited with the competence of the given RDP and liaise with database managers.</w:t>
            </w:r>
          </w:p>
        </w:tc>
      </w:tr>
      <w:tr w:rsidR="00143584">
        <w:trPr>
          <w:jc w:val="center"/>
        </w:trPr>
        <w:tc>
          <w:tcPr>
            <w:tcW w:w="9071" w:type="dxa"/>
          </w:tcPr>
          <w:p w:rsidR="00143584" w:rsidRDefault="00D64125">
            <w:pPr>
              <w:pStyle w:val="HStandard"/>
              <w:jc w:val="left"/>
              <w:rPr>
                <w:rFonts w:cs="Arial"/>
              </w:rPr>
            </w:pPr>
            <w:r>
              <w:rPr>
                <w:b/>
              </w:rPr>
              <w:lastRenderedPageBreak/>
              <w:t>Expected outcome:</w:t>
            </w:r>
            <w:r>
              <w:t xml:space="preserve"> databases and data management for evaluation</w:t>
            </w:r>
          </w:p>
        </w:tc>
      </w:tr>
    </w:tbl>
    <w:p w:rsidR="00143584" w:rsidRDefault="00D64125">
      <w:pPr>
        <w:pStyle w:val="HHeading5"/>
        <w:rPr>
          <w:rFonts w:cs="Arial"/>
        </w:rPr>
      </w:pPr>
      <w:r>
        <w:t>Databases as the basis for proper data management</w:t>
      </w:r>
    </w:p>
    <w:p w:rsidR="00143584" w:rsidRDefault="00D64125">
      <w:pPr>
        <w:pStyle w:val="HStandard"/>
        <w:rPr>
          <w:rFonts w:cs="Arial"/>
        </w:rPr>
      </w:pPr>
      <w:r>
        <w:t xml:space="preserve">The evaluator should examine if a specific evaluation task can be accomplished by making use of the existing data sources, or if additional data needs to be collected.  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143584" w:rsidRDefault="00D64125">
      <w:pPr>
        <w:pStyle w:val="HStandard"/>
        <w:rPr>
          <w:rFonts w:cs="Arial"/>
        </w:rPr>
      </w:pPr>
      <w: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143584" w:rsidRDefault="00D64125">
      <w:pPr>
        <w:pStyle w:val="HStandard"/>
        <w:rPr>
          <w:rFonts w:cs="Arial"/>
        </w:rPr>
      </w:pPr>
      <w: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143584" w:rsidRDefault="00D64125">
      <w:pPr>
        <w:pStyle w:val="HStandard"/>
        <w:rPr>
          <w:rFonts w:cs="Arial"/>
        </w:rPr>
      </w:pPr>
      <w: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143584" w:rsidRDefault="00D64125">
      <w:pPr>
        <w:pStyle w:val="HHeadingfigures"/>
      </w:pPr>
      <w:bookmarkStart w:id="113" w:name="_Toc460936158"/>
      <w:bookmarkStart w:id="114" w:name="_Toc474937857"/>
      <w:r>
        <w:t>Decision-making process for data requirements and data management.</w:t>
      </w:r>
      <w:bookmarkEnd w:id="113"/>
      <w:bookmarkEnd w:id="114"/>
    </w:p>
    <w:p w:rsidR="00143584" w:rsidRDefault="00D64125">
      <w:pPr>
        <w:jc w:val="center"/>
        <w:rPr>
          <w:rFonts w:cs="Arial"/>
        </w:rPr>
      </w:pPr>
      <w:r>
        <w:rPr>
          <w:rFonts w:cs="Arial"/>
          <w:noProof/>
          <w:lang w:val="en-GB" w:eastAsia="en-GB" w:bidi="ar-SA"/>
        </w:rPr>
        <w:drawing>
          <wp:inline distT="0" distB="0" distL="0" distR="0">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8"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143584" w:rsidRDefault="00D64125">
      <w:pPr>
        <w:pStyle w:val="HSource"/>
        <w:rPr>
          <w:rFonts w:cs="Arial"/>
        </w:rPr>
      </w:pPr>
      <w:r>
        <w:t>Source: European Evaluation Helpdesk for rural development, 2015</w:t>
      </w:r>
    </w:p>
    <w:p w:rsidR="00143584" w:rsidRDefault="00D64125">
      <w:pPr>
        <w:spacing w:before="0" w:after="0" w:line="240" w:lineRule="auto"/>
        <w:jc w:val="left"/>
        <w:rPr>
          <w:rFonts w:cs="Arial"/>
          <w:b/>
          <w:color w:val="57825E"/>
          <w:sz w:val="20"/>
          <w:szCs w:val="20"/>
        </w:rPr>
      </w:pPr>
      <w:r>
        <w:lastRenderedPageBreak/>
        <w:br w:type="page"/>
      </w:r>
    </w:p>
    <w:p w:rsidR="00143584" w:rsidRDefault="00D64125">
      <w:pPr>
        <w:pStyle w:val="HHeading5"/>
        <w:rPr>
          <w:rFonts w:cs="Arial"/>
        </w:rPr>
      </w:pPr>
      <w:r>
        <w:lastRenderedPageBreak/>
        <w:t>Further reading</w:t>
      </w:r>
      <w:r>
        <w:tab/>
      </w:r>
    </w:p>
    <w:p w:rsidR="00143584" w:rsidRDefault="00D64125">
      <w:pPr>
        <w:pStyle w:val="HBox"/>
        <w:rPr>
          <w:rStyle w:val="Hyperlink"/>
        </w:rPr>
      </w:pPr>
      <w:r>
        <w:t xml:space="preserve">Commission Implementing Regulation (EU) No 808/2014, </w:t>
      </w:r>
      <w:hyperlink r:id="rId69">
        <w:r>
          <w:rPr>
            <w:rStyle w:val="Hyperlink"/>
          </w:rPr>
          <w:t>http://eur-lex.europa.eu/legal-content/en/ALL/?uri=CELEX:32014R0808</w:t>
        </w:r>
      </w:hyperlink>
    </w:p>
    <w:p w:rsidR="00143584" w:rsidRDefault="00D64125">
      <w:pPr>
        <w:pStyle w:val="HBox"/>
        <w:rPr>
          <w:rFonts w:cs="Arial"/>
        </w:rPr>
      </w:pPr>
      <w:r>
        <w:t>FADN Database (Eurostat),</w:t>
      </w:r>
    </w:p>
    <w:p w:rsidR="00143584" w:rsidRDefault="005E336E">
      <w:pPr>
        <w:pStyle w:val="HBox"/>
        <w:rPr>
          <w:rStyle w:val="Hyperlink"/>
        </w:rPr>
      </w:pPr>
      <w:hyperlink r:id="rId70">
        <w:r w:rsidR="00D64125">
          <w:rPr>
            <w:rStyle w:val="Hyperlink"/>
          </w:rPr>
          <w:t>http://ec.europa.eu/agriculture/ricaprod/database/database_en.cfm</w:t>
        </w:r>
      </w:hyperlink>
    </w:p>
    <w:p w:rsidR="00143584" w:rsidRDefault="00D64125">
      <w:pPr>
        <w:pStyle w:val="HBox"/>
        <w:rPr>
          <w:rFonts w:cs="Arial"/>
        </w:rPr>
      </w:pPr>
      <w:r>
        <w:t xml:space="preserve">National I/O Tables Database (Eurostat), </w:t>
      </w:r>
      <w:hyperlink r:id="rId71">
        <w:r>
          <w:rPr>
            <w:rStyle w:val="Hyperlink"/>
          </w:rPr>
          <w:t>http://ec.europa.eu/eurostat/web/esa-supply-use-input-tables</w:t>
        </w:r>
      </w:hyperlink>
    </w:p>
    <w:p w:rsidR="00143584" w:rsidRDefault="00D64125">
      <w:pPr>
        <w:pStyle w:val="HBox"/>
        <w:rPr>
          <w:rFonts w:cs="Arial"/>
        </w:rPr>
      </w:pPr>
      <w:r>
        <w:t xml:space="preserve">GTAP Database, Purdue University, </w:t>
      </w:r>
      <w:hyperlink r:id="rId72">
        <w:r>
          <w:rPr>
            <w:rStyle w:val="Hyperlink"/>
          </w:rPr>
          <w:t>https://www.gtap.agecon.purdue.edu/</w:t>
        </w:r>
      </w:hyperlink>
    </w:p>
    <w:p w:rsidR="00143584" w:rsidRDefault="00D64125">
      <w:pPr>
        <w:pStyle w:val="HBox"/>
        <w:rPr>
          <w:rFonts w:cs="Arial"/>
        </w:rPr>
      </w:pPr>
      <w:r>
        <w:t xml:space="preserve">EU SILC Database on subjective well-being (Eurostat), </w:t>
      </w:r>
      <w:hyperlink r:id="rId73">
        <w:r>
          <w:rPr>
            <w:rStyle w:val="Hyperlink"/>
          </w:rPr>
          <w:t>http://ec.europa.eu/eurostat/statistics-explained/index.php/Quality_of_life_in_Europe_-_facts_and_views_-_overall_life_satisfaction</w:t>
        </w:r>
      </w:hyperlink>
    </w:p>
    <w:p w:rsidR="00143584" w:rsidRDefault="00D64125">
      <w:pPr>
        <w:pStyle w:val="HBox"/>
        <w:rPr>
          <w:rFonts w:cs="Arial"/>
        </w:rPr>
      </w:pPr>
      <w:r>
        <w:t xml:space="preserve">OECD “How is Life” Database, </w:t>
      </w:r>
      <w:hyperlink r:id="rId74">
        <w:r>
          <w:rPr>
            <w:rStyle w:val="Hyperlink"/>
          </w:rPr>
          <w:t>http://www.oecd.org/statistics/how-s-life-23089679.htm</w:t>
        </w:r>
      </w:hyperlink>
    </w:p>
    <w:p w:rsidR="00143584" w:rsidRDefault="00D64125">
      <w:pPr>
        <w:pStyle w:val="HBox"/>
        <w:rPr>
          <w:rFonts w:cs="Arial"/>
        </w:rPr>
      </w:pPr>
      <w:r>
        <w:t xml:space="preserve">Gallup-Healthways Global Well-Being Index, </w:t>
      </w:r>
      <w:hyperlink r:id="rId75">
        <w:r>
          <w:rPr>
            <w:rStyle w:val="Hyperlink"/>
            <w:color w:val="auto"/>
            <w:u w:val="none"/>
          </w:rPr>
          <w:t>gallup-healthways global well-being index 2015</w:t>
        </w:r>
      </w:hyperlink>
    </w:p>
    <w:p w:rsidR="00143584" w:rsidRDefault="00143584">
      <w:pPr>
        <w:pStyle w:val="HStandard"/>
        <w:rPr>
          <w:rFonts w:cs="Arial"/>
        </w:rPr>
      </w:pPr>
    </w:p>
    <w:p w:rsidR="00143584" w:rsidRDefault="00D64125">
      <w:pPr>
        <w:pStyle w:val="HHeading1"/>
        <w:rPr>
          <w:rFonts w:cs="Arial"/>
        </w:rPr>
      </w:pPr>
      <w:bookmarkStart w:id="115" w:name="_Toc460936121"/>
      <w:bookmarkStart w:id="116" w:name="_Toc474938245"/>
      <w:r>
        <w:lastRenderedPageBreak/>
        <w:t>CONDUCTING THE EVALUATION</w:t>
      </w:r>
      <w:bookmarkEnd w:id="115"/>
      <w:bookmarkEnd w:id="116"/>
    </w:p>
    <w:p w:rsidR="00143584" w:rsidRDefault="00D64125">
      <w:pPr>
        <w:pStyle w:val="HStandard"/>
        <w:rPr>
          <w:rFonts w:cs="Arial"/>
        </w:rPr>
      </w:pPr>
      <w:r>
        <w:t xml:space="preserve">While the preparation and structuring phase of the evaluation are primarily led by the Managing Authority (sometimes with the help of an evaluator) the conducting phase is mainly carried out by the externally contracted evaluator. </w:t>
      </w:r>
    </w:p>
    <w:p w:rsidR="00143584" w:rsidRDefault="00D64125">
      <w:pPr>
        <w:pStyle w:val="HStandard"/>
        <w:rPr>
          <w:rFonts w:cs="Arial"/>
        </w:rPr>
      </w:pPr>
      <w:r>
        <w:t xml:space="preserve">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  </w:t>
      </w:r>
    </w:p>
    <w:p w:rsidR="00143584" w:rsidRDefault="00D64125">
      <w:pPr>
        <w:pStyle w:val="HHeading2"/>
      </w:pPr>
      <w:bookmarkStart w:id="117" w:name="_Toc460936122"/>
      <w:bookmarkStart w:id="118" w:name="_Toc474938246"/>
      <w:r>
        <w:t>Observing</w:t>
      </w:r>
      <w:bookmarkEnd w:id="117"/>
      <w:bookmarkEnd w:id="11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143584">
        <w:trPr>
          <w:jc w:val="center"/>
        </w:trPr>
        <w:tc>
          <w:tcPr>
            <w:tcW w:w="9071" w:type="dxa"/>
            <w:tcBorders>
              <w:bottom w:val="single" w:sz="4" w:space="0" w:color="6F6F6F" w:themeColor="text1"/>
            </w:tcBorders>
            <w:shd w:val="clear" w:color="auto" w:fill="F6B183" w:themeFill="background2" w:themeFillTint="99"/>
          </w:tcPr>
          <w:p w:rsidR="00143584" w:rsidRDefault="00D64125">
            <w:pPr>
              <w:pStyle w:val="HStandard"/>
              <w:rPr>
                <w:rFonts w:cs="Arial"/>
              </w:rPr>
            </w:pPr>
            <w:r>
              <w:t>In this phase, the evaluators must proceed with the collection of relevant information and data. The critical point will be the definition of tools and approaches for gathering the information to bridge any identified data gaps.  The data management system should provide the evaluators with the necessary data. Evaluators are responsible to link monitoring data, data from other sources</w:t>
            </w:r>
            <w:r>
              <w:rPr>
                <w:rStyle w:val="FootnoteReference"/>
                <w:color w:val="161616" w:themeColor="background1" w:themeShade="1A"/>
              </w:rPr>
              <w:footnoteReference w:id="68"/>
            </w:r>
            <w:r>
              <w:t xml:space="preserve"> and primarily collected data, employing various tools and techniques. </w:t>
            </w:r>
          </w:p>
        </w:tc>
      </w:tr>
      <w:tr w:rsidR="00143584">
        <w:trPr>
          <w:jc w:val="center"/>
        </w:trPr>
        <w:tc>
          <w:tcPr>
            <w:tcW w:w="9071" w:type="dxa"/>
            <w:shd w:val="clear" w:color="auto" w:fill="FCE5D5" w:themeFill="background2" w:themeFillTint="33"/>
          </w:tcPr>
          <w:p w:rsidR="00143584" w:rsidRDefault="00D64125">
            <w:pPr>
              <w:pStyle w:val="HHeading5"/>
              <w:tabs>
                <w:tab w:val="left" w:pos="5298"/>
              </w:tabs>
              <w:rPr>
                <w:rFonts w:cs="Arial"/>
              </w:rPr>
            </w:pPr>
            <w:r>
              <w:t>Recommended working steps:</w:t>
            </w:r>
            <w:r>
              <w:tab/>
            </w:r>
          </w:p>
          <w:p w:rsidR="00143584" w:rsidRDefault="00D64125">
            <w:pPr>
              <w:pStyle w:val="Hlistbullet"/>
              <w:rPr>
                <w:rFonts w:cs="Arial"/>
              </w:rPr>
            </w:pPr>
            <w:r>
              <w:rPr>
                <w:b/>
              </w:rPr>
              <w:t>Create the tools needed for the quantitative and qualitative analysis:</w:t>
            </w:r>
            <w:r>
              <w:t xml:space="preserve"> interview guides, questionnaires, queries for extractions from databases, requests for maps, guidelines for case studies, and any other data collection instrument that the contractor deems appropriate.</w:t>
            </w:r>
          </w:p>
          <w:p w:rsidR="00143584" w:rsidRDefault="00D64125">
            <w:pPr>
              <w:pStyle w:val="Hlistbullet"/>
              <w:rPr>
                <w:rFonts w:cs="Arial"/>
              </w:rPr>
            </w:pPr>
            <w:r>
              <w:rPr>
                <w:b/>
              </w:rPr>
              <w:t>Collect data and qualitative information needed for answering EQs:</w:t>
            </w:r>
            <w:r>
              <w:t xml:space="preserve"> databases, studies, people to be interviewed, appropriate case study areas, etc.</w:t>
            </w:r>
          </w:p>
          <w:p w:rsidR="00143584" w:rsidRDefault="00D64125">
            <w:pPr>
              <w:pStyle w:val="Hlistbullet"/>
              <w:rPr>
                <w:rFonts w:cs="Arial"/>
              </w:rPr>
            </w:pPr>
            <w:r>
              <w:rPr>
                <w:b/>
              </w:rPr>
              <w:t>Describe the process of programme implementation:</w:t>
            </w:r>
            <w:r>
              <w:t xml:space="preserve"> composition of programmes, priorities and target levels, and budget.</w:t>
            </w:r>
          </w:p>
          <w:p w:rsidR="00143584" w:rsidRDefault="00D64125">
            <w:pPr>
              <w:pStyle w:val="Hlistbullet"/>
            </w:pPr>
            <w:r>
              <w:rPr>
                <w:b/>
              </w:rPr>
              <w:t>Summary of the outputs:</w:t>
            </w:r>
            <w:r>
              <w:t xml:space="preserve"> Evaluators present the aggregated and quality-checked values for each of the common and programme-specific indicators. </w:t>
            </w:r>
          </w:p>
        </w:tc>
      </w:tr>
      <w:tr w:rsidR="00143584">
        <w:trPr>
          <w:jc w:val="center"/>
        </w:trPr>
        <w:tc>
          <w:tcPr>
            <w:tcW w:w="9071" w:type="dxa"/>
          </w:tcPr>
          <w:p w:rsidR="00143584" w:rsidRDefault="00D64125">
            <w:pPr>
              <w:pStyle w:val="HStandard"/>
              <w:rPr>
                <w:rFonts w:cs="Arial"/>
              </w:rPr>
            </w:pPr>
            <w:r>
              <w:rPr>
                <w:b/>
              </w:rPr>
              <w:t>Expected outcome</w:t>
            </w:r>
            <w:r>
              <w:t>: Data and information for evaluation</w:t>
            </w:r>
          </w:p>
        </w:tc>
      </w:tr>
    </w:tbl>
    <w:p w:rsidR="00143584" w:rsidRDefault="00D64125">
      <w:pPr>
        <w:pStyle w:val="HHeading5"/>
        <w:rPr>
          <w:rFonts w:cs="Arial"/>
        </w:rPr>
      </w:pPr>
      <w:r>
        <w:t xml:space="preserve">Create the tools needed for the quantitative and qualitative analysis  </w:t>
      </w:r>
    </w:p>
    <w:p w:rsidR="00143584" w:rsidRDefault="00D64125">
      <w:pPr>
        <w:pStyle w:val="HStandard"/>
        <w:rPr>
          <w:rFonts w:cs="Arial"/>
        </w:rPr>
      </w:pPr>
      <w: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143584" w:rsidRDefault="00D64125">
      <w:pPr>
        <w:pStyle w:val="HStandard"/>
        <w:rPr>
          <w:rFonts w:cs="Arial"/>
        </w:rPr>
      </w:pPr>
      <w: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143584" w:rsidRDefault="00D64125">
      <w:pPr>
        <w:pStyle w:val="HStandard"/>
        <w:rPr>
          <w:rFonts w:cs="Arial"/>
        </w:rPr>
      </w:pPr>
      <w:r>
        <w:t xml:space="preserve">Many Member States have recently established more coordinated procedures for data management for the new programmes. In these procedures, both managing authorities and evaluation advisors </w:t>
      </w:r>
      <w:r>
        <w:lastRenderedPageBreak/>
        <w:t>have worked together on data management schemes. The workability of these databases should be appraised before real data is integrated.  Glitches should be addressed as a matter of urgency.</w:t>
      </w:r>
    </w:p>
    <w:p w:rsidR="00143584" w:rsidRDefault="00D64125">
      <w:pPr>
        <w:pStyle w:val="HStandard"/>
        <w:rPr>
          <w:rFonts w:cs="Arial"/>
        </w:rPr>
      </w:pPr>
      <w:r>
        <w:t xml:space="preserve">A separate document contains templates for answering CEQ no 1 – 21. These templates provide among other things, the guidance with respect to the type and volume of data to be collected for the assessment of indicators and answering EQs. </w:t>
      </w:r>
    </w:p>
    <w:p w:rsidR="00143584" w:rsidRDefault="00D64125">
      <w:pPr>
        <w:pStyle w:val="HHeading5"/>
        <w:rPr>
          <w:rFonts w:cs="Arial"/>
        </w:rPr>
      </w:pPr>
      <w:r>
        <w:t xml:space="preserve">Quantitative data </w:t>
      </w:r>
    </w:p>
    <w:p w:rsidR="00143584" w:rsidRDefault="00D64125">
      <w:pPr>
        <w:pStyle w:val="HStandard"/>
        <w:rPr>
          <w:rFonts w:cs="Arial"/>
        </w:rPr>
      </w:pPr>
      <w: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143584">
        <w:tc>
          <w:tcPr>
            <w:tcW w:w="1980" w:type="dxa"/>
            <w:shd w:val="clear" w:color="auto" w:fill="F07E31"/>
            <w:vAlign w:val="center"/>
          </w:tcPr>
          <w:p w:rsidR="00143584" w:rsidRDefault="00D64125">
            <w:pPr>
              <w:pStyle w:val="Htableleftbolt"/>
              <w:rPr>
                <w:rFonts w:cs="Arial"/>
                <w:color w:val="FFFFFF" w:themeColor="accent1"/>
              </w:rPr>
            </w:pPr>
            <w:r>
              <w:rPr>
                <w:color w:val="FFFFFF" w:themeColor="accent1"/>
              </w:rPr>
              <w:t xml:space="preserve">Context indicators (macro-data for RDP level) </w:t>
            </w:r>
          </w:p>
        </w:tc>
        <w:tc>
          <w:tcPr>
            <w:tcW w:w="7080" w:type="dxa"/>
            <w:shd w:val="clear" w:color="auto" w:fill="auto"/>
          </w:tcPr>
          <w:p w:rsidR="00143584" w:rsidRDefault="00D64125">
            <w:pPr>
              <w:pStyle w:val="Htablebullet"/>
              <w:rPr>
                <w:rFonts w:cs="Arial"/>
              </w:rPr>
            </w:pPr>
            <w:r>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143584" w:rsidRDefault="00D64125">
            <w:pPr>
              <w:pStyle w:val="Htablebullet"/>
              <w:rPr>
                <w:rFonts w:cs="Arial"/>
              </w:rPr>
            </w:pPr>
            <w:r>
              <w:t>Data collected for context indicators are macro-level data (RDP, regional or national levels) and are used in the assessment of programme impacts (this includes netting out the respective impact indicators).</w:t>
            </w:r>
          </w:p>
          <w:p w:rsidR="00143584" w:rsidRDefault="00D64125">
            <w:pPr>
              <w:pStyle w:val="Htablebullet"/>
              <w:rPr>
                <w:rFonts w:cs="Arial"/>
              </w:rPr>
            </w:pPr>
            <w:r>
              <w:t>Data for context indicators are collected from EU level databases</w:t>
            </w:r>
            <w:r>
              <w:rPr>
                <w:rStyle w:val="FootnoteReference"/>
              </w:rPr>
              <w:footnoteReference w:id="69"/>
            </w:r>
            <w:r>
              <w:t xml:space="preserve"> or national/regional databases, on an annual basis, independently of the programme uptake. </w:t>
            </w:r>
          </w:p>
        </w:tc>
      </w:tr>
      <w:tr w:rsidR="00143584">
        <w:tc>
          <w:tcPr>
            <w:tcW w:w="1980" w:type="dxa"/>
            <w:shd w:val="clear" w:color="auto" w:fill="F07E31"/>
            <w:vAlign w:val="center"/>
          </w:tcPr>
          <w:p w:rsidR="00143584" w:rsidRDefault="00D64125">
            <w:pPr>
              <w:pStyle w:val="Htableleftbolt"/>
              <w:rPr>
                <w:rFonts w:cs="Arial"/>
                <w:color w:val="FFFFFF" w:themeColor="accent1"/>
              </w:rPr>
            </w:pPr>
            <w:r>
              <w:rPr>
                <w:color w:val="FFFFFF" w:themeColor="accent1"/>
              </w:rPr>
              <w:t xml:space="preserve">Input and output indicators </w:t>
            </w:r>
          </w:p>
          <w:p w:rsidR="00143584" w:rsidRDefault="00D64125">
            <w:pPr>
              <w:pStyle w:val="Htableleftbolt"/>
              <w:rPr>
                <w:rFonts w:cs="Arial"/>
                <w:color w:val="FFFFFF" w:themeColor="accent1"/>
              </w:rPr>
            </w:pPr>
            <w:r>
              <w:rPr>
                <w:color w:val="FFFFFF" w:themeColor="accent1"/>
              </w:rPr>
              <w:t xml:space="preserve"> </w:t>
            </w:r>
          </w:p>
        </w:tc>
        <w:tc>
          <w:tcPr>
            <w:tcW w:w="7080" w:type="dxa"/>
            <w:shd w:val="clear" w:color="auto" w:fill="auto"/>
          </w:tcPr>
          <w:p w:rsidR="00143584" w:rsidRDefault="00D64125">
            <w:pPr>
              <w:pStyle w:val="Htablebullet"/>
              <w:rPr>
                <w:rFonts w:cs="Arial"/>
              </w:rPr>
            </w:pPr>
            <w:r>
              <w:t>Micro-data collected at the unit level (farm, community, business) for beneficiaries. Is collected via the monitoring system (operations database).</w:t>
            </w:r>
          </w:p>
          <w:p w:rsidR="00143584" w:rsidRDefault="00D64125">
            <w:pPr>
              <w:pStyle w:val="Htablebullet"/>
              <w:rPr>
                <w:rFonts w:cs="Arial"/>
              </w:rPr>
            </w:pPr>
            <w:r>
              <w:t>Input indicators are linked to the RDP financial allocation and payments for individual measures, activities and operations.</w:t>
            </w:r>
          </w:p>
          <w:p w:rsidR="00143584" w:rsidRDefault="00D64125">
            <w:pPr>
              <w:pStyle w:val="Htablebullet"/>
              <w:rPr>
                <w:rFonts w:cs="Arial"/>
              </w:rPr>
            </w:pPr>
            <w:r>
              <w:t xml:space="preserve">Output indicators are linked to the basic description of the RDP implementation (number of beneficiaries, number of supported operations, etc.). </w:t>
            </w:r>
          </w:p>
          <w:p w:rsidR="00143584" w:rsidRDefault="00D64125">
            <w:pPr>
              <w:pStyle w:val="Htablebullet"/>
              <w:rPr>
                <w:rFonts w:cs="Arial"/>
              </w:rPr>
            </w:pPr>
            <w:r>
              <w:t>These are also used to calculate indicator values for some target indicators.</w:t>
            </w:r>
          </w:p>
          <w:p w:rsidR="00143584" w:rsidRDefault="00D64125">
            <w:pPr>
              <w:pStyle w:val="Htablebullet"/>
              <w:rPr>
                <w:rFonts w:cs="Arial"/>
              </w:rPr>
            </w:pPr>
            <w: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143584">
        <w:tc>
          <w:tcPr>
            <w:tcW w:w="1980" w:type="dxa"/>
            <w:shd w:val="clear" w:color="auto" w:fill="F07E31"/>
            <w:vAlign w:val="center"/>
          </w:tcPr>
          <w:p w:rsidR="00143584" w:rsidRDefault="00D64125">
            <w:pPr>
              <w:pStyle w:val="Htableleftbolt"/>
              <w:rPr>
                <w:rFonts w:cs="Arial"/>
                <w:color w:val="FFFFFF" w:themeColor="accent1"/>
              </w:rPr>
            </w:pPr>
            <w:r>
              <w:rPr>
                <w:color w:val="FFFFFF" w:themeColor="accent1"/>
              </w:rPr>
              <w:t>Result indicators (micro-data at unit level)</w:t>
            </w:r>
          </w:p>
        </w:tc>
        <w:tc>
          <w:tcPr>
            <w:tcW w:w="7080" w:type="dxa"/>
            <w:shd w:val="clear" w:color="auto" w:fill="auto"/>
          </w:tcPr>
          <w:p w:rsidR="00143584" w:rsidRDefault="00D64125">
            <w:pPr>
              <w:pStyle w:val="Htablebullet"/>
              <w:rPr>
                <w:rFonts w:cs="Arial"/>
              </w:rPr>
            </w:pPr>
            <w:r>
              <w:t>Data for result indicators are micro-data, which are collected at the unit level (farm, community, business) for beneficiaries and non-beneficiaries. This data, if properly standardised, can be aggregated to get gross values.</w:t>
            </w:r>
          </w:p>
          <w:p w:rsidR="00143584" w:rsidRDefault="00D64125">
            <w:pPr>
              <w:pStyle w:val="Htablebullet"/>
              <w:rPr>
                <w:rFonts w:cs="Arial"/>
              </w:rPr>
            </w:pPr>
            <w: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143584" w:rsidRDefault="00D64125">
            <w:pPr>
              <w:pStyle w:val="Htablebullet"/>
              <w:rPr>
                <w:rFonts w:cs="Arial"/>
              </w:rPr>
            </w:pPr>
            <w:r>
              <w:t xml:space="preserve">In line with requirements of specific evaluation methods, the data at micro-level should be collected on the basis of secondary data (if available) and of surveys. </w:t>
            </w:r>
          </w:p>
          <w:p w:rsidR="00143584" w:rsidRDefault="00D64125">
            <w:pPr>
              <w:pStyle w:val="Htablebullet"/>
              <w:rPr>
                <w:rFonts w:cs="Arial"/>
              </w:rPr>
            </w:pPr>
            <w:r>
              <w:t>The earlier the collection of data starts in the RDP implementation, the better for ensuring data timeliness.</w:t>
            </w:r>
          </w:p>
          <w:p w:rsidR="00143584" w:rsidRDefault="00D64125">
            <w:pPr>
              <w:pStyle w:val="Htablebullet"/>
              <w:rPr>
                <w:rFonts w:cs="Arial"/>
              </w:rPr>
            </w:pPr>
            <w: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143584">
        <w:tc>
          <w:tcPr>
            <w:tcW w:w="1980" w:type="dxa"/>
            <w:shd w:val="clear" w:color="auto" w:fill="F07E31"/>
            <w:vAlign w:val="center"/>
          </w:tcPr>
          <w:p w:rsidR="00143584" w:rsidRDefault="00D64125">
            <w:pPr>
              <w:pStyle w:val="Htableleftbolt"/>
              <w:rPr>
                <w:rFonts w:cs="Arial"/>
                <w:color w:val="FFFFFF" w:themeColor="accent1"/>
              </w:rPr>
            </w:pPr>
            <w:r>
              <w:rPr>
                <w:color w:val="FFFFFF" w:themeColor="accent1"/>
              </w:rPr>
              <w:t>Impact indicators</w:t>
            </w:r>
          </w:p>
          <w:p w:rsidR="00143584" w:rsidRDefault="00D64125">
            <w:pPr>
              <w:pStyle w:val="Htableleftbolt"/>
              <w:rPr>
                <w:rFonts w:cs="Arial"/>
                <w:color w:val="FFFFFF" w:themeColor="accent1"/>
              </w:rPr>
            </w:pPr>
            <w:r>
              <w:rPr>
                <w:color w:val="FFFFFF" w:themeColor="accent1"/>
              </w:rPr>
              <w:t>(micro- and macro-data at RDP, regional, national levels)</w:t>
            </w:r>
          </w:p>
        </w:tc>
        <w:tc>
          <w:tcPr>
            <w:tcW w:w="7080" w:type="dxa"/>
            <w:shd w:val="clear" w:color="auto" w:fill="auto"/>
          </w:tcPr>
          <w:p w:rsidR="00143584" w:rsidRDefault="00D64125">
            <w:pPr>
              <w:pStyle w:val="Htablebullet"/>
              <w:rPr>
                <w:rFonts w:cs="Arial"/>
              </w:rPr>
            </w:pPr>
            <w:r>
              <w:t xml:space="preserve">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  In this case, the </w:t>
            </w:r>
            <w:r>
              <w:lastRenderedPageBreak/>
              <w:t>NUTS 3-5 level might be the lowest macro-level where effects of the RD support can be estimated (based on the situation in data availability in Member States)</w:t>
            </w:r>
            <w:r>
              <w:rPr>
                <w:rStyle w:val="FootnoteReference"/>
              </w:rPr>
              <w:footnoteReference w:id="70"/>
            </w:r>
            <w:r>
              <w:t>.</w:t>
            </w:r>
          </w:p>
        </w:tc>
      </w:tr>
      <w:tr w:rsidR="00143584">
        <w:tc>
          <w:tcPr>
            <w:tcW w:w="9060" w:type="dxa"/>
            <w:gridSpan w:val="2"/>
            <w:shd w:val="clear" w:color="auto" w:fill="auto"/>
            <w:vAlign w:val="center"/>
          </w:tcPr>
          <w:p w:rsidR="00143584" w:rsidRDefault="00D64125">
            <w:pPr>
              <w:pStyle w:val="Htableleft"/>
              <w:rPr>
                <w:rFonts w:cs="Arial"/>
                <w:color w:val="FFFFFF" w:themeColor="accent1"/>
              </w:rPr>
            </w:pPr>
            <w:r>
              <w:rPr>
                <w:color w:val="161616" w:themeColor="background1" w:themeShade="1A"/>
              </w:rPr>
              <w:lastRenderedPageBreak/>
              <w:t>D</w:t>
            </w:r>
            <w: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143584" w:rsidRDefault="00D64125">
      <w:pPr>
        <w:pStyle w:val="HHeading5"/>
        <w:rPr>
          <w:rFonts w:cs="Arial"/>
        </w:rPr>
      </w:pPr>
      <w:r>
        <w:t>Qualitative data and information</w:t>
      </w:r>
    </w:p>
    <w:p w:rsidR="00143584" w:rsidRDefault="00D64125">
      <w:pPr>
        <w:pStyle w:val="HStandard"/>
        <w:rPr>
          <w:rFonts w:cs="Arial"/>
        </w:rPr>
      </w:pPr>
      <w: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143584" w:rsidRDefault="00D64125">
      <w:pPr>
        <w:pStyle w:val="Hlistbullet"/>
        <w:rPr>
          <w:rFonts w:cs="Arial"/>
        </w:rPr>
      </w:pPr>
      <w:r>
        <w:t>ensure the utility/relevance of the collected data to answer the EQs (check judgement criteria); and</w:t>
      </w:r>
    </w:p>
    <w:p w:rsidR="00143584" w:rsidRDefault="00D64125">
      <w:pPr>
        <w:pStyle w:val="Hlistbullet"/>
      </w:pPr>
      <w:r>
        <w:t xml:space="preserve">ensure that qualitative information collected on beneficiaries can be paired with the information collected on non-beneficiaries to ensure the counterfactual and netting out of the programme effects. </w:t>
      </w:r>
    </w:p>
    <w:p w:rsidR="00143584" w:rsidRDefault="00D64125">
      <w:pPr>
        <w:pStyle w:val="HStandard"/>
        <w:rPr>
          <w:rFonts w:cs="Arial"/>
        </w:rPr>
      </w:pPr>
      <w:r>
        <w:t xml:space="preserve">It should be noted that qualitative data collection aims to provide the evaluation with empirical information around the vision of certain entities and leaders of opinions, about the objectives, (potential) results and effects of the programme.  </w:t>
      </w:r>
    </w:p>
    <w:p w:rsidR="00143584" w:rsidRDefault="00D64125">
      <w:pPr>
        <w:pStyle w:val="HHeading5"/>
        <w:rPr>
          <w:rFonts w:cs="Arial"/>
        </w:rPr>
      </w:pPr>
      <w:r>
        <w:t xml:space="preserve">Description of the process of programme implementation </w:t>
      </w:r>
    </w:p>
    <w:p w:rsidR="00143584" w:rsidRDefault="00D64125">
      <w:pPr>
        <w:pStyle w:val="HStandard"/>
        <w:rPr>
          <w:rFonts w:cs="Arial"/>
        </w:rPr>
      </w:pPr>
      <w: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143584" w:rsidRDefault="00D64125">
      <w:pPr>
        <w:pStyle w:val="HStandard"/>
        <w:rPr>
          <w:rFonts w:cs="Arial"/>
        </w:rPr>
      </w:pPr>
      <w:r>
        <w:t>For this step it is considered essential to conduct interviews in the initial phase of the evaluation, including representatives of the Managing Authority and the respective technical teams.</w:t>
      </w:r>
    </w:p>
    <w:p w:rsidR="00143584" w:rsidRDefault="00D64125">
      <w:pPr>
        <w:pStyle w:val="HHeading5"/>
        <w:rPr>
          <w:rFonts w:cs="Arial"/>
        </w:rPr>
      </w:pPr>
      <w:r>
        <w:t>Summary of the outputs</w:t>
      </w:r>
    </w:p>
    <w:p w:rsidR="00143584" w:rsidRDefault="00D64125">
      <w:pPr>
        <w:pStyle w:val="HStandard"/>
        <w:rPr>
          <w:rFonts w:cs="Arial"/>
        </w:rPr>
      </w:pPr>
      <w: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143584" w:rsidRDefault="00D64125">
      <w:pPr>
        <w:pStyle w:val="HHeading2"/>
      </w:pPr>
      <w:bookmarkStart w:id="119" w:name="_Toc460936123"/>
      <w:bookmarkStart w:id="120" w:name="_Toc474938247"/>
      <w:r>
        <w:t>Analysing</w:t>
      </w:r>
      <w:bookmarkEnd w:id="119"/>
      <w:bookmarkEnd w:id="12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143584">
        <w:trPr>
          <w:jc w:val="center"/>
        </w:trPr>
        <w:tc>
          <w:tcPr>
            <w:tcW w:w="9071" w:type="dxa"/>
            <w:tcBorders>
              <w:bottom w:val="single" w:sz="4" w:space="0" w:color="6F6F6F" w:themeColor="text1"/>
            </w:tcBorders>
            <w:shd w:val="clear" w:color="auto" w:fill="F6B183" w:themeFill="background2" w:themeFillTint="99"/>
          </w:tcPr>
          <w:p w:rsidR="00143584" w:rsidRDefault="00D64125">
            <w:pPr>
              <w:pStyle w:val="HStandard"/>
              <w:rPr>
                <w:rFonts w:cs="Arial"/>
              </w:rPr>
            </w:pPr>
            <w: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143584">
        <w:trPr>
          <w:jc w:val="center"/>
        </w:trPr>
        <w:tc>
          <w:tcPr>
            <w:tcW w:w="9071" w:type="dxa"/>
            <w:shd w:val="clear" w:color="auto" w:fill="FCE5D5" w:themeFill="background2" w:themeFillTint="33"/>
          </w:tcPr>
          <w:p w:rsidR="00143584" w:rsidRDefault="00D64125">
            <w:pPr>
              <w:pStyle w:val="HHeading5"/>
              <w:rPr>
                <w:rFonts w:cs="Arial"/>
              </w:rPr>
            </w:pPr>
            <w:r>
              <w:t xml:space="preserve">Recommended working steps: </w:t>
            </w:r>
          </w:p>
          <w:p w:rsidR="00143584" w:rsidRDefault="00D64125">
            <w:pPr>
              <w:pStyle w:val="Hlistbullet"/>
              <w:rPr>
                <w:rFonts w:cs="Arial"/>
              </w:rPr>
            </w:pPr>
            <w:r>
              <w:t>Introductory qualitative analysis</w:t>
            </w:r>
          </w:p>
          <w:p w:rsidR="00143584" w:rsidRDefault="00D64125">
            <w:pPr>
              <w:pStyle w:val="Hlistbullet"/>
              <w:rPr>
                <w:rFonts w:cs="Arial"/>
              </w:rPr>
            </w:pPr>
            <w:r>
              <w:lastRenderedPageBreak/>
              <w:t>Formulation of testable hypotheses regarding potential programme effects</w:t>
            </w:r>
          </w:p>
          <w:p w:rsidR="00143584" w:rsidRDefault="00D64125">
            <w:pPr>
              <w:pStyle w:val="Hlistbullet"/>
              <w:rPr>
                <w:rFonts w:cs="Arial"/>
              </w:rPr>
            </w:pPr>
            <w:r>
              <w:t>Testing and verification of hypothesis</w:t>
            </w:r>
          </w:p>
          <w:p w:rsidR="00143584" w:rsidRDefault="00D64125">
            <w:pPr>
              <w:pStyle w:val="Hlistbullet"/>
              <w:rPr>
                <w:rFonts w:cs="Arial"/>
              </w:rPr>
            </w:pPr>
            <w:r>
              <w:t xml:space="preserve">Calculation of result indicator values at the micro-level (common, additional and programme-specific) and the validation of the values of target indicators </w:t>
            </w:r>
          </w:p>
          <w:p w:rsidR="00143584" w:rsidRDefault="00D64125">
            <w:pPr>
              <w:pStyle w:val="Hlistbullet"/>
            </w:pPr>
            <w:r>
              <w:t>Identifying programme net-results</w:t>
            </w:r>
          </w:p>
          <w:p w:rsidR="00143584" w:rsidRDefault="00D64125">
            <w:pPr>
              <w:pStyle w:val="Hlistbullet"/>
              <w:rPr>
                <w:rFonts w:cs="Arial"/>
                <w:sz w:val="18"/>
                <w:szCs w:val="24"/>
              </w:rPr>
            </w:pPr>
            <w:r>
              <w:t xml:space="preserve">Considering the additional contributions of the RDP’s operations to focus areas in the calculation of result indicators </w:t>
            </w:r>
          </w:p>
        </w:tc>
      </w:tr>
      <w:tr w:rsidR="00143584">
        <w:trPr>
          <w:jc w:val="center"/>
        </w:trPr>
        <w:tc>
          <w:tcPr>
            <w:tcW w:w="9071" w:type="dxa"/>
          </w:tcPr>
          <w:p w:rsidR="00143584" w:rsidRDefault="00D64125">
            <w:pPr>
              <w:pStyle w:val="HStandard"/>
              <w:rPr>
                <w:rFonts w:cs="Arial"/>
              </w:rPr>
            </w:pPr>
            <w:r>
              <w:rPr>
                <w:b/>
              </w:rPr>
              <w:lastRenderedPageBreak/>
              <w:t>Expected outcome</w:t>
            </w:r>
            <w:r>
              <w:t>: calculated values of indicators (gross, net)</w:t>
            </w:r>
          </w:p>
        </w:tc>
      </w:tr>
    </w:tbl>
    <w:p w:rsidR="00143584" w:rsidRDefault="00D64125">
      <w:pPr>
        <w:pStyle w:val="HStandard"/>
        <w:rPr>
          <w:rFonts w:cs="Arial"/>
        </w:rPr>
      </w:pPr>
      <w: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Pr>
          <w:rStyle w:val="FootnoteReference"/>
        </w:rPr>
        <w:footnoteReference w:id="71"/>
      </w:r>
      <w: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143584" w:rsidRDefault="00D64125">
      <w:pPr>
        <w:pStyle w:val="HStandard"/>
        <w:rPr>
          <w:rFonts w:cs="Arial"/>
        </w:rPr>
      </w:pPr>
      <w:r>
        <w:t>The netting out of indicators implies that there is sufficient data collected on beneficiaries and non-beneficiaries in the system</w:t>
      </w:r>
      <w:r>
        <w:rPr>
          <w:rStyle w:val="FootnoteReference"/>
        </w:rPr>
        <w:footnoteReference w:id="72"/>
      </w:r>
      <w: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143584" w:rsidRDefault="00D64125">
      <w:pPr>
        <w:pStyle w:val="HHeading5"/>
        <w:rPr>
          <w:rFonts w:cs="Arial"/>
        </w:rPr>
      </w:pPr>
      <w:r>
        <w:t>Net assessment of programme results including disentangling of programme effects from other intervening factors</w:t>
      </w:r>
      <w:r>
        <w:rPr>
          <w:rStyle w:val="FootnoteReference"/>
        </w:rPr>
        <w:footnoteReference w:id="73"/>
      </w:r>
    </w:p>
    <w:p w:rsidR="00143584" w:rsidRDefault="00D64125">
      <w:pPr>
        <w:pStyle w:val="HStandard"/>
        <w:rPr>
          <w:rFonts w:cs="Arial"/>
        </w:rPr>
      </w:pPr>
      <w: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Pr>
          <w:rStyle w:val="FootnoteReference"/>
        </w:rPr>
        <w:footnoteReference w:id="74"/>
      </w:r>
      <w:r>
        <w:t xml:space="preserve">. </w:t>
      </w:r>
    </w:p>
    <w:p w:rsidR="00143584" w:rsidRDefault="00D64125">
      <w:pPr>
        <w:pStyle w:val="HStandard"/>
        <w:rPr>
          <w:rFonts w:cs="Arial"/>
        </w:rPr>
      </w:pPr>
      <w:r>
        <w:t>Given the above, there are three key methodological challenges:</w:t>
      </w:r>
    </w:p>
    <w:p w:rsidR="00143584" w:rsidRDefault="00D64125">
      <w:pPr>
        <w:pStyle w:val="Hlistbullet"/>
        <w:rPr>
          <w:rFonts w:cs="Arial"/>
        </w:rPr>
      </w:pPr>
      <w:r>
        <w:t>The requirement to assess, wherever possible, programme results against their counterfactual, i.e. calculating the changes that would have occurred without the specific programme intervention;</w:t>
      </w:r>
    </w:p>
    <w:p w:rsidR="00143584" w:rsidRDefault="00D64125">
      <w:pPr>
        <w:pStyle w:val="Hlistbullet"/>
        <w:rPr>
          <w:rFonts w:cs="Arial"/>
        </w:rPr>
      </w:pPr>
      <w:r>
        <w:t>The requirement to estimate the net effects of the programme, by netting out deadweight, leverage, substitution effects, etc.;</w:t>
      </w:r>
    </w:p>
    <w:p w:rsidR="00143584" w:rsidRDefault="00D64125">
      <w:pPr>
        <w:pStyle w:val="Hlistbullet"/>
      </w:pPr>
      <w:r>
        <w:lastRenderedPageBreak/>
        <w:t>The requirement to construct a data and information collection, which allows for the unbiased computation of the effects as stipulated above.</w:t>
      </w:r>
    </w:p>
    <w:p w:rsidR="00143584" w:rsidRDefault="00D64125">
      <w:pPr>
        <w:pStyle w:val="HStandard"/>
        <w:rPr>
          <w:rFonts w:cs="Arial"/>
        </w:rPr>
      </w:pPr>
      <w:r>
        <w:t xml:space="preserve">The evaluators’ task is to establish a logical series of steps that connect the data derived from the database and other sources to the chosen analytical models in a way which responds to all the expected effects in the evaluation process: </w:t>
      </w:r>
    </w:p>
    <w:p w:rsidR="00143584" w:rsidRDefault="00D64125">
      <w:pPr>
        <w:pStyle w:val="Hlistbullet"/>
        <w:rPr>
          <w:rFonts w:cs="Arial"/>
        </w:rPr>
      </w:pPr>
      <w:r>
        <w:t>direct and indirect effects: expected and unexpected (positive and negative);</w:t>
      </w:r>
    </w:p>
    <w:p w:rsidR="00143584" w:rsidRDefault="00D64125">
      <w:pPr>
        <w:pStyle w:val="Hlistbullet"/>
        <w:rPr>
          <w:rFonts w:cs="Arial"/>
        </w:rPr>
      </w:pPr>
      <w:r>
        <w:t>secondary contributions of operations to FA: expected and unexpected;</w:t>
      </w:r>
    </w:p>
    <w:p w:rsidR="00143584" w:rsidRDefault="00D64125">
      <w:pPr>
        <w:pStyle w:val="Hlistbullet"/>
      </w:pPr>
      <w:r>
        <w:t>synergies and transverse effects</w:t>
      </w:r>
      <w:r>
        <w:rPr>
          <w:rStyle w:val="FootnoteReference"/>
        </w:rPr>
        <w:footnoteReference w:id="75"/>
      </w:r>
      <w:r>
        <w:t xml:space="preserve">. </w:t>
      </w:r>
    </w:p>
    <w:p w:rsidR="00143584" w:rsidRDefault="00D64125">
      <w:pPr>
        <w:pStyle w:val="HStandard"/>
        <w:rPr>
          <w:rFonts w:cs="Arial"/>
        </w:rPr>
      </w:pPr>
      <w: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143584" w:rsidRDefault="00D64125">
      <w:pPr>
        <w:pStyle w:val="HStandard"/>
        <w:rPr>
          <w:rFonts w:cs="Arial"/>
        </w:rPr>
      </w:pPr>
      <w:r>
        <w:t>An example of the steps applicable in the assessment of RDP results is presented below:</w:t>
      </w:r>
    </w:p>
    <w:p w:rsidR="00143584" w:rsidRDefault="00D64125">
      <w:pPr>
        <w:pStyle w:val="HHeading5"/>
        <w:rPr>
          <w:rFonts w:cs="Arial"/>
        </w:rPr>
      </w:pPr>
      <w:r>
        <w:t xml:space="preserve">Step 1: Introductory qualitative analysis </w:t>
      </w:r>
    </w:p>
    <w:p w:rsidR="00143584" w:rsidRDefault="00D64125">
      <w:pPr>
        <w:pStyle w:val="HStandard"/>
        <w:rPr>
          <w:rFonts w:cs="Arial"/>
        </w:rPr>
      </w:pPr>
      <w: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143584" w:rsidRDefault="00D64125">
      <w:pPr>
        <w:pStyle w:val="HHeading5"/>
        <w:rPr>
          <w:rFonts w:eastAsia="Calibri" w:cs="Arial"/>
        </w:rPr>
      </w:pPr>
      <w:r>
        <w:t xml:space="preserve">Step 2: Formulation of testable hypotheses regarding potential programme effects </w:t>
      </w:r>
    </w:p>
    <w:p w:rsidR="00143584" w:rsidRDefault="00D64125">
      <w:pPr>
        <w:pStyle w:val="HStandard"/>
        <w:rPr>
          <w:rFonts w:eastAsia="Calibri" w:cs="Arial"/>
        </w:rPr>
      </w:pPr>
      <w:r>
        <w:t xml:space="preserve">At this stage CEQs and judgement criteria linked to the assessment of the expected results at the micro-level should be complemented with PSEQs and respective judgement criteria, result indicators, and testable hypotheses derived from Step 1. </w:t>
      </w:r>
    </w:p>
    <w:p w:rsidR="00143584" w:rsidRDefault="00D64125">
      <w:pPr>
        <w:pStyle w:val="HHeading5"/>
        <w:rPr>
          <w:rFonts w:eastAsia="Calibri" w:cs="Arial"/>
        </w:rPr>
      </w:pPr>
      <w:r>
        <w:t>Step 3: Testing and verification of hypotheses</w:t>
      </w:r>
    </w:p>
    <w:p w:rsidR="00143584" w:rsidRDefault="00D64125">
      <w:pPr>
        <w:pStyle w:val="HStandard"/>
        <w:rPr>
          <w:rFonts w:eastAsia="Calibri" w:cs="Arial"/>
        </w:rPr>
      </w:pPr>
      <w: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143584" w:rsidRDefault="00D64125">
      <w:pPr>
        <w:pStyle w:val="HStandard"/>
        <w:rPr>
          <w:rFonts w:cs="Arial"/>
        </w:rPr>
      </w:pPr>
      <w:r>
        <w:lastRenderedPageBreak/>
        <w:t xml:space="preserve">The main components of Step 3 are as follows: </w:t>
      </w:r>
    </w:p>
    <w:p w:rsidR="00143584" w:rsidRDefault="00D64125">
      <w:pPr>
        <w:pStyle w:val="Hlistbullet"/>
        <w:rPr>
          <w:rFonts w:cs="Arial"/>
        </w:rPr>
      </w:pPr>
      <w: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143584" w:rsidRDefault="00D64125">
      <w:pPr>
        <w:pStyle w:val="Hlistbullet"/>
        <w:rPr>
          <w:rFonts w:cs="Arial"/>
        </w:rPr>
      </w:pPr>
      <w:r>
        <w:t xml:space="preserve">Defining the time dimension. For example, by comparing an average 2012-2013 (i.e. reflecting situations prior to the current programme) with 2016 (i.e. situation to be reported in AIR 2017). </w:t>
      </w:r>
    </w:p>
    <w:p w:rsidR="00143584" w:rsidRDefault="00D64125">
      <w:pPr>
        <w:pStyle w:val="Hlistbullet"/>
        <w:rPr>
          <w:rFonts w:cs="Arial"/>
        </w:rPr>
      </w:pPr>
      <w:r>
        <w:t>Applying suitable methodologies for finding credible control groups (a preference should be given to the application of both quantitative and qualitative methods). A suitable control group should be found for each type of effects analysed.</w:t>
      </w:r>
    </w:p>
    <w:p w:rsidR="00143584" w:rsidRDefault="00D64125">
      <w:pPr>
        <w:pStyle w:val="Hlistbullet"/>
        <w:rPr>
          <w:rFonts w:cs="Arial"/>
        </w:rPr>
      </w:pPr>
      <w:r>
        <w:t xml:space="preserve">Computing an average outcome effect for the group of programme beneficiaries. </w:t>
      </w:r>
    </w:p>
    <w:p w:rsidR="00143584" w:rsidRDefault="00D64125">
      <w:pPr>
        <w:pStyle w:val="Hlistbullet"/>
        <w:rPr>
          <w:rFonts w:cs="Arial"/>
        </w:rPr>
      </w:pPr>
      <w:r>
        <w:t xml:space="preserve">Computing an average outcome effect for a comparable control group. </w:t>
      </w:r>
    </w:p>
    <w:p w:rsidR="00143584" w:rsidRDefault="00D64125">
      <w:pPr>
        <w:pStyle w:val="Hlistbullet"/>
      </w:pPr>
      <w: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143584" w:rsidRDefault="00D64125">
      <w:pPr>
        <w:pStyle w:val="HHeading5"/>
        <w:rPr>
          <w:rFonts w:cs="Arial"/>
        </w:rPr>
      </w:pPr>
      <w:r>
        <w:t>Step 4: Calculation of specific programme indirect effects at the micro-level</w:t>
      </w:r>
      <w:r>
        <w:rPr>
          <w:vertAlign w:val="superscript"/>
        </w:rPr>
        <w:footnoteReference w:id="76"/>
      </w:r>
    </w:p>
    <w:p w:rsidR="00143584" w:rsidRDefault="00D64125">
      <w:pPr>
        <w:pStyle w:val="HStandard"/>
        <w:rPr>
          <w:rFonts w:cs="Arial"/>
        </w:rPr>
      </w:pPr>
      <w: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143584" w:rsidRDefault="00D64125">
      <w:pPr>
        <w:pStyle w:val="HStandard"/>
        <w:rPr>
          <w:rFonts w:cs="Arial"/>
        </w:rPr>
      </w:pPr>
      <w:r>
        <w:t>Due to the focus of the AIR 2017, the analysis of the programme results covering the period 2014-2016 requires the calculation of programme indirect effects occurring at the micro-level only.</w:t>
      </w:r>
    </w:p>
    <w:p w:rsidR="00143584" w:rsidRDefault="00D64125">
      <w:pPr>
        <w:pStyle w:val="HStandard"/>
        <w:rPr>
          <w:rFonts w:cs="Arial"/>
        </w:rPr>
      </w:pPr>
      <w: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6">
        <w:r>
          <w:rPr>
            <w:rStyle w:val="Hyperlink"/>
          </w:rPr>
          <w:t>Guidelines for the ex-post evaluation of 2007-2013 RDPs</w:t>
        </w:r>
      </w:hyperlink>
      <w:r>
        <w:t xml:space="preserve">). Methodologies recommended for estimating deadweight, leverage, and substitution effects are described and illustrated in several other publications. </w:t>
      </w:r>
    </w:p>
    <w:p w:rsidR="00143584" w:rsidRDefault="00D64125">
      <w:pPr>
        <w:pStyle w:val="HStandard"/>
        <w:rPr>
          <w:rFonts w:cs="Arial"/>
        </w:rPr>
      </w:pPr>
      <w: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143584" w:rsidRDefault="00D64125">
      <w:pPr>
        <w:pStyle w:val="HHeading5"/>
        <w:rPr>
          <w:rFonts w:cs="Arial"/>
        </w:rPr>
      </w:pPr>
      <w:r>
        <w:t>Step 5: Identifying programme net-results</w:t>
      </w:r>
    </w:p>
    <w:p w:rsidR="00143584" w:rsidRDefault="00D64125">
      <w:pPr>
        <w:pStyle w:val="HStandard"/>
        <w:rPr>
          <w:rFonts w:cs="Arial"/>
        </w:rPr>
      </w:pPr>
      <w: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rsidR="00143584" w:rsidRDefault="00D64125">
      <w:pPr>
        <w:pStyle w:val="HStandard"/>
        <w:rPr>
          <w:rFonts w:cs="Arial"/>
          <w:b/>
        </w:rPr>
      </w:pPr>
      <w:r>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143584" w:rsidRDefault="00D64125">
      <w:pPr>
        <w:spacing w:before="0" w:after="0" w:line="240" w:lineRule="auto"/>
        <w:jc w:val="left"/>
        <w:rPr>
          <w:rFonts w:cs="Arial"/>
          <w:b/>
          <w:color w:val="373737" w:themeColor="background1" w:themeShade="40"/>
          <w:sz w:val="20"/>
          <w:szCs w:val="20"/>
        </w:rPr>
      </w:pPr>
      <w:r>
        <w:br w:type="page"/>
      </w:r>
    </w:p>
    <w:p w:rsidR="00143584" w:rsidRDefault="00D64125">
      <w:pPr>
        <w:pStyle w:val="HStandard"/>
        <w:rPr>
          <w:rFonts w:cs="Arial"/>
          <w:b/>
        </w:rPr>
      </w:pPr>
      <w:r>
        <w:rPr>
          <w:b/>
        </w:rPr>
        <w:lastRenderedPageBreak/>
        <w:t xml:space="preserve">Considering secondary contributions of operations in calculating result indicators  </w:t>
      </w:r>
    </w:p>
    <w:p w:rsidR="00143584" w:rsidRDefault="00D64125">
      <w:pPr>
        <w:pStyle w:val="HStandard"/>
        <w:rPr>
          <w:rFonts w:cs="Arial"/>
        </w:rPr>
      </w:pPr>
      <w:r>
        <w:t xml:space="preserve">When calculating result indicators (complementary result indicators or target indicators) secondary contributions should be considered. The definition of secondary contributions can be found in chapter 5.1 of PART II of these guidelines.  </w:t>
      </w:r>
    </w:p>
    <w:p w:rsidR="00143584" w:rsidRDefault="00D64125">
      <w:pPr>
        <w:pStyle w:val="HStandard"/>
        <w:rPr>
          <w:rFonts w:cs="Arial"/>
        </w:rPr>
      </w:pPr>
      <w:r>
        <w:t xml:space="preserve">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  </w:t>
      </w:r>
    </w:p>
    <w:p w:rsidR="00143584" w:rsidRDefault="00D64125">
      <w:pPr>
        <w:pStyle w:val="HStandard"/>
        <w:rPr>
          <w:rFonts w:cs="Arial"/>
        </w:rPr>
      </w:pPr>
      <w: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  The evaluators should further distinguish these additional contributions in the total value of the indicator. The additional contributions of operations implemented under the LEADER/CLLD should be distinguished as well (See Annex 1 of the PART III).</w:t>
      </w:r>
    </w:p>
    <w:p w:rsidR="00143584" w:rsidRDefault="00D64125">
      <w:pPr>
        <w:pStyle w:val="HHeading2"/>
      </w:pPr>
      <w:bookmarkStart w:id="121" w:name="_Toc460936124"/>
      <w:bookmarkStart w:id="122" w:name="_Toc474938248"/>
      <w:r>
        <w:t>Judging</w:t>
      </w:r>
      <w:bookmarkEnd w:id="121"/>
      <w:bookmarkEnd w:id="122"/>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143584">
        <w:trPr>
          <w:jc w:val="center"/>
        </w:trPr>
        <w:tc>
          <w:tcPr>
            <w:tcW w:w="9071" w:type="dxa"/>
            <w:tcBorders>
              <w:bottom w:val="single" w:sz="4" w:space="0" w:color="6F6F6F" w:themeColor="text1"/>
            </w:tcBorders>
            <w:shd w:val="clear" w:color="auto" w:fill="F6B183" w:themeFill="background2" w:themeFillTint="99"/>
          </w:tcPr>
          <w:p w:rsidR="00143584" w:rsidRDefault="00D64125">
            <w:pPr>
              <w:pStyle w:val="HStandard"/>
              <w:rPr>
                <w:rFonts w:cs="Arial"/>
              </w:rPr>
            </w:pPr>
            <w:r>
              <w:t xml:space="preserve">The task of the judging phase is to interpret the evaluation findings, formulate answers to EQs on the basis of the judgement criteria and indicators. The conclusions and recommendations relate to the effects of single focus areas, as well as the programme as a whole.  </w:t>
            </w:r>
          </w:p>
        </w:tc>
      </w:tr>
      <w:tr w:rsidR="00143584">
        <w:trPr>
          <w:jc w:val="center"/>
        </w:trPr>
        <w:tc>
          <w:tcPr>
            <w:tcW w:w="9071" w:type="dxa"/>
            <w:shd w:val="clear" w:color="auto" w:fill="FCE5D5" w:themeFill="background2" w:themeFillTint="33"/>
          </w:tcPr>
          <w:p w:rsidR="00143584" w:rsidRDefault="00D64125">
            <w:pPr>
              <w:pStyle w:val="HHeading5"/>
              <w:rPr>
                <w:rFonts w:cs="Arial"/>
              </w:rPr>
            </w:pPr>
            <w:r>
              <w:t xml:space="preserve">Recommended working steps: </w:t>
            </w:r>
          </w:p>
          <w:p w:rsidR="00143584" w:rsidRDefault="00D64125">
            <w:pPr>
              <w:pStyle w:val="Hlistbullet"/>
              <w:rPr>
                <w:rFonts w:cs="Arial"/>
              </w:rPr>
            </w:pPr>
            <w:r>
              <w:t>Answer the EQs to be reported on in the AIR 2017,</w:t>
            </w:r>
          </w:p>
          <w:p w:rsidR="00143584" w:rsidRDefault="00D64125">
            <w:pPr>
              <w:pStyle w:val="Hlistbullet"/>
              <w:rPr>
                <w:rFonts w:cs="Arial"/>
              </w:rPr>
            </w:pPr>
            <w:r>
              <w:t>Judge on expected results and identify the internal and external factors, which contribute to the success or failure of the programme objectives,</w:t>
            </w:r>
          </w:p>
          <w:p w:rsidR="00143584" w:rsidRDefault="00D64125">
            <w:pPr>
              <w:pStyle w:val="Hlistbullet"/>
            </w:pPr>
            <w:r>
              <w:t>Draft conclusions as well as recommendations.</w:t>
            </w:r>
          </w:p>
        </w:tc>
      </w:tr>
      <w:tr w:rsidR="00143584">
        <w:trPr>
          <w:jc w:val="center"/>
        </w:trPr>
        <w:tc>
          <w:tcPr>
            <w:tcW w:w="9071" w:type="dxa"/>
          </w:tcPr>
          <w:p w:rsidR="00143584" w:rsidRDefault="00D64125">
            <w:pPr>
              <w:pStyle w:val="HStandard"/>
              <w:rPr>
                <w:rFonts w:cs="Arial"/>
              </w:rPr>
            </w:pPr>
            <w:r>
              <w:rPr>
                <w:b/>
              </w:rPr>
              <w:t>Expected outcome:</w:t>
            </w:r>
            <w:r>
              <w:t xml:space="preserve"> Answers to EQs, conclusions and recommendations</w:t>
            </w:r>
          </w:p>
        </w:tc>
      </w:tr>
    </w:tbl>
    <w:p w:rsidR="00143584" w:rsidRDefault="00D64125">
      <w:pPr>
        <w:pStyle w:val="HStandard"/>
        <w:rPr>
          <w:rFonts w:cs="Arial"/>
        </w:rPr>
      </w:pPr>
      <w:r>
        <w:t>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In this respect, the evaluator will have to:</w:t>
      </w:r>
    </w:p>
    <w:p w:rsidR="00143584" w:rsidRDefault="00D64125">
      <w:pPr>
        <w:pStyle w:val="Hlistbullet"/>
        <w:rPr>
          <w:rFonts w:cs="Arial"/>
        </w:rPr>
      </w:pPr>
      <w:r>
        <w:t>Answer the EQs to be reported in the AIR 2017, taking into account the context. In the answer to these EQs the effectiveness and efficiency principles (obtained results and resources spent) should always be present.</w:t>
      </w:r>
    </w:p>
    <w:p w:rsidR="00143584" w:rsidRDefault="00D64125">
      <w:pPr>
        <w:pStyle w:val="Hlistbullet"/>
        <w:rPr>
          <w:rFonts w:cs="Arial"/>
        </w:rPr>
      </w:pPr>
      <w:r>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143584" w:rsidRDefault="00D64125">
      <w:pPr>
        <w:pStyle w:val="Hlistbullet"/>
      </w:pPr>
      <w:r>
        <w:t>Draft conclusions and recommendations appropriately substantiated by the findings.</w:t>
      </w:r>
    </w:p>
    <w:p w:rsidR="00143584" w:rsidRDefault="00D64125">
      <w:pPr>
        <w:pStyle w:val="HStandard"/>
        <w:rPr>
          <w:rFonts w:cs="Arial"/>
        </w:rPr>
      </w:pPr>
      <w: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143584" w:rsidRDefault="00D64125">
      <w:pPr>
        <w:pStyle w:val="HHeading5"/>
        <w:rPr>
          <w:rFonts w:cs="Arial"/>
        </w:rPr>
      </w:pPr>
      <w:r>
        <w:t xml:space="preserve">Further reading </w:t>
      </w:r>
    </w:p>
    <w:p w:rsidR="00143584" w:rsidRDefault="00D64125">
      <w:pPr>
        <w:pStyle w:val="HBox"/>
        <w:rPr>
          <w:rFonts w:cs="Arial"/>
        </w:rPr>
      </w:pPr>
      <w:r>
        <w:t xml:space="preserve">Capturing the success of your RDP: Guidelines for ex post evaluation of 2007-2013 RDPs, PART II, Chapters 2, 3, 4 and 5, </w:t>
      </w:r>
      <w:hyperlink r:id="rId77">
        <w:r>
          <w:rPr>
            <w:rStyle w:val="Hyperlink"/>
          </w:rPr>
          <w:t>http://enrd.ec.europa.eu/enrd-static/evaluation/library/evaluation-helpdesk-publications/en/evaluation-helpdesk-publications_en.html</w:t>
        </w:r>
      </w:hyperlink>
    </w:p>
    <w:p w:rsidR="00143584" w:rsidRDefault="00D64125">
      <w:pPr>
        <w:pStyle w:val="HBox"/>
        <w:rPr>
          <w:rStyle w:val="Hyperlink"/>
        </w:rPr>
      </w:pPr>
      <w:r>
        <w:t xml:space="preserve">Handbook of the Common monitoring and evaluation framework 2007-2013 and Annexes, Annex 1, Guidance note B – Evaluation guidelines, </w:t>
      </w:r>
      <w:hyperlink r:id="rId78">
        <w:r>
          <w:rPr>
            <w:rStyle w:val="Hyperlink"/>
          </w:rPr>
          <w:t>http://ec.europa.eu/agriculture/rurdev/eval/index_en.htm</w:t>
        </w:r>
      </w:hyperlink>
    </w:p>
    <w:p w:rsidR="00143584" w:rsidRDefault="00D64125">
      <w:pPr>
        <w:pStyle w:val="HHeading9"/>
        <w:rPr>
          <w:rFonts w:cs="Arial"/>
        </w:rPr>
      </w:pPr>
      <w:bookmarkStart w:id="123" w:name="_Toc460936125"/>
      <w:bookmarkStart w:id="124" w:name="_Toc474938249"/>
      <w:r>
        <w:lastRenderedPageBreak/>
        <w:t>PART III - Приложения</w:t>
      </w:r>
      <w:bookmarkEnd w:id="123"/>
      <w:bookmarkEnd w:id="124"/>
    </w:p>
    <w:p w:rsidR="00143584" w:rsidRDefault="00D64125">
      <w:pPr>
        <w:pStyle w:val="HHeading1"/>
        <w:numPr>
          <w:ilvl w:val="0"/>
          <w:numId w:val="0"/>
        </w:numPr>
        <w:ind w:left="510" w:hanging="510"/>
        <w:rPr>
          <w:highlight w:val="yellow"/>
        </w:rPr>
      </w:pPr>
      <w:bookmarkStart w:id="125" w:name="_Toc447787428"/>
      <w:bookmarkStart w:id="126" w:name="_Toc447816412"/>
      <w:bookmarkStart w:id="127" w:name="_Toc456012891"/>
      <w:bookmarkStart w:id="128" w:name="_Toc460936126"/>
      <w:bookmarkStart w:id="129" w:name="_Toc474938250"/>
      <w:r>
        <w:rPr>
          <w:highlight w:val="yellow"/>
        </w:rPr>
        <w:lastRenderedPageBreak/>
        <w:t>Приложение 1 — Предложен образец от SFC за точка 7 от ГДИ, който подлежи на представяне през 2017 г.</w:t>
      </w:r>
      <w:bookmarkEnd w:id="125"/>
      <w:bookmarkEnd w:id="126"/>
      <w:bookmarkEnd w:id="127"/>
      <w:bookmarkEnd w:id="128"/>
      <w:bookmarkEnd w:id="129"/>
    </w:p>
    <w:p w:rsidR="00143584" w:rsidRDefault="00D64125">
      <w:pPr>
        <w:pStyle w:val="HStandard"/>
        <w:rPr>
          <w:highlight w:val="yellow"/>
        </w:rPr>
      </w:pPr>
      <w:r>
        <w:rPr>
          <w:highlight w:val="yellow"/>
        </w:rPr>
        <w:t>ГДИ се представят от държавите членки на Европейската комисия чрез електронната система за обмен на информация, като се използва образецът от SFC. През 2017 г. в точка 7 от ГДИ ще бъде включена също информацията, получена в резултат на дейностите по оценяване, в това число количественото изражение на постиженията на програмата чрез оценката на показателите за резултатите (по-специално показателите за допълнителни резултати) и отговорите на съответните въпроси за оценка</w:t>
      </w:r>
      <w:r>
        <w:rPr>
          <w:rStyle w:val="FootnoteReference"/>
          <w:highlight w:val="yellow"/>
        </w:rPr>
        <w:footnoteReference w:id="77"/>
      </w:r>
      <w:r>
        <w:rPr>
          <w:highlight w:val="yellow"/>
        </w:rPr>
        <w:t>. За тази цел в точка 7 от образеца от SFC на ГДИ за 2017 г. ще бъдат включени отделни таблици за:</w:t>
      </w:r>
    </w:p>
    <w:p w:rsidR="00143584" w:rsidRDefault="00D64125">
      <w:pPr>
        <w:pStyle w:val="Hlistabc"/>
        <w:numPr>
          <w:ilvl w:val="0"/>
          <w:numId w:val="34"/>
        </w:numPr>
        <w:spacing w:before="0" w:after="120" w:line="280" w:lineRule="atLeast"/>
        <w:rPr>
          <w:rFonts w:cs="Arial"/>
          <w:highlight w:val="yellow"/>
        </w:rPr>
      </w:pPr>
      <w:r>
        <w:rPr>
          <w:highlight w:val="yellow"/>
        </w:rPr>
        <w:t xml:space="preserve">всеки от общите въпроси за оценка (ОВО), свързани с област с поставен акцент, номера 1—18; </w:t>
      </w:r>
    </w:p>
    <w:p w:rsidR="00143584" w:rsidRDefault="00D64125">
      <w:pPr>
        <w:pStyle w:val="Hlistabc"/>
        <w:spacing w:before="0" w:line="280" w:lineRule="atLeast"/>
        <w:rPr>
          <w:rFonts w:cs="Arial"/>
          <w:color w:val="030303"/>
          <w:highlight w:val="yellow"/>
        </w:rPr>
      </w:pPr>
      <w:r>
        <w:rPr>
          <w:highlight w:val="yellow"/>
        </w:rPr>
        <w:t>общите въпроси за оценка, свързани с други аспекти на ПРСР:</w:t>
      </w:r>
      <w:r>
        <w:rPr>
          <w:color w:val="030303"/>
          <w:highlight w:val="yellow"/>
        </w:rPr>
        <w:t xml:space="preserve"> </w:t>
      </w:r>
    </w:p>
    <w:p w:rsidR="00143584" w:rsidRDefault="00D64125">
      <w:pPr>
        <w:pStyle w:val="Hlistline3"/>
        <w:rPr>
          <w:highlight w:val="yellow"/>
        </w:rPr>
      </w:pPr>
      <w:r>
        <w:rPr>
          <w:highlight w:val="yellow"/>
        </w:rPr>
        <w:t xml:space="preserve">ТП и НМСР, както и ОВО с номера 20 и 21, </w:t>
      </w:r>
    </w:p>
    <w:p w:rsidR="00143584" w:rsidRDefault="00D64125">
      <w:pPr>
        <w:pStyle w:val="Hlistline3"/>
        <w:rPr>
          <w:highlight w:val="yellow"/>
        </w:rPr>
      </w:pPr>
      <w:r>
        <w:rPr>
          <w:highlight w:val="yellow"/>
        </w:rPr>
        <w:t>полезните взаимодействия на програмата и ОВО с номер 19;</w:t>
      </w:r>
    </w:p>
    <w:p w:rsidR="00143584" w:rsidRDefault="00D64125">
      <w:pPr>
        <w:pStyle w:val="Hlistabc"/>
        <w:rPr>
          <w:highlight w:val="yellow"/>
        </w:rPr>
      </w:pPr>
      <w:r>
        <w:rPr>
          <w:highlight w:val="yellow"/>
        </w:rPr>
        <w:t>специфичните за програмата въпроси за оценка (СПВО), свързани с оценяването на:</w:t>
      </w:r>
    </w:p>
    <w:p w:rsidR="00143584" w:rsidRDefault="00D64125">
      <w:pPr>
        <w:pStyle w:val="Hlistline3"/>
        <w:rPr>
          <w:highlight w:val="yellow"/>
        </w:rPr>
      </w:pPr>
      <w:r>
        <w:rPr>
          <w:highlight w:val="yellow"/>
        </w:rPr>
        <w:t>специфични за програмата области с поставен акцент (броят на таблиците следва да се увеличи според броя на специфичните области с поставен акцент, включени в ПРСР),</w:t>
      </w:r>
    </w:p>
    <w:p w:rsidR="00143584" w:rsidRDefault="00D64125">
      <w:pPr>
        <w:pStyle w:val="Hlistline3"/>
        <w:rPr>
          <w:highlight w:val="yellow"/>
        </w:rPr>
      </w:pPr>
      <w:r>
        <w:rPr>
          <w:highlight w:val="yellow"/>
        </w:rPr>
        <w:t xml:space="preserve">специфични теми за ПРСР (например оценяване на механизма за изпълнение).   </w:t>
      </w:r>
    </w:p>
    <w:p w:rsidR="00143584" w:rsidRDefault="00D64125">
      <w:pPr>
        <w:pStyle w:val="HStandard"/>
        <w:rPr>
          <w:highlight w:val="yellow"/>
        </w:rPr>
      </w:pPr>
      <w:r>
        <w:rPr>
          <w:highlight w:val="yellow"/>
        </w:rPr>
        <w:t>Информацията от оценяването, събрана чрез таблиците в точка 7 от образеца от SFC, обобщава основните въпроси, които са важни за държавите членки и за ЕС</w:t>
      </w:r>
      <w:r>
        <w:rPr>
          <w:rStyle w:val="FootnoteReference"/>
          <w:highlight w:val="yellow"/>
        </w:rPr>
        <w:footnoteReference w:id="78"/>
      </w:r>
      <w:r>
        <w:rPr>
          <w:highlight w:val="yellow"/>
        </w:rPr>
        <w:t>. Точка 7 от образеца от SFC:</w:t>
      </w:r>
    </w:p>
    <w:p w:rsidR="00143584" w:rsidRDefault="00D64125">
      <w:pPr>
        <w:pStyle w:val="Hlistbullet"/>
        <w:rPr>
          <w:highlight w:val="yellow"/>
        </w:rPr>
      </w:pPr>
      <w:r>
        <w:rPr>
          <w:highlight w:val="yellow"/>
        </w:rPr>
        <w:t xml:space="preserve">преобразува и привежда в действие изискванията на ОСМО в приложим формат, </w:t>
      </w:r>
    </w:p>
    <w:p w:rsidR="00143584" w:rsidRDefault="00D64125">
      <w:pPr>
        <w:pStyle w:val="Hlistbullet"/>
        <w:rPr>
          <w:highlight w:val="yellow"/>
        </w:rPr>
      </w:pPr>
      <w:r>
        <w:rPr>
          <w:highlight w:val="yellow"/>
        </w:rPr>
        <w:t xml:space="preserve">помага да се избегнат формални грешки (например погрешно използване на показателите; несъгласуваност на интервенционната логика с елементите на оценката; източници на данни, смесване на брутни и нетни стойности и т.н.), </w:t>
      </w:r>
    </w:p>
    <w:p w:rsidR="00143584" w:rsidRDefault="00D64125">
      <w:pPr>
        <w:pStyle w:val="Hlistbullet"/>
        <w:rPr>
          <w:highlight w:val="yellow"/>
        </w:rPr>
      </w:pPr>
      <w:r>
        <w:rPr>
          <w:highlight w:val="yellow"/>
        </w:rPr>
        <w:t xml:space="preserve">улеснява преценката относно валидността и надеждността на оценката на резултатите от ПРСР и солидността и точността на отговорите на въпросите за оценка, </w:t>
      </w:r>
    </w:p>
    <w:p w:rsidR="00143584" w:rsidRDefault="00D64125">
      <w:pPr>
        <w:pStyle w:val="Hlistbullet"/>
        <w:rPr>
          <w:highlight w:val="yellow"/>
        </w:rPr>
      </w:pPr>
      <w:r>
        <w:rPr>
          <w:highlight w:val="yellow"/>
        </w:rPr>
        <w:t xml:space="preserve">насърчава заинтересованите страни да предоставят синтезирана основна информация, събрана от по-подробни доклади за оценка, която може да се използва в удобен формат за лицата, отговорни за изработването на политиката, и за широката публика,   </w:t>
      </w:r>
    </w:p>
    <w:p w:rsidR="00143584" w:rsidRDefault="00D64125">
      <w:pPr>
        <w:pStyle w:val="Hlistbullet"/>
        <w:rPr>
          <w:highlight w:val="yellow"/>
        </w:rPr>
      </w:pPr>
      <w:r>
        <w:rPr>
          <w:highlight w:val="yellow"/>
        </w:rPr>
        <w:t xml:space="preserve">спомага по прозрачен начин да се съберат и синтезират големи обеми информация на ниво ЕС, </w:t>
      </w:r>
    </w:p>
    <w:p w:rsidR="00143584" w:rsidRDefault="00D64125">
      <w:pPr>
        <w:pStyle w:val="Hlistbullet"/>
        <w:rPr>
          <w:highlight w:val="yellow"/>
        </w:rPr>
      </w:pPr>
      <w:r>
        <w:rPr>
          <w:highlight w:val="yellow"/>
        </w:rPr>
        <w:t xml:space="preserve">осигурява солидна база от информация по отношение на постиженията и резултатите от действията в рамките на политиката за развитие на селските райони за целите на обобщаването на ниво ЕС и за докладването на ниво ОСП. </w:t>
      </w:r>
    </w:p>
    <w:p w:rsidR="00143584" w:rsidRDefault="00D64125">
      <w:pPr>
        <w:pStyle w:val="HStandard"/>
        <w:rPr>
          <w:i/>
          <w:highlight w:val="yellow"/>
        </w:rPr>
      </w:pPr>
      <w:r>
        <w:rPr>
          <w:i/>
          <w:highlight w:val="yellow"/>
        </w:rPr>
        <w:t>Методически фишове, показващи как се попълват таблиците в образеца от SFC за точка 7 за ОВО 1—21, са дадени в отделно приложение 11.</w:t>
      </w:r>
    </w:p>
    <w:p w:rsidR="00143584" w:rsidRDefault="00D64125">
      <w:pPr>
        <w:pStyle w:val="HStandard"/>
        <w:rPr>
          <w:highlight w:val="yellow"/>
        </w:rPr>
      </w:pPr>
      <w:r>
        <w:rPr>
          <w:highlight w:val="yellow"/>
        </w:rPr>
        <w:t>В таблиците по-долу са представени:</w:t>
      </w:r>
    </w:p>
    <w:p w:rsidR="00143584" w:rsidRDefault="00D64125">
      <w:pPr>
        <w:pStyle w:val="Hlistbullet"/>
        <w:rPr>
          <w:highlight w:val="yellow"/>
        </w:rPr>
      </w:pPr>
      <w:r>
        <w:rPr>
          <w:highlight w:val="yellow"/>
          <w:u w:val="single"/>
        </w:rPr>
        <w:lastRenderedPageBreak/>
        <w:t>непопълнен</w:t>
      </w:r>
      <w:r>
        <w:rPr>
          <w:highlight w:val="yellow"/>
        </w:rPr>
        <w:t xml:space="preserve"> пример на точка 7 от образеца от SFC за отговор на общ въпрос за оценка с номер 4</w:t>
      </w:r>
      <w:r>
        <w:rPr>
          <w:rStyle w:val="FootnoteReference"/>
          <w:highlight w:val="yellow"/>
        </w:rPr>
        <w:footnoteReference w:id="79"/>
      </w:r>
      <w:r>
        <w:rPr>
          <w:highlight w:val="yellow"/>
        </w:rPr>
        <w:t>,</w:t>
      </w:r>
    </w:p>
    <w:p w:rsidR="00143584" w:rsidRDefault="00D64125">
      <w:pPr>
        <w:pStyle w:val="Hlistbullet"/>
        <w:rPr>
          <w:highlight w:val="yellow"/>
        </w:rPr>
      </w:pPr>
      <w:r>
        <w:rPr>
          <w:highlight w:val="yellow"/>
          <w:u w:val="single"/>
        </w:rPr>
        <w:t>попълнен</w:t>
      </w:r>
      <w:r>
        <w:rPr>
          <w:highlight w:val="yellow"/>
        </w:rPr>
        <w:t xml:space="preserve"> пример на точка 7 от образеца от SFC за отговор на общ въпрос за оценка с номер 4,</w:t>
      </w:r>
    </w:p>
    <w:p w:rsidR="00143584" w:rsidRDefault="00D64125">
      <w:pPr>
        <w:pStyle w:val="Hlistbullet"/>
        <w:rPr>
          <w:highlight w:val="yellow"/>
        </w:rPr>
      </w:pPr>
      <w:r>
        <w:rPr>
          <w:highlight w:val="yellow"/>
          <w:u w:val="single"/>
        </w:rPr>
        <w:t>непопълнен</w:t>
      </w:r>
      <w:r>
        <w:rPr>
          <w:highlight w:val="yellow"/>
        </w:rPr>
        <w:t xml:space="preserve"> пример на точка 7 от образеца от SFC за отговор на специфичен за програмата въпрос за оценка, свързан със специфичната за програмата област с поставен акцент,</w:t>
      </w:r>
    </w:p>
    <w:p w:rsidR="00143584" w:rsidRDefault="00D64125">
      <w:pPr>
        <w:pStyle w:val="Hlistbullet"/>
        <w:rPr>
          <w:highlight w:val="yellow"/>
        </w:rPr>
      </w:pPr>
      <w:r>
        <w:rPr>
          <w:highlight w:val="yellow"/>
          <w:u w:val="single"/>
        </w:rPr>
        <w:t>попълнен</w:t>
      </w:r>
      <w:r>
        <w:rPr>
          <w:highlight w:val="yellow"/>
        </w:rPr>
        <w:t xml:space="preserve"> пример на точка 7 от образеца от SFC за отговор на специфичен за програмата въпрос за оценка, свързан със специфичната за програмата област с поставен акцент.</w:t>
      </w:r>
    </w:p>
    <w:p w:rsidR="00143584" w:rsidRDefault="00D64125">
      <w:pPr>
        <w:pStyle w:val="HHeadingtables"/>
        <w:rPr>
          <w:rFonts w:cs="Arial"/>
        </w:rPr>
      </w:pPr>
      <w:bookmarkStart w:id="130" w:name="_Toc460936142"/>
      <w:bookmarkStart w:id="131" w:name="_Toc474937839"/>
      <w:r>
        <w:t>SFC template for point 7 concerning Common Evaluation Question no. 4 (empty template</w:t>
      </w:r>
      <w:bookmarkEnd w:id="130"/>
      <w:r>
        <w:t>)</w:t>
      </w:r>
      <w:bookmarkEnd w:id="131"/>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14358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H-Heading2"/>
              <w:spacing w:before="120" w:after="120" w:line="240" w:lineRule="auto"/>
              <w:ind w:left="0" w:firstLine="0"/>
            </w:pPr>
            <w:r>
              <w:rPr>
                <w:rFonts w:ascii="Arial" w:hAnsi="Arial"/>
                <w:color w:val="F07E31"/>
                <w:sz w:val="18"/>
              </w:rPr>
              <w:t xml:space="preserve">COMMON EVALUATION QUESTION </w:t>
            </w:r>
            <w:r>
              <w:rPr>
                <w:rFonts w:ascii="Arial" w:hAnsi="Arial"/>
                <w:color w:val="373737" w:themeColor="background1" w:themeShade="40"/>
                <w:sz w:val="18"/>
              </w:rPr>
              <w:t>No 4: “</w:t>
            </w:r>
            <w:r>
              <w:rPr>
                <w:rFonts w:ascii="Arial" w:hAnsi="Arial"/>
                <w:caps/>
                <w:color w:val="373737" w:themeColor="background1" w:themeShade="40"/>
                <w:sz w:val="18"/>
              </w:rPr>
              <w:t>To what extent have RDP interventions contributed to improving the economic performance, restructuring and modernisation of supported farms in particular through increasing their market participation and agricultural diversification</w:t>
            </w:r>
            <w:r>
              <w:rPr>
                <w:rFonts w:ascii="Arial" w:hAnsi="Arial"/>
                <w:color w:val="373737" w:themeColor="background1" w:themeShade="40"/>
                <w:sz w:val="18"/>
              </w:rPr>
              <w:t>?”</w:t>
            </w:r>
          </w:p>
        </w:tc>
      </w:tr>
      <w:tr w:rsidR="0014358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List of measures contributing to the FA 2A</w:t>
            </w:r>
          </w:p>
          <w:p w:rsidR="00143584" w:rsidRDefault="00143584">
            <w:pPr>
              <w:spacing w:after="0" w:line="240" w:lineRule="auto"/>
              <w:jc w:val="left"/>
              <w:rPr>
                <w:b/>
                <w:color w:val="373737" w:themeColor="background1" w:themeShade="40"/>
                <w:szCs w:val="18"/>
              </w:rPr>
            </w:pPr>
          </w:p>
          <w:p w:rsidR="00143584" w:rsidRDefault="00D64125">
            <w:pPr>
              <w:spacing w:after="0" w:line="240" w:lineRule="auto"/>
              <w:jc w:val="left"/>
              <w:rPr>
                <w:b/>
                <w:color w:val="373737" w:themeColor="background1" w:themeShade="40"/>
                <w:szCs w:val="18"/>
              </w:rPr>
            </w:pPr>
            <w:r>
              <w:rPr>
                <w:b/>
                <w:color w:val="373737" w:themeColor="background1" w:themeShade="40"/>
              </w:rPr>
              <w:t>Primarily programmed measures/sub-measures:</w:t>
            </w:r>
          </w:p>
          <w:p w:rsidR="00143584" w:rsidRDefault="00143584">
            <w:pPr>
              <w:spacing w:after="0" w:line="240" w:lineRule="auto"/>
              <w:jc w:val="left"/>
              <w:rPr>
                <w:b/>
                <w:color w:val="373737" w:themeColor="background1" w:themeShade="40"/>
                <w:szCs w:val="18"/>
              </w:rPr>
            </w:pPr>
          </w:p>
          <w:p w:rsidR="00143584" w:rsidRDefault="00D64125">
            <w:pPr>
              <w:spacing w:after="0" w:line="240" w:lineRule="auto"/>
              <w:jc w:val="left"/>
              <w:rPr>
                <w:b/>
                <w:color w:val="373737" w:themeColor="background1" w:themeShade="40"/>
                <w:szCs w:val="18"/>
              </w:rPr>
            </w:pPr>
            <w:r>
              <w:rPr>
                <w:b/>
                <w:color w:val="373737" w:themeColor="background1" w:themeShade="40"/>
              </w:rPr>
              <w:t>Measures/sub-measures programmed under the other FAs which show secondary contributions to FA 2A</w:t>
            </w:r>
            <w:r>
              <w:rPr>
                <w:rStyle w:val="FootnoteReference"/>
              </w:rPr>
              <w:footnoteReference w:id="80"/>
            </w:r>
            <w:r>
              <w:rPr>
                <w:b/>
                <w:color w:val="373737" w:themeColor="background1" w:themeShade="40"/>
              </w:rPr>
              <w:t>:</w:t>
            </w:r>
          </w:p>
          <w:p w:rsidR="00143584" w:rsidRDefault="00143584">
            <w:pPr>
              <w:spacing w:after="0" w:line="240" w:lineRule="auto"/>
              <w:jc w:val="left"/>
              <w:rPr>
                <w:b/>
                <w:szCs w:val="18"/>
              </w:rPr>
            </w:pPr>
          </w:p>
          <w:p w:rsidR="00143584" w:rsidRDefault="00D64125">
            <w:pPr>
              <w:spacing w:after="0" w:line="240" w:lineRule="auto"/>
              <w:jc w:val="left"/>
              <w:rPr>
                <w:i/>
                <w:color w:val="F7A833" w:themeColor="accent5"/>
                <w:szCs w:val="18"/>
              </w:rPr>
            </w:pPr>
            <w:r>
              <w:rPr>
                <w:i/>
                <w:color w:val="F7A833" w:themeColor="accent5"/>
              </w:rPr>
              <w:t>[A maximum of 1,000 characters = approx. ¼ page – Mandatory]</w:t>
            </w:r>
          </w:p>
        </w:tc>
      </w:tr>
      <w:tr w:rsidR="0014358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28"/>
              </w:numPr>
              <w:suppressAutoHyphens/>
              <w:autoSpaceDN w:val="0"/>
              <w:spacing w:after="0" w:line="240" w:lineRule="auto"/>
              <w:textAlignment w:val="baseline"/>
              <w:outlineLvl w:val="9"/>
              <w:rPr>
                <w:b/>
                <w:sz w:val="18"/>
                <w:szCs w:val="18"/>
              </w:rPr>
            </w:pPr>
            <w:r>
              <w:rPr>
                <w:rFonts w:ascii="Arial" w:hAnsi="Arial"/>
                <w:b/>
                <w:color w:val="ED7D31"/>
                <w:sz w:val="18"/>
              </w:rPr>
              <w:t>Link between judgment criteria, common and additional</w:t>
            </w:r>
            <w:r>
              <w:rPr>
                <w:rStyle w:val="FootnoteReference"/>
              </w:rPr>
              <w:footnoteReference w:id="81"/>
            </w:r>
            <w:r>
              <w:rPr>
                <w:rFonts w:ascii="Arial" w:hAnsi="Arial"/>
                <w:b/>
                <w:color w:val="ED7D31"/>
                <w:sz w:val="18"/>
              </w:rPr>
              <w:t xml:space="preserve"> result indicators used to answer the CEQ</w:t>
            </w:r>
          </w:p>
          <w:p w:rsidR="00143584" w:rsidRDefault="00143584">
            <w:pPr>
              <w:spacing w:after="0" w:line="240" w:lineRule="auto"/>
              <w:jc w:val="left"/>
              <w:rPr>
                <w:i/>
                <w:color w:val="F7A833" w:themeColor="accent5"/>
                <w:szCs w:val="18"/>
              </w:rPr>
            </w:pPr>
          </w:p>
          <w:p w:rsidR="00143584" w:rsidRDefault="00D64125">
            <w:pPr>
              <w:spacing w:after="0" w:line="240" w:lineRule="auto"/>
              <w:jc w:val="left"/>
              <w:rPr>
                <w:i/>
                <w:color w:val="F7A833" w:themeColor="accent5"/>
                <w:szCs w:val="18"/>
              </w:rPr>
            </w:pPr>
            <w:r>
              <w:rPr>
                <w:i/>
                <w:color w:val="F7A833" w:themeColor="accent5"/>
              </w:rPr>
              <w:t>[Mandatory]</w:t>
            </w:r>
          </w:p>
          <w:p w:rsidR="00143584" w:rsidRDefault="00143584">
            <w:pPr>
              <w:spacing w:after="0" w:line="240" w:lineRule="auto"/>
              <w:jc w:val="left"/>
              <w:rPr>
                <w:b/>
                <w:szCs w:val="18"/>
              </w:rPr>
            </w:pPr>
          </w:p>
        </w:tc>
      </w:tr>
      <w:tr w:rsidR="0014358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pStyle w:val="ListParagraph"/>
              <w:spacing w:line="240" w:lineRule="auto"/>
              <w:ind w:left="720" w:firstLine="0"/>
              <w:rPr>
                <w:rFonts w:ascii="Arial" w:hAnsi="Arial" w:cs="Arial"/>
                <w:b/>
                <w:sz w:val="18"/>
                <w:szCs w:val="18"/>
              </w:rPr>
            </w:pPr>
            <w:r>
              <w:rPr>
                <w:rFonts w:ascii="Arial" w:hAnsi="Arial"/>
                <w:b/>
                <w:color w:val="373737" w:themeColor="background1" w:themeShade="40"/>
                <w:sz w:val="18"/>
              </w:rPr>
              <w:t>Judgment criteria</w:t>
            </w:r>
            <w:r>
              <w:rPr>
                <w:rStyle w:val="FootnoteReference"/>
              </w:rPr>
              <w:footnoteReference w:id="82"/>
            </w:r>
          </w:p>
          <w:p w:rsidR="00143584" w:rsidRDefault="00D64125">
            <w:pPr>
              <w:pStyle w:val="ListParagraph"/>
              <w:spacing w:line="240" w:lineRule="auto"/>
              <w:ind w:left="720" w:firstLine="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pStyle w:val="ListParagraph"/>
              <w:spacing w:line="240" w:lineRule="auto"/>
              <w:ind w:left="720"/>
              <w:rPr>
                <w:rFonts w:ascii="Arial" w:hAnsi="Arial" w:cs="Arial"/>
                <w:b/>
                <w:sz w:val="18"/>
                <w:szCs w:val="18"/>
              </w:rPr>
            </w:pPr>
            <w:r>
              <w:rPr>
                <w:rFonts w:ascii="Arial" w:hAnsi="Arial"/>
                <w:b/>
                <w:color w:val="373737" w:themeColor="background1" w:themeShade="40"/>
                <w:sz w:val="18"/>
              </w:rPr>
              <w:t>Common result indicators</w:t>
            </w:r>
            <w:r>
              <w:rPr>
                <w:rStyle w:val="FootnoteReference"/>
              </w:rPr>
              <w:footnoteReference w:id="83"/>
            </w:r>
          </w:p>
          <w:p w:rsidR="00143584" w:rsidRDefault="00D64125">
            <w:pPr>
              <w:pStyle w:val="ListParagraph"/>
              <w:spacing w:line="240" w:lineRule="auto"/>
              <w:ind w:left="72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spacing w:line="240" w:lineRule="auto"/>
              <w:ind w:left="0" w:firstLine="0"/>
              <w:rPr>
                <w:rFonts w:ascii="Arial" w:hAnsi="Arial" w:cs="Arial"/>
                <w:b/>
                <w:sz w:val="18"/>
                <w:szCs w:val="18"/>
              </w:rPr>
            </w:pPr>
            <w:r>
              <w:rPr>
                <w:rFonts w:ascii="Arial" w:hAnsi="Arial"/>
                <w:b/>
                <w:color w:val="373737" w:themeColor="background1" w:themeShade="40"/>
                <w:sz w:val="18"/>
              </w:rPr>
              <w:t>Additional result indicators</w:t>
            </w:r>
            <w:r>
              <w:rPr>
                <w:rStyle w:val="FootnoteReference"/>
              </w:rPr>
              <w:footnoteReference w:id="84"/>
            </w:r>
          </w:p>
          <w:p w:rsidR="00143584" w:rsidRDefault="00D64125">
            <w:pPr>
              <w:pStyle w:val="ListParagraph"/>
              <w:spacing w:line="240" w:lineRule="auto"/>
              <w:ind w:left="0" w:firstLine="0"/>
              <w:rPr>
                <w:i/>
              </w:rPr>
            </w:pPr>
            <w:r>
              <w:rPr>
                <w:rFonts w:ascii="Arial" w:hAnsi="Arial"/>
                <w:i/>
                <w:color w:val="F7A833" w:themeColor="accent5"/>
                <w:sz w:val="18"/>
              </w:rPr>
              <w:t>[Max. 255 characters]</w:t>
            </w:r>
          </w:p>
        </w:tc>
      </w:tr>
      <w:tr w:rsidR="0014358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pStyle w:val="ListParagraph"/>
              <w:spacing w:line="240" w:lineRule="auto"/>
              <w:ind w:left="0" w:firstLine="0"/>
              <w:rPr>
                <w:rFonts w:ascii="Arial" w:hAnsi="Arial" w:cs="Arial"/>
                <w:b/>
                <w:color w:val="373737" w:themeColor="background1" w:themeShade="40"/>
                <w:sz w:val="18"/>
                <w:szCs w:val="18"/>
              </w:rPr>
            </w:pPr>
            <w:r>
              <w:rPr>
                <w:rFonts w:ascii="Arial" w:hAnsi="Arial"/>
                <w:b/>
                <w:color w:val="373737" w:themeColor="background1" w:themeShade="40"/>
                <w:sz w:val="18"/>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143584">
            <w:pPr>
              <w:pStyle w:val="ListParagraph"/>
              <w:spacing w:line="240" w:lineRule="auto"/>
              <w:ind w:left="720"/>
              <w:rPr>
                <w:rFonts w:ascii="Arial" w:hAnsi="Arial" w:cs="Arial"/>
                <w:b/>
                <w:color w:val="373737" w:themeColor="background1" w:themeShade="40"/>
                <w:sz w:val="18"/>
                <w:szCs w:val="18"/>
              </w:rPr>
            </w:pPr>
          </w:p>
        </w:tc>
      </w:tr>
      <w:tr w:rsidR="0014358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pStyle w:val="ListParagraph"/>
              <w:rPr>
                <w:rFonts w:ascii="Arial" w:hAnsi="Arial" w:cs="Arial"/>
                <w:b/>
                <w:color w:val="373737" w:themeColor="background1" w:themeShade="40"/>
                <w:sz w:val="18"/>
                <w:szCs w:val="18"/>
              </w:rPr>
            </w:pPr>
            <w:r>
              <w:rPr>
                <w:rFonts w:ascii="Arial" w:hAnsi="Arial"/>
                <w:b/>
                <w:color w:val="373737" w:themeColor="background1" w:themeShade="40"/>
                <w:sz w:val="18"/>
              </w:rPr>
              <w:t>Farms have been modernized</w:t>
            </w:r>
          </w:p>
          <w:p w:rsidR="00143584" w:rsidRDefault="00D64125">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Percentage of agriculture holdings with RDP support for investments regarding modernization</w:t>
            </w:r>
          </w:p>
        </w:tc>
      </w:tr>
      <w:tr w:rsidR="0014358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pStyle w:val="ListParagraph"/>
              <w:spacing w:line="240" w:lineRule="auto"/>
              <w:ind w:left="720"/>
              <w:rPr>
                <w:rFonts w:ascii="Arial" w:hAnsi="Arial" w:cs="Arial"/>
                <w:b/>
                <w:sz w:val="18"/>
                <w:szCs w:val="18"/>
                <w:highlight w:val="green"/>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pStyle w:val="ListParagraph"/>
              <w:spacing w:line="240" w:lineRule="auto"/>
              <w:ind w:left="720"/>
              <w:rPr>
                <w:rFonts w:ascii="Arial" w:hAnsi="Arial" w:cs="Arial"/>
                <w:b/>
                <w:sz w:val="18"/>
                <w:szCs w:val="18"/>
                <w:highlight w:val="green"/>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143584">
            <w:pPr>
              <w:pStyle w:val="ListParagraph"/>
              <w:spacing w:line="240" w:lineRule="auto"/>
              <w:ind w:left="11" w:firstLine="0"/>
              <w:rPr>
                <w:rFonts w:ascii="Arial" w:hAnsi="Arial" w:cs="Arial"/>
                <w:b/>
                <w:sz w:val="18"/>
                <w:szCs w:val="18"/>
                <w:highlight w:val="green"/>
              </w:rPr>
            </w:pPr>
          </w:p>
        </w:tc>
      </w:tr>
      <w:tr w:rsidR="0014358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tabs>
                <w:tab w:val="clear" w:pos="709"/>
                <w:tab w:val="left" w:pos="731"/>
              </w:tabs>
              <w:spacing w:line="240" w:lineRule="auto"/>
              <w:ind w:left="720"/>
              <w:rPr>
                <w:rFonts w:ascii="Arial" w:hAnsi="Arial" w:cs="Arial"/>
                <w:b/>
                <w:sz w:val="18"/>
                <w:szCs w:val="18"/>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tabs>
                <w:tab w:val="clear" w:pos="709"/>
              </w:tabs>
              <w:spacing w:line="240" w:lineRule="auto"/>
              <w:ind w:left="41"/>
              <w:rPr>
                <w:rFonts w:ascii="Arial" w:hAnsi="Arial" w:cs="Arial"/>
                <w:b/>
                <w:sz w:val="18"/>
                <w:szCs w:val="18"/>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143584">
            <w:pPr>
              <w:pStyle w:val="ListParagraph"/>
              <w:spacing w:line="240" w:lineRule="auto"/>
              <w:ind w:left="77"/>
              <w:rPr>
                <w:rFonts w:ascii="Arial" w:hAnsi="Arial" w:cs="Arial"/>
                <w:b/>
                <w:sz w:val="18"/>
                <w:szCs w:val="18"/>
              </w:rPr>
            </w:pPr>
          </w:p>
        </w:tc>
      </w:tr>
      <w:tr w:rsidR="0014358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Methods applied</w:t>
            </w:r>
            <w:r>
              <w:rPr>
                <w:rStyle w:val="FootnoteReference"/>
              </w:rPr>
              <w:footnoteReference w:id="85"/>
            </w:r>
          </w:p>
          <w:p w:rsidR="00143584" w:rsidRDefault="00D64125">
            <w:pPr>
              <w:pStyle w:val="Htablebullet"/>
            </w:pPr>
            <w:r>
              <w:t>Quantitative methods</w:t>
            </w:r>
            <w:r>
              <w:rPr>
                <w:rStyle w:val="FootnoteReference"/>
              </w:rPr>
              <w:footnoteReference w:id="86"/>
            </w:r>
            <w:r>
              <w:t>:</w:t>
            </w:r>
          </w:p>
          <w:p w:rsidR="00143584" w:rsidRDefault="00D64125">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p>
          <w:p w:rsidR="00143584" w:rsidRDefault="00D64125">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to calculate ratios, gross or net (if applicable) values of common and additional result indicators, or other indicators used (output, common context indicators)</w:t>
            </w:r>
            <w:r>
              <w:rPr>
                <w:rStyle w:val="FootnoteReference"/>
                <w:color w:val="373737" w:themeColor="background1" w:themeShade="40"/>
              </w:rPr>
              <w:footnoteReference w:id="87"/>
            </w:r>
          </w:p>
          <w:p w:rsidR="00143584" w:rsidRDefault="00D64125">
            <w:pPr>
              <w:pStyle w:val="ListParagraph"/>
              <w:numPr>
                <w:ilvl w:val="2"/>
                <w:numId w:val="29"/>
              </w:numPr>
              <w:suppressAutoHyphens/>
              <w:autoSpaceDN w:val="0"/>
              <w:spacing w:after="0" w:line="240" w:lineRule="auto"/>
              <w:textAlignment w:val="baseline"/>
              <w:outlineLvl w:val="9"/>
              <w:rPr>
                <w:color w:val="262626" w:themeColor="text2" w:themeTint="D9"/>
                <w:sz w:val="18"/>
                <w:szCs w:val="18"/>
              </w:rPr>
            </w:pPr>
            <w:r>
              <w:rPr>
                <w:rFonts w:ascii="Arial" w:hAnsi="Arial"/>
                <w:color w:val="373737" w:themeColor="background1" w:themeShade="40"/>
                <w:sz w:val="18"/>
              </w:rPr>
              <w:t>Challenges in the application of described methods and solutions encountered</w:t>
            </w:r>
          </w:p>
          <w:p w:rsidR="00143584" w:rsidRDefault="00D64125">
            <w:pPr>
              <w:pStyle w:val="Htablebullet"/>
            </w:pPr>
            <w:r>
              <w:t>Qualitative methods:</w:t>
            </w:r>
          </w:p>
          <w:p w:rsidR="00143584" w:rsidRDefault="00D64125">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r>
              <w:rPr>
                <w:rStyle w:val="FootnoteReference"/>
                <w:color w:val="373737" w:themeColor="background1" w:themeShade="40"/>
                <w:vertAlign w:val="superscript"/>
              </w:rPr>
              <w:footnoteReference w:id="88"/>
            </w:r>
          </w:p>
          <w:p w:rsidR="00143584" w:rsidRDefault="00D64125">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used</w:t>
            </w:r>
            <w:r>
              <w:rPr>
                <w:rStyle w:val="FootnoteReference"/>
                <w:color w:val="373737" w:themeColor="background1" w:themeShade="40"/>
                <w:vertAlign w:val="superscript"/>
              </w:rPr>
              <w:footnoteReference w:id="89"/>
            </w:r>
          </w:p>
          <w:p w:rsidR="00143584" w:rsidRDefault="00D64125">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143584" w:rsidRDefault="00D64125">
            <w:pPr>
              <w:spacing w:after="0" w:line="240" w:lineRule="auto"/>
              <w:jc w:val="left"/>
              <w:rPr>
                <w:szCs w:val="18"/>
              </w:rPr>
            </w:pPr>
            <w:r>
              <w:rPr>
                <w:i/>
                <w:color w:val="F7A833" w:themeColor="accent5"/>
              </w:rPr>
              <w:t>[A maximum of 7,000 characters = approx. 2 pages – Mandatory]</w:t>
            </w:r>
          </w:p>
        </w:tc>
      </w:tr>
    </w:tbl>
    <w:p w:rsidR="00143584" w:rsidRDefault="00143584">
      <w:pPr>
        <w:jc w:val="center"/>
        <w:rPr>
          <w:sz w:val="28"/>
          <w:szCs w:val="28"/>
        </w:rPr>
        <w:sectPr w:rsidR="00143584">
          <w:headerReference w:type="even" r:id="rId79"/>
          <w:footerReference w:type="default" r:id="rId80"/>
          <w:headerReference w:type="first" r:id="rId81"/>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14358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rPr>
            </w:pPr>
            <w:r>
              <w:rPr>
                <w:rFonts w:ascii="Arial" w:hAnsi="Arial"/>
                <w:b/>
                <w:color w:val="ED7D31"/>
                <w:sz w:val="18"/>
              </w:rPr>
              <w:lastRenderedPageBreak/>
              <w:t>Quantitative values of indicators</w:t>
            </w:r>
            <w:r>
              <w:rPr>
                <w:rStyle w:val="FootnoteReference"/>
              </w:rPr>
              <w:footnoteReference w:id="90"/>
            </w:r>
            <w:r>
              <w:rPr>
                <w:rFonts w:ascii="Arial" w:hAnsi="Arial"/>
                <w:b/>
                <w:color w:val="ED7D31"/>
                <w:sz w:val="18"/>
              </w:rPr>
              <w:t xml:space="preserve"> and data sources </w:t>
            </w:r>
          </w:p>
          <w:p w:rsidR="00143584" w:rsidRDefault="00D64125">
            <w:pPr>
              <w:spacing w:after="0" w:line="240" w:lineRule="auto"/>
              <w:rPr>
                <w:i/>
                <w:color w:val="F7A833" w:themeColor="accent5"/>
                <w:szCs w:val="18"/>
              </w:rPr>
            </w:pPr>
            <w:r>
              <w:rPr>
                <w:i/>
                <w:color w:val="F7A833" w:themeColor="accent5"/>
              </w:rPr>
              <w:t>[Mandatory]</w:t>
            </w:r>
          </w:p>
        </w:tc>
      </w:tr>
      <w:tr w:rsidR="0014358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jc w:val="left"/>
              <w:rPr>
                <w:b/>
                <w:color w:val="262626" w:themeColor="text2" w:themeTint="D9"/>
                <w:szCs w:val="18"/>
              </w:rPr>
            </w:pPr>
            <w:r>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143584" w:rsidRDefault="00D64125">
            <w:pPr>
              <w:spacing w:after="0" w:line="240" w:lineRule="auto"/>
              <w:jc w:val="left"/>
              <w:rPr>
                <w:b/>
                <w:color w:val="262626" w:themeColor="text2" w:themeTint="D9"/>
                <w:szCs w:val="18"/>
              </w:rPr>
            </w:pPr>
            <w:r>
              <w:rPr>
                <w:b/>
                <w:color w:val="262626" w:themeColor="text2" w:themeTint="D9"/>
              </w:rPr>
              <w:t>Absolute value</w:t>
            </w:r>
            <w:r>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143584" w:rsidRDefault="00D64125">
            <w:pPr>
              <w:spacing w:after="0" w:line="240" w:lineRule="auto"/>
              <w:jc w:val="left"/>
              <w:rPr>
                <w:b/>
                <w:color w:val="262626" w:themeColor="text2" w:themeTint="D9"/>
                <w:szCs w:val="18"/>
              </w:rPr>
            </w:pPr>
            <w:r>
              <w:rPr>
                <w:b/>
                <w:color w:val="262626" w:themeColor="text2" w:themeTint="D9"/>
              </w:rPr>
              <w:t>Ratio value</w:t>
            </w:r>
            <w:r>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143584" w:rsidRDefault="00D64125">
            <w:pPr>
              <w:spacing w:after="0" w:line="240" w:lineRule="auto"/>
              <w:jc w:val="left"/>
              <w:rPr>
                <w:b/>
                <w:color w:val="262626" w:themeColor="text2" w:themeTint="D9"/>
                <w:szCs w:val="18"/>
              </w:rPr>
            </w:pPr>
            <w:r>
              <w:rPr>
                <w:b/>
                <w:color w:val="262626" w:themeColor="text2" w:themeTint="D9"/>
              </w:rPr>
              <w:t>Calculated gross value</w:t>
            </w:r>
            <w:r>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143584" w:rsidRDefault="00D64125">
            <w:pPr>
              <w:spacing w:after="0" w:line="240" w:lineRule="auto"/>
              <w:jc w:val="left"/>
              <w:rPr>
                <w:b/>
                <w:color w:val="262626" w:themeColor="text2" w:themeTint="D9"/>
                <w:szCs w:val="18"/>
              </w:rPr>
            </w:pPr>
            <w:r>
              <w:rPr>
                <w:b/>
                <w:color w:val="262626" w:themeColor="text2" w:themeTint="D9"/>
              </w:rPr>
              <w:t>Calculated net value</w:t>
            </w:r>
            <w:r>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143584" w:rsidRDefault="00D64125">
            <w:pPr>
              <w:jc w:val="left"/>
              <w:rPr>
                <w:b/>
                <w:color w:val="262626" w:themeColor="text2" w:themeTint="D9"/>
                <w:szCs w:val="18"/>
              </w:rPr>
            </w:pPr>
            <w:r>
              <w:rPr>
                <w:b/>
                <w:color w:val="262626" w:themeColor="text2" w:themeTint="D9"/>
              </w:rPr>
              <w:t>Data and information sources</w:t>
            </w:r>
            <w:r>
              <w:rPr>
                <w:rStyle w:val="FootnoteReference"/>
              </w:rPr>
              <w:footnoteReference w:id="95"/>
            </w:r>
          </w:p>
        </w:tc>
      </w:tr>
      <w:tr w:rsidR="0014358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143584" w:rsidRDefault="00143584">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143584" w:rsidRDefault="00143584">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143584" w:rsidRDefault="00D64125">
            <w:pPr>
              <w:spacing w:after="0" w:line="240" w:lineRule="auto"/>
              <w:jc w:val="left"/>
              <w:rPr>
                <w:b/>
                <w:color w:val="373737" w:themeColor="background1" w:themeShade="40"/>
                <w:sz w:val="14"/>
                <w:szCs w:val="14"/>
              </w:rPr>
            </w:pPr>
            <w:r>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143584" w:rsidRDefault="00D64125">
            <w:pPr>
              <w:spacing w:after="0" w:line="240" w:lineRule="auto"/>
              <w:jc w:val="left"/>
              <w:rPr>
                <w:b/>
                <w:color w:val="373737" w:themeColor="background1" w:themeShade="40"/>
                <w:sz w:val="14"/>
                <w:szCs w:val="14"/>
              </w:rPr>
            </w:pPr>
            <w:r>
              <w:rPr>
                <w:b/>
                <w:color w:val="373737" w:themeColor="background1" w:themeShade="40"/>
                <w:sz w:val="14"/>
              </w:rPr>
              <w:t xml:space="preserve">Secondary contributions, including </w:t>
            </w:r>
          </w:p>
          <w:p w:rsidR="00143584" w:rsidRDefault="00D64125">
            <w:pPr>
              <w:spacing w:after="0" w:line="240" w:lineRule="auto"/>
              <w:jc w:val="left"/>
              <w:rPr>
                <w:b/>
                <w:color w:val="373737" w:themeColor="background1" w:themeShade="40"/>
                <w:sz w:val="14"/>
                <w:szCs w:val="14"/>
              </w:rPr>
            </w:pPr>
            <w:r>
              <w:rPr>
                <w:b/>
                <w:color w:val="373737" w:themeColor="background1" w:themeShade="40"/>
                <w:sz w:val="14"/>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143584" w:rsidRDefault="00D64125">
            <w:pPr>
              <w:spacing w:after="0" w:line="240" w:lineRule="auto"/>
              <w:jc w:val="left"/>
              <w:rPr>
                <w:b/>
                <w:color w:val="373737" w:themeColor="background1" w:themeShade="40"/>
                <w:sz w:val="14"/>
                <w:szCs w:val="14"/>
              </w:rPr>
            </w:pPr>
            <w:r>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143584" w:rsidRDefault="00143584">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143584" w:rsidRDefault="00143584">
            <w:pPr>
              <w:rPr>
                <w:b/>
                <w:color w:val="262626" w:themeColor="text2" w:themeTint="D9"/>
                <w:szCs w:val="18"/>
              </w:rPr>
            </w:pPr>
          </w:p>
        </w:tc>
      </w:tr>
      <w:tr w:rsidR="0014358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b/>
                <w:color w:val="373737" w:themeColor="background1" w:themeShade="40"/>
                <w:szCs w:val="18"/>
              </w:rPr>
            </w:pPr>
            <w:r>
              <w:rPr>
                <w:b/>
                <w:color w:val="373737" w:themeColor="background1" w:themeShade="40"/>
              </w:rPr>
              <w:t>Common output indicators</w:t>
            </w:r>
            <w:r>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143584" w:rsidRDefault="0014358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143584" w:rsidRDefault="0014358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r>
      <w:tr w:rsidR="0014358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b/>
                <w:color w:val="373737" w:themeColor="background1" w:themeShade="40"/>
                <w:szCs w:val="18"/>
              </w:rPr>
            </w:pPr>
            <w:r>
              <w:rPr>
                <w:b/>
                <w:color w:val="373737" w:themeColor="background1" w:themeShade="40"/>
              </w:rPr>
              <w:t xml:space="preserve">Common result indicators </w:t>
            </w:r>
          </w:p>
          <w:p w:rsidR="00143584" w:rsidRDefault="00143584">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rPr>
            </w:pPr>
            <w:r>
              <w:rPr>
                <w:rFonts w:ascii="Arial" w:hAnsi="Arial"/>
                <w:color w:val="373737" w:themeColor="background1" w:themeShade="40"/>
                <w:sz w:val="18"/>
              </w:rPr>
              <w:t xml:space="preserve">R1 – Percentage of agricultural holdings with RDP support for investments in restructuring or modernisation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r>
      <w:tr w:rsidR="0014358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rPr>
            </w:pPr>
            <w:r>
              <w:rPr>
                <w:rFonts w:ascii="Arial" w:hAnsi="Arial"/>
                <w:color w:val="373737" w:themeColor="background1" w:themeShade="40"/>
                <w:sz w:val="18"/>
              </w:rPr>
              <w:t xml:space="preserve">R2 – Change in agricultural output on supported farms </w:t>
            </w:r>
            <w:r>
              <w:rPr>
                <w:rFonts w:ascii="Arial" w:hAnsi="Arial"/>
                <w:b w:val="0"/>
                <w:color w:val="373737" w:themeColor="background1" w:themeShade="40"/>
                <w:sz w:val="18"/>
              </w:rPr>
              <w:t>(numerator)</w:t>
            </w:r>
            <w:r>
              <w:rPr>
                <w:rStyle w:val="FootnoteReference"/>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r>
      <w:tr w:rsidR="0014358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R2 –</w:t>
            </w:r>
          </w:p>
          <w:p w:rsidR="00143584" w:rsidRDefault="00D64125">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AWU</w:t>
            </w:r>
          </w:p>
          <w:p w:rsidR="00143584" w:rsidRDefault="00D64125">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r>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r>
      <w:tr w:rsidR="0014358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rPr>
            </w:pPr>
            <w:r>
              <w:rPr>
                <w:rFonts w:ascii="Arial" w:hAnsi="Arial"/>
                <w:color w:val="373737" w:themeColor="background1" w:themeShade="40"/>
                <w:sz w:val="18"/>
              </w:rPr>
              <w:t>R2 – Change in agricultural output on supported</w:t>
            </w:r>
            <w:r>
              <w:rPr>
                <w:rFonts w:ascii="Arial" w:hAnsi="Arial"/>
                <w:color w:val="373737" w:themeColor="background1" w:themeShade="40"/>
              </w:rPr>
              <w:t xml:space="preserve"> </w:t>
            </w:r>
            <w:r>
              <w:rPr>
                <w:rFonts w:ascii="Arial" w:hAnsi="Arial"/>
                <w:color w:val="373737" w:themeColor="background1" w:themeShade="40"/>
                <w:sz w:val="18"/>
              </w:rPr>
              <w:t>farms / AWU</w:t>
            </w:r>
            <w:r>
              <w:rPr>
                <w:rFonts w:ascii="Times New Roman" w:hAnsi="Times New Roman"/>
                <w:caps/>
                <w:color w:val="373737" w:themeColor="background1" w:themeShade="40"/>
                <w:sz w:val="24"/>
              </w:rPr>
              <w:t xml:space="preserve"> </w:t>
            </w:r>
            <w:r>
              <w:rPr>
                <w:rFonts w:ascii="Arial" w:hAnsi="Arial"/>
                <w:b w:val="0"/>
                <w:color w:val="373737" w:themeColor="background1" w:themeShade="40"/>
                <w:sz w:val="18"/>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r>
      <w:tr w:rsidR="0014358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b/>
                <w:color w:val="262626" w:themeColor="text2" w:themeTint="D9"/>
                <w:szCs w:val="18"/>
              </w:rPr>
            </w:pPr>
            <w:r>
              <w:rPr>
                <w:b/>
                <w:color w:val="262626" w:themeColor="text2" w:themeTint="D9"/>
              </w:rPr>
              <w:t>Additional result indicators</w:t>
            </w:r>
            <w:r>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r>
      <w:tr w:rsidR="0014358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b/>
                <w:color w:val="262626" w:themeColor="text2" w:themeTint="D9"/>
                <w:szCs w:val="18"/>
              </w:rPr>
            </w:pPr>
            <w:r>
              <w:rPr>
                <w:b/>
                <w:color w:val="262626" w:themeColor="text2" w:themeTint="D9"/>
              </w:rPr>
              <w:t>Common Context indicators</w:t>
            </w:r>
            <w:r>
              <w:rPr>
                <w:rStyle w:val="FootnoteReference"/>
              </w:rPr>
              <w:footnoteReference w:id="99"/>
            </w:r>
            <w:r>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line="240" w:lineRule="auto"/>
              <w:ind w:left="2160"/>
              <w:rPr>
                <w:rFonts w:ascii="Arial" w:hAnsi="Arial" w:cs="Arial"/>
                <w:b/>
                <w:color w:val="262626" w:themeColor="text2" w:themeTint="D9"/>
                <w:sz w:val="18"/>
                <w:szCs w:val="18"/>
              </w:rPr>
            </w:pPr>
          </w:p>
        </w:tc>
      </w:tr>
    </w:tbl>
    <w:p w:rsidR="00143584" w:rsidRDefault="00143584">
      <w:pPr>
        <w:jc w:val="center"/>
        <w:rPr>
          <w:sz w:val="28"/>
          <w:szCs w:val="28"/>
        </w:rPr>
        <w:sectPr w:rsidR="00143584">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143584">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28"/>
              </w:numPr>
              <w:suppressAutoHyphens/>
              <w:autoSpaceDN w:val="0"/>
              <w:spacing w:after="0" w:line="240" w:lineRule="auto"/>
              <w:textAlignment w:val="baseline"/>
              <w:rPr>
                <w:rFonts w:ascii="Arial" w:hAnsi="Arial"/>
                <w:color w:val="ED7D31"/>
                <w:sz w:val="18"/>
                <w:szCs w:val="18"/>
              </w:rPr>
            </w:pPr>
            <w:r>
              <w:rPr>
                <w:rFonts w:ascii="Arial" w:hAnsi="Arial"/>
                <w:b/>
                <w:color w:val="ED7D31"/>
                <w:sz w:val="18"/>
              </w:rPr>
              <w:lastRenderedPageBreak/>
              <w:t>Problems encountered influencing the validity and reliability of evaluation findings</w:t>
            </w:r>
            <w:r>
              <w:rPr>
                <w:rStyle w:val="FootnoteReference"/>
                <w:color w:val="ED7D31"/>
                <w:vertAlign w:val="superscript"/>
              </w:rPr>
              <w:footnoteReference w:id="100"/>
            </w:r>
            <w:r>
              <w:rPr>
                <w:rFonts w:ascii="Arial" w:hAnsi="Arial"/>
                <w:color w:val="ED7D31"/>
                <w:sz w:val="18"/>
              </w:rPr>
              <w:t xml:space="preserve"> </w:t>
            </w:r>
          </w:p>
          <w:p w:rsidR="00143584" w:rsidRDefault="00143584">
            <w:pPr>
              <w:spacing w:after="0" w:line="240" w:lineRule="auto"/>
              <w:rPr>
                <w:szCs w:val="18"/>
              </w:rPr>
            </w:pPr>
          </w:p>
          <w:p w:rsidR="00143584" w:rsidRDefault="00D64125">
            <w:pPr>
              <w:spacing w:after="0" w:line="240" w:lineRule="auto"/>
              <w:rPr>
                <w:i/>
                <w:color w:val="F7A833" w:themeColor="accent5"/>
                <w:szCs w:val="18"/>
              </w:rPr>
            </w:pPr>
            <w:r>
              <w:rPr>
                <w:i/>
                <w:color w:val="F7A833" w:themeColor="accent5"/>
              </w:rPr>
              <w:t>[A maximum of 1,750 characters = approx. ½ page – Non-mandatory]</w:t>
            </w:r>
          </w:p>
          <w:p w:rsidR="00143584" w:rsidRDefault="00143584">
            <w:pPr>
              <w:spacing w:after="0" w:line="240" w:lineRule="auto"/>
              <w:rPr>
                <w:szCs w:val="18"/>
              </w:rPr>
            </w:pPr>
          </w:p>
        </w:tc>
      </w:tr>
      <w:tr w:rsidR="00143584">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Answer to evaluation question</w:t>
            </w:r>
            <w:r>
              <w:rPr>
                <w:rStyle w:val="FootnoteReference"/>
                <w:b/>
                <w:color w:val="ED7D31"/>
                <w:vertAlign w:val="superscript"/>
              </w:rPr>
              <w:footnoteReference w:id="101"/>
            </w:r>
            <w:r>
              <w:rPr>
                <w:rFonts w:ascii="Arial" w:hAnsi="Arial"/>
                <w:b/>
                <w:color w:val="ED7D31"/>
                <w:sz w:val="18"/>
              </w:rPr>
              <w:t xml:space="preserve"> </w:t>
            </w:r>
          </w:p>
          <w:p w:rsidR="00143584" w:rsidRDefault="00143584">
            <w:pPr>
              <w:spacing w:after="0" w:line="240" w:lineRule="auto"/>
              <w:rPr>
                <w:b/>
                <w:color w:val="ED7D31"/>
                <w:szCs w:val="18"/>
              </w:rPr>
            </w:pPr>
          </w:p>
          <w:p w:rsidR="00143584" w:rsidRDefault="00D64125">
            <w:pPr>
              <w:spacing w:after="0" w:line="240" w:lineRule="auto"/>
              <w:rPr>
                <w:i/>
                <w:color w:val="F7A833" w:themeColor="accent5"/>
                <w:szCs w:val="18"/>
              </w:rPr>
            </w:pPr>
            <w:r>
              <w:rPr>
                <w:i/>
                <w:color w:val="F7A833" w:themeColor="accent5"/>
              </w:rPr>
              <w:t>[A maximum of 10,500 characters = approx. 3 pages – Mandatory]</w:t>
            </w:r>
          </w:p>
          <w:p w:rsidR="00143584" w:rsidRDefault="00143584">
            <w:pPr>
              <w:spacing w:after="0" w:line="240" w:lineRule="auto"/>
              <w:rPr>
                <w:szCs w:val="18"/>
              </w:rPr>
            </w:pPr>
          </w:p>
        </w:tc>
      </w:tr>
      <w:tr w:rsidR="00143584">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Conclusions and recommendations</w:t>
            </w:r>
            <w:r>
              <w:rPr>
                <w:rStyle w:val="FootnoteReference"/>
                <w:b/>
                <w:color w:val="ED7D31"/>
                <w:vertAlign w:val="superscript"/>
              </w:rPr>
              <w:footnoteReference w:id="102"/>
            </w:r>
          </w:p>
          <w:p w:rsidR="00143584" w:rsidRDefault="00143584">
            <w:pPr>
              <w:spacing w:after="0" w:line="240" w:lineRule="auto"/>
              <w:rPr>
                <w:b/>
                <w:szCs w:val="18"/>
              </w:rPr>
            </w:pPr>
          </w:p>
        </w:tc>
      </w:tr>
      <w:tr w:rsidR="00143584">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line="240" w:lineRule="auto"/>
              <w:rPr>
                <w:b/>
                <w:color w:val="373737" w:themeColor="background1" w:themeShade="40"/>
                <w:szCs w:val="18"/>
              </w:rPr>
            </w:pPr>
            <w:r>
              <w:rPr>
                <w:b/>
                <w:color w:val="373737" w:themeColor="background1" w:themeShade="40"/>
              </w:rPr>
              <w:t>Conclusion</w:t>
            </w:r>
          </w:p>
          <w:p w:rsidR="00143584" w:rsidRDefault="00143584">
            <w:pPr>
              <w:spacing w:after="0" w:line="240" w:lineRule="auto"/>
              <w:rPr>
                <w:b/>
                <w:color w:val="262626" w:themeColor="text2" w:themeTint="D9"/>
                <w:szCs w:val="18"/>
              </w:rPr>
            </w:pPr>
          </w:p>
          <w:p w:rsidR="00143584" w:rsidRDefault="00D64125">
            <w:pPr>
              <w:spacing w:after="0" w:line="240" w:lineRule="auto"/>
              <w:rPr>
                <w:i/>
                <w:color w:val="F7A833" w:themeColor="accent5"/>
                <w:szCs w:val="18"/>
              </w:rPr>
            </w:pPr>
            <w:r>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line="240" w:lineRule="auto"/>
              <w:rPr>
                <w:b/>
                <w:color w:val="373737" w:themeColor="background1" w:themeShade="40"/>
                <w:szCs w:val="18"/>
              </w:rPr>
            </w:pPr>
            <w:r>
              <w:rPr>
                <w:b/>
                <w:color w:val="373737" w:themeColor="background1" w:themeShade="40"/>
              </w:rPr>
              <w:t>Recommendation</w:t>
            </w:r>
          </w:p>
          <w:p w:rsidR="00143584" w:rsidRDefault="00143584">
            <w:pPr>
              <w:spacing w:after="0" w:line="240" w:lineRule="auto"/>
              <w:rPr>
                <w:b/>
                <w:szCs w:val="18"/>
              </w:rPr>
            </w:pPr>
          </w:p>
          <w:p w:rsidR="00143584" w:rsidRDefault="00D64125">
            <w:pPr>
              <w:spacing w:after="0" w:line="240" w:lineRule="auto"/>
              <w:rPr>
                <w:i/>
                <w:color w:val="F7A833" w:themeColor="accent5"/>
                <w:szCs w:val="18"/>
              </w:rPr>
            </w:pPr>
            <w:r>
              <w:rPr>
                <w:i/>
                <w:color w:val="F7A833" w:themeColor="accent5"/>
              </w:rPr>
              <w:t>[Approx. 1,000 characters – Non-mandatory]</w:t>
            </w:r>
          </w:p>
          <w:p w:rsidR="00143584" w:rsidRDefault="00143584">
            <w:pPr>
              <w:spacing w:after="0" w:line="240" w:lineRule="auto"/>
              <w:rPr>
                <w:b/>
                <w:szCs w:val="18"/>
              </w:rPr>
            </w:pPr>
          </w:p>
        </w:tc>
      </w:tr>
      <w:tr w:rsidR="00143584">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line="240" w:lineRule="auto"/>
              <w:rPr>
                <w:b/>
                <w:color w:val="373737" w:themeColor="background1" w:themeShade="40"/>
                <w:szCs w:val="18"/>
              </w:rPr>
            </w:pPr>
            <w:r>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line="240" w:lineRule="auto"/>
              <w:rPr>
                <w:b/>
                <w:color w:val="373737" w:themeColor="background1" w:themeShade="40"/>
                <w:szCs w:val="18"/>
              </w:rPr>
            </w:pPr>
            <w:r>
              <w:rPr>
                <w:b/>
                <w:color w:val="373737" w:themeColor="background1" w:themeShade="40"/>
              </w:rPr>
              <w:t>R.1</w:t>
            </w:r>
          </w:p>
        </w:tc>
      </w:tr>
      <w:tr w:rsidR="00143584">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line="240" w:lineRule="auto"/>
              <w:rPr>
                <w:b/>
                <w:color w:val="373737" w:themeColor="background1" w:themeShade="40"/>
                <w:szCs w:val="18"/>
              </w:rPr>
            </w:pPr>
            <w:r>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line="240" w:lineRule="auto"/>
              <w:rPr>
                <w:b/>
                <w:color w:val="373737" w:themeColor="background1" w:themeShade="40"/>
                <w:szCs w:val="18"/>
              </w:rPr>
            </w:pPr>
            <w:r>
              <w:rPr>
                <w:b/>
                <w:color w:val="373737" w:themeColor="background1" w:themeShade="40"/>
              </w:rPr>
              <w:t>R.2</w:t>
            </w:r>
          </w:p>
        </w:tc>
      </w:tr>
      <w:tr w:rsidR="00143584">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line="240" w:lineRule="auto"/>
              <w:rPr>
                <w:b/>
                <w:color w:val="373737" w:themeColor="background1" w:themeShade="40"/>
                <w:szCs w:val="18"/>
              </w:rPr>
            </w:pPr>
            <w:r>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line="240" w:lineRule="auto"/>
              <w:rPr>
                <w:b/>
                <w:color w:val="373737" w:themeColor="background1" w:themeShade="40"/>
                <w:szCs w:val="18"/>
              </w:rPr>
            </w:pPr>
            <w:r>
              <w:rPr>
                <w:b/>
                <w:color w:val="373737" w:themeColor="background1" w:themeShade="40"/>
              </w:rPr>
              <w:t>R.3</w:t>
            </w:r>
          </w:p>
        </w:tc>
      </w:tr>
    </w:tbl>
    <w:p w:rsidR="00143584" w:rsidRDefault="00143584">
      <w:pPr>
        <w:jc w:val="center"/>
        <w:rPr>
          <w:sz w:val="28"/>
          <w:szCs w:val="28"/>
        </w:rPr>
      </w:pPr>
    </w:p>
    <w:p w:rsidR="00143584" w:rsidRDefault="00D64125">
      <w:pPr>
        <w:pStyle w:val="HHeadingtables"/>
        <w:rPr>
          <w:rFonts w:cs="Arial"/>
          <w:highlight w:val="yellow"/>
        </w:rPr>
      </w:pPr>
      <w:r>
        <w:br w:type="column"/>
      </w:r>
      <w:bookmarkStart w:id="132" w:name="_Toc460936143"/>
      <w:bookmarkStart w:id="133" w:name="_Toc474937840"/>
      <w:r>
        <w:rPr>
          <w:highlight w:val="yellow"/>
        </w:rPr>
        <w:lastRenderedPageBreak/>
        <w:t>Образец от SFC за точка 7 по отношение на общ въпрос за оценка № 4 (попълнен пример)</w:t>
      </w:r>
      <w:bookmarkEnd w:id="132"/>
      <w:bookmarkEnd w:id="133"/>
    </w:p>
    <w:p w:rsidR="00143584" w:rsidRDefault="00D64125">
      <w:pPr>
        <w:pStyle w:val="HStandard"/>
        <w:rPr>
          <w:sz w:val="24"/>
          <w:highlight w:val="yellow"/>
        </w:rPr>
      </w:pPr>
      <w:r>
        <w:rPr>
          <w:highlight w:val="yellow"/>
        </w:rPr>
        <w:t xml:space="preserve">В таблицата по-долу е даден </w:t>
      </w:r>
      <w:r>
        <w:rPr>
          <w:highlight w:val="yellow"/>
          <w:u w:val="single"/>
        </w:rPr>
        <w:t>попълнен</w:t>
      </w:r>
      <w:r>
        <w:rPr>
          <w:highlight w:val="yellow"/>
        </w:rPr>
        <w:t xml:space="preserve"> пример за точка 7 от образеца от SFC за отговор на общ въпрос за оценка № 4. </w:t>
      </w:r>
      <w:r>
        <w:rPr>
          <w:sz w:val="24"/>
          <w:highlight w:val="yellow"/>
        </w:rPr>
        <w:t xml:space="preserve"> </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143584">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H-Heading2"/>
              <w:spacing w:line="240" w:lineRule="auto"/>
              <w:ind w:left="0" w:firstLine="0"/>
              <w:rPr>
                <w:rFonts w:ascii="Arial" w:hAnsi="Arial" w:cs="Arial"/>
                <w:sz w:val="18"/>
                <w:szCs w:val="18"/>
                <w:highlight w:val="yellow"/>
              </w:rPr>
            </w:pPr>
            <w:r>
              <w:rPr>
                <w:rFonts w:ascii="Arial" w:hAnsi="Arial"/>
                <w:color w:val="F07E31"/>
                <w:sz w:val="18"/>
                <w:highlight w:val="yellow"/>
              </w:rPr>
              <w:t xml:space="preserve">ОБЩ ВЪПРОС ЗА ОЦЕНКА </w:t>
            </w:r>
            <w:r>
              <w:rPr>
                <w:rFonts w:ascii="Arial" w:hAnsi="Arial"/>
                <w:color w:val="373737" w:themeColor="background1" w:themeShade="40"/>
                <w:sz w:val="18"/>
                <w:highlight w:val="yellow"/>
              </w:rPr>
              <w:t>№ 4: „</w:t>
            </w:r>
            <w:r>
              <w:rPr>
                <w:rFonts w:ascii="Arial" w:hAnsi="Arial"/>
                <w:caps/>
                <w:color w:val="373737" w:themeColor="background1" w:themeShade="40"/>
                <w:sz w:val="18"/>
                <w:highlight w:val="yellow"/>
              </w:rPr>
              <w:t>До каква степен интервенциите по ПРСР са допринесли за подобряване на икономическите резултати, преструктурирането и модернизацията на подпомогнатите стопанства, в частност чрез увеличаване на тяхното участие на пазара и разнообразяването на селскостопанските дейности?“</w:t>
            </w:r>
            <w:r>
              <w:rPr>
                <w:rFonts w:ascii="Arial" w:hAnsi="Arial"/>
                <w:color w:val="000000"/>
                <w:sz w:val="18"/>
                <w:highlight w:val="yellow"/>
              </w:rPr>
              <w:t>“</w:t>
            </w:r>
          </w:p>
        </w:tc>
      </w:tr>
      <w:tr w:rsidR="00143584">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suppressAutoHyphens/>
              <w:autoSpaceDN w:val="0"/>
              <w:spacing w:after="0" w:line="240" w:lineRule="auto"/>
              <w:textAlignment w:val="baseline"/>
              <w:rPr>
                <w:rFonts w:cs="Arial"/>
                <w:b/>
                <w:color w:val="ED7D31"/>
                <w:szCs w:val="18"/>
                <w:highlight w:val="yellow"/>
              </w:rPr>
            </w:pPr>
            <w:r>
              <w:rPr>
                <w:b/>
                <w:color w:val="ED7D31"/>
                <w:highlight w:val="yellow"/>
              </w:rPr>
              <w:t>1</w:t>
            </w:r>
            <w:r>
              <w:rPr>
                <w:highlight w:val="yellow"/>
              </w:rPr>
              <w:t xml:space="preserve">. </w:t>
            </w:r>
            <w:r>
              <w:rPr>
                <w:b/>
                <w:color w:val="ED7D31"/>
                <w:highlight w:val="yellow"/>
              </w:rPr>
              <w:t>Списък на мерките, допринасящи за ОПА 2А</w:t>
            </w:r>
          </w:p>
          <w:p w:rsidR="00143584" w:rsidRDefault="00143584">
            <w:pPr>
              <w:spacing w:after="0"/>
              <w:rPr>
                <w:rFonts w:cs="Arial"/>
                <w:b/>
                <w:color w:val="373737" w:themeColor="background1" w:themeShade="40"/>
                <w:szCs w:val="18"/>
                <w:highlight w:val="yellow"/>
              </w:rPr>
            </w:pPr>
          </w:p>
          <w:p w:rsidR="00143584" w:rsidRDefault="00D64125">
            <w:pPr>
              <w:spacing w:after="0"/>
              <w:jc w:val="left"/>
              <w:rPr>
                <w:rFonts w:cs="Arial"/>
                <w:b/>
                <w:color w:val="546393" w:themeColor="accent3"/>
                <w:szCs w:val="18"/>
                <w:highlight w:val="yellow"/>
              </w:rPr>
            </w:pPr>
            <w:r>
              <w:rPr>
                <w:b/>
                <w:color w:val="373737" w:themeColor="background1" w:themeShade="40"/>
                <w:highlight w:val="yellow"/>
              </w:rPr>
              <w:t xml:space="preserve">Първоначално програмирани мерки/подмерки: </w:t>
            </w:r>
            <w:r>
              <w:rPr>
                <w:rFonts w:cs="Arial"/>
                <w:b/>
                <w:color w:val="373737" w:themeColor="background1" w:themeShade="40"/>
                <w:szCs w:val="18"/>
                <w:highlight w:val="yellow"/>
              </w:rPr>
              <w:br/>
            </w:r>
            <w:r>
              <w:rPr>
                <w:b/>
                <w:color w:val="546393" w:themeColor="accent3"/>
                <w:highlight w:val="yellow"/>
              </w:rPr>
              <w:t>М4.1, М4.3, М6.3, М1.1, М2.1, М16.2</w:t>
            </w:r>
          </w:p>
          <w:p w:rsidR="00143584" w:rsidRDefault="00D64125">
            <w:pPr>
              <w:spacing w:after="0"/>
              <w:rPr>
                <w:rFonts w:cs="Arial"/>
                <w:color w:val="546393" w:themeColor="accent3"/>
                <w:szCs w:val="18"/>
                <w:highlight w:val="yellow"/>
              </w:rPr>
            </w:pPr>
            <w:r>
              <w:rPr>
                <w:color w:val="546393" w:themeColor="accent3"/>
                <w:highlight w:val="yellow"/>
              </w:rPr>
              <w:t>Таблица 1: Степен на усвояване по първоначално програмираните мерки (до края на 2016 г.)</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143584">
              <w:tc>
                <w:tcPr>
                  <w:tcW w:w="1641" w:type="dxa"/>
                  <w:shd w:val="clear" w:color="auto" w:fill="auto"/>
                </w:tcPr>
                <w:p w:rsidR="00143584" w:rsidRDefault="00D64125">
                  <w:pPr>
                    <w:spacing w:after="0"/>
                    <w:rPr>
                      <w:rFonts w:eastAsia="Calibri" w:cs="Arial"/>
                      <w:color w:val="546393" w:themeColor="accent3"/>
                      <w:szCs w:val="18"/>
                      <w:highlight w:val="yellow"/>
                    </w:rPr>
                  </w:pPr>
                  <w:r>
                    <w:rPr>
                      <w:color w:val="546393" w:themeColor="accent3"/>
                      <w:highlight w:val="yellow"/>
                    </w:rPr>
                    <w:t>Мярка</w:t>
                  </w:r>
                </w:p>
              </w:tc>
              <w:tc>
                <w:tcPr>
                  <w:tcW w:w="1324" w:type="dxa"/>
                  <w:shd w:val="clear" w:color="auto" w:fill="auto"/>
                </w:tcPr>
                <w:p w:rsidR="00143584" w:rsidRDefault="00D64125">
                  <w:pPr>
                    <w:spacing w:after="0"/>
                    <w:jc w:val="center"/>
                    <w:rPr>
                      <w:rFonts w:eastAsia="Calibri" w:cs="Arial"/>
                      <w:color w:val="546393" w:themeColor="accent3"/>
                      <w:szCs w:val="18"/>
                      <w:highlight w:val="yellow"/>
                    </w:rPr>
                  </w:pPr>
                  <w:r>
                    <w:rPr>
                      <w:color w:val="546393" w:themeColor="accent3"/>
                      <w:highlight w:val="yellow"/>
                    </w:rPr>
                    <w:t>Общ брой операции</w:t>
                  </w:r>
                </w:p>
              </w:tc>
            </w:tr>
            <w:tr w:rsidR="00143584">
              <w:tc>
                <w:tcPr>
                  <w:tcW w:w="1641" w:type="dxa"/>
                  <w:shd w:val="clear" w:color="auto" w:fill="auto"/>
                </w:tcPr>
                <w:p w:rsidR="00143584" w:rsidRDefault="00D64125">
                  <w:pPr>
                    <w:spacing w:after="0"/>
                    <w:rPr>
                      <w:rFonts w:eastAsia="Calibri" w:cs="Arial"/>
                      <w:color w:val="546393" w:themeColor="accent3"/>
                      <w:szCs w:val="18"/>
                      <w:highlight w:val="yellow"/>
                    </w:rPr>
                  </w:pPr>
                  <w:r>
                    <w:rPr>
                      <w:color w:val="546393" w:themeColor="accent3"/>
                      <w:highlight w:val="yellow"/>
                    </w:rPr>
                    <w:t>М 4.1</w:t>
                  </w:r>
                </w:p>
              </w:tc>
              <w:tc>
                <w:tcPr>
                  <w:tcW w:w="1324" w:type="dxa"/>
                  <w:shd w:val="clear" w:color="auto" w:fill="auto"/>
                </w:tcPr>
                <w:p w:rsidR="00143584" w:rsidRDefault="00D64125">
                  <w:pPr>
                    <w:spacing w:after="0"/>
                    <w:jc w:val="center"/>
                    <w:rPr>
                      <w:rFonts w:eastAsia="Calibri" w:cs="Arial"/>
                      <w:color w:val="546393" w:themeColor="accent3"/>
                      <w:szCs w:val="18"/>
                      <w:highlight w:val="yellow"/>
                    </w:rPr>
                  </w:pPr>
                  <w:r>
                    <w:rPr>
                      <w:color w:val="546393" w:themeColor="accent3"/>
                      <w:highlight w:val="yellow"/>
                    </w:rPr>
                    <w:t>295</w:t>
                  </w:r>
                </w:p>
              </w:tc>
            </w:tr>
            <w:tr w:rsidR="00143584">
              <w:tc>
                <w:tcPr>
                  <w:tcW w:w="1641" w:type="dxa"/>
                  <w:shd w:val="clear" w:color="auto" w:fill="auto"/>
                </w:tcPr>
                <w:p w:rsidR="00143584" w:rsidRDefault="00D64125">
                  <w:pPr>
                    <w:spacing w:after="0"/>
                    <w:rPr>
                      <w:rFonts w:eastAsia="Calibri" w:cs="Arial"/>
                      <w:color w:val="546393" w:themeColor="accent3"/>
                      <w:szCs w:val="18"/>
                      <w:highlight w:val="yellow"/>
                    </w:rPr>
                  </w:pPr>
                  <w:r>
                    <w:rPr>
                      <w:color w:val="546393" w:themeColor="accent3"/>
                      <w:highlight w:val="yellow"/>
                    </w:rPr>
                    <w:t>М 4.3</w:t>
                  </w:r>
                </w:p>
              </w:tc>
              <w:tc>
                <w:tcPr>
                  <w:tcW w:w="1324" w:type="dxa"/>
                  <w:shd w:val="clear" w:color="auto" w:fill="auto"/>
                </w:tcPr>
                <w:p w:rsidR="00143584" w:rsidRDefault="00D64125">
                  <w:pPr>
                    <w:spacing w:after="0"/>
                    <w:jc w:val="center"/>
                    <w:rPr>
                      <w:rFonts w:eastAsia="Calibri" w:cs="Arial"/>
                      <w:color w:val="546393" w:themeColor="accent3"/>
                      <w:szCs w:val="18"/>
                      <w:highlight w:val="yellow"/>
                    </w:rPr>
                  </w:pPr>
                  <w:r>
                    <w:rPr>
                      <w:color w:val="546393" w:themeColor="accent3"/>
                      <w:highlight w:val="yellow"/>
                    </w:rPr>
                    <w:t>50</w:t>
                  </w:r>
                </w:p>
              </w:tc>
            </w:tr>
            <w:tr w:rsidR="00143584">
              <w:tc>
                <w:tcPr>
                  <w:tcW w:w="1641" w:type="dxa"/>
                  <w:shd w:val="clear" w:color="auto" w:fill="auto"/>
                </w:tcPr>
                <w:p w:rsidR="00143584" w:rsidRDefault="00D64125">
                  <w:pPr>
                    <w:spacing w:after="0"/>
                    <w:rPr>
                      <w:rFonts w:eastAsia="Calibri" w:cs="Arial"/>
                      <w:color w:val="546393" w:themeColor="accent3"/>
                      <w:szCs w:val="18"/>
                      <w:highlight w:val="yellow"/>
                    </w:rPr>
                  </w:pPr>
                  <w:r>
                    <w:rPr>
                      <w:color w:val="546393" w:themeColor="accent3"/>
                      <w:highlight w:val="yellow"/>
                    </w:rPr>
                    <w:t>М 6.3</w:t>
                  </w:r>
                </w:p>
              </w:tc>
              <w:tc>
                <w:tcPr>
                  <w:tcW w:w="1324" w:type="dxa"/>
                  <w:shd w:val="clear" w:color="auto" w:fill="auto"/>
                </w:tcPr>
                <w:p w:rsidR="00143584" w:rsidRDefault="00D64125">
                  <w:pPr>
                    <w:spacing w:after="0"/>
                    <w:jc w:val="center"/>
                    <w:rPr>
                      <w:rFonts w:eastAsia="Calibri" w:cs="Arial"/>
                      <w:color w:val="546393" w:themeColor="accent3"/>
                      <w:szCs w:val="18"/>
                      <w:highlight w:val="yellow"/>
                    </w:rPr>
                  </w:pPr>
                  <w:r>
                    <w:rPr>
                      <w:color w:val="546393" w:themeColor="accent3"/>
                      <w:highlight w:val="yellow"/>
                    </w:rPr>
                    <w:t>68</w:t>
                  </w:r>
                </w:p>
              </w:tc>
            </w:tr>
            <w:tr w:rsidR="00143584">
              <w:tc>
                <w:tcPr>
                  <w:tcW w:w="1641" w:type="dxa"/>
                  <w:shd w:val="clear" w:color="auto" w:fill="auto"/>
                </w:tcPr>
                <w:p w:rsidR="00143584" w:rsidRDefault="00D64125">
                  <w:pPr>
                    <w:spacing w:after="0"/>
                    <w:rPr>
                      <w:rFonts w:eastAsia="Calibri" w:cs="Arial"/>
                      <w:color w:val="546393" w:themeColor="accent3"/>
                      <w:szCs w:val="18"/>
                      <w:highlight w:val="yellow"/>
                    </w:rPr>
                  </w:pPr>
                  <w:r>
                    <w:rPr>
                      <w:color w:val="546393" w:themeColor="accent3"/>
                      <w:highlight w:val="yellow"/>
                    </w:rPr>
                    <w:t xml:space="preserve">М 1.1 </w:t>
                  </w:r>
                </w:p>
              </w:tc>
              <w:tc>
                <w:tcPr>
                  <w:tcW w:w="1324" w:type="dxa"/>
                  <w:shd w:val="clear" w:color="auto" w:fill="auto"/>
                </w:tcPr>
                <w:p w:rsidR="00143584" w:rsidRDefault="00D64125">
                  <w:pPr>
                    <w:spacing w:after="0"/>
                    <w:jc w:val="center"/>
                    <w:rPr>
                      <w:rFonts w:eastAsia="Calibri" w:cs="Arial"/>
                      <w:color w:val="546393" w:themeColor="accent3"/>
                      <w:szCs w:val="18"/>
                      <w:highlight w:val="yellow"/>
                    </w:rPr>
                  </w:pPr>
                  <w:r>
                    <w:rPr>
                      <w:color w:val="546393" w:themeColor="accent3"/>
                      <w:highlight w:val="yellow"/>
                    </w:rPr>
                    <w:t>25</w:t>
                  </w:r>
                </w:p>
              </w:tc>
            </w:tr>
            <w:tr w:rsidR="00143584">
              <w:tc>
                <w:tcPr>
                  <w:tcW w:w="1641" w:type="dxa"/>
                  <w:shd w:val="clear" w:color="auto" w:fill="auto"/>
                </w:tcPr>
                <w:p w:rsidR="00143584" w:rsidRDefault="00D64125">
                  <w:pPr>
                    <w:spacing w:after="0"/>
                    <w:rPr>
                      <w:rFonts w:eastAsia="Calibri" w:cs="Arial"/>
                      <w:color w:val="546393" w:themeColor="accent3"/>
                      <w:szCs w:val="18"/>
                      <w:highlight w:val="yellow"/>
                    </w:rPr>
                  </w:pPr>
                  <w:r>
                    <w:rPr>
                      <w:color w:val="546393" w:themeColor="accent3"/>
                      <w:highlight w:val="yellow"/>
                    </w:rPr>
                    <w:t>М 2.1</w:t>
                  </w:r>
                </w:p>
              </w:tc>
              <w:tc>
                <w:tcPr>
                  <w:tcW w:w="1324" w:type="dxa"/>
                  <w:shd w:val="clear" w:color="auto" w:fill="auto"/>
                </w:tcPr>
                <w:p w:rsidR="00143584" w:rsidRDefault="00D64125">
                  <w:pPr>
                    <w:spacing w:after="0"/>
                    <w:jc w:val="center"/>
                    <w:rPr>
                      <w:rFonts w:eastAsia="Calibri" w:cs="Arial"/>
                      <w:color w:val="546393" w:themeColor="accent3"/>
                      <w:szCs w:val="18"/>
                      <w:highlight w:val="yellow"/>
                    </w:rPr>
                  </w:pPr>
                  <w:r>
                    <w:rPr>
                      <w:color w:val="546393" w:themeColor="accent3"/>
                      <w:highlight w:val="yellow"/>
                    </w:rPr>
                    <w:t>480</w:t>
                  </w:r>
                </w:p>
              </w:tc>
            </w:tr>
            <w:tr w:rsidR="00143584">
              <w:tc>
                <w:tcPr>
                  <w:tcW w:w="1641" w:type="dxa"/>
                  <w:shd w:val="clear" w:color="auto" w:fill="auto"/>
                </w:tcPr>
                <w:p w:rsidR="00143584" w:rsidRDefault="00D64125">
                  <w:pPr>
                    <w:spacing w:after="0"/>
                    <w:rPr>
                      <w:rFonts w:eastAsia="Calibri" w:cs="Arial"/>
                      <w:color w:val="546393" w:themeColor="accent3"/>
                      <w:szCs w:val="18"/>
                      <w:highlight w:val="yellow"/>
                    </w:rPr>
                  </w:pPr>
                  <w:r>
                    <w:rPr>
                      <w:color w:val="546393" w:themeColor="accent3"/>
                      <w:highlight w:val="yellow"/>
                    </w:rPr>
                    <w:t>М 16.2</w:t>
                  </w:r>
                </w:p>
              </w:tc>
              <w:tc>
                <w:tcPr>
                  <w:tcW w:w="1324" w:type="dxa"/>
                  <w:shd w:val="clear" w:color="auto" w:fill="auto"/>
                </w:tcPr>
                <w:p w:rsidR="00143584" w:rsidRDefault="00D64125">
                  <w:pPr>
                    <w:spacing w:after="0"/>
                    <w:jc w:val="center"/>
                    <w:rPr>
                      <w:rFonts w:eastAsia="Calibri" w:cs="Arial"/>
                      <w:color w:val="546393" w:themeColor="accent3"/>
                      <w:szCs w:val="18"/>
                      <w:highlight w:val="yellow"/>
                    </w:rPr>
                  </w:pPr>
                  <w:r>
                    <w:rPr>
                      <w:color w:val="546393" w:themeColor="accent3"/>
                      <w:highlight w:val="yellow"/>
                    </w:rPr>
                    <w:t>0</w:t>
                  </w:r>
                </w:p>
              </w:tc>
            </w:tr>
            <w:tr w:rsidR="00143584">
              <w:tc>
                <w:tcPr>
                  <w:tcW w:w="1641" w:type="dxa"/>
                  <w:shd w:val="clear" w:color="auto" w:fill="auto"/>
                </w:tcPr>
                <w:p w:rsidR="00143584" w:rsidRDefault="00D64125">
                  <w:pPr>
                    <w:spacing w:after="0"/>
                    <w:jc w:val="right"/>
                    <w:rPr>
                      <w:rFonts w:eastAsia="Calibri" w:cs="Arial"/>
                      <w:color w:val="546393" w:themeColor="accent3"/>
                      <w:szCs w:val="18"/>
                      <w:highlight w:val="yellow"/>
                    </w:rPr>
                  </w:pPr>
                  <w:r>
                    <w:rPr>
                      <w:color w:val="546393" w:themeColor="accent3"/>
                      <w:highlight w:val="yellow"/>
                    </w:rPr>
                    <w:t>Общо</w:t>
                  </w:r>
                </w:p>
              </w:tc>
              <w:tc>
                <w:tcPr>
                  <w:tcW w:w="1324" w:type="dxa"/>
                  <w:shd w:val="clear" w:color="auto" w:fill="auto"/>
                </w:tcPr>
                <w:p w:rsidR="00143584" w:rsidRDefault="00D64125">
                  <w:pPr>
                    <w:spacing w:after="0"/>
                    <w:jc w:val="center"/>
                    <w:rPr>
                      <w:rFonts w:eastAsia="Calibri" w:cs="Arial"/>
                      <w:color w:val="546393" w:themeColor="accent3"/>
                      <w:szCs w:val="18"/>
                      <w:highlight w:val="yellow"/>
                    </w:rPr>
                  </w:pPr>
                  <w:r>
                    <w:rPr>
                      <w:rFonts w:eastAsia="Calibri" w:cs="Arial"/>
                      <w:color w:val="546393" w:themeColor="accent3"/>
                      <w:szCs w:val="18"/>
                      <w:highlight w:val="yellow"/>
                    </w:rPr>
                    <w:fldChar w:fldCharType="begin"/>
                  </w:r>
                  <w:r>
                    <w:rPr>
                      <w:rFonts w:eastAsia="Calibri" w:cs="Arial"/>
                      <w:color w:val="546393" w:themeColor="accent3"/>
                      <w:szCs w:val="18"/>
                      <w:highlight w:val="yellow"/>
                    </w:rPr>
                    <w:instrText xml:space="preserve"> =SUM(ABOVE) </w:instrText>
                  </w:r>
                  <w:r>
                    <w:rPr>
                      <w:rFonts w:eastAsia="Calibri" w:cs="Arial"/>
                      <w:color w:val="546393" w:themeColor="accent3"/>
                      <w:szCs w:val="18"/>
                      <w:highlight w:val="yellow"/>
                    </w:rPr>
                    <w:fldChar w:fldCharType="separate"/>
                  </w:r>
                  <w:r>
                    <w:rPr>
                      <w:rFonts w:eastAsia="Calibri" w:cs="Arial"/>
                      <w:noProof/>
                      <w:color w:val="546393" w:themeColor="accent3"/>
                      <w:szCs w:val="18"/>
                      <w:highlight w:val="yellow"/>
                    </w:rPr>
                    <w:t>918</w:t>
                  </w:r>
                  <w:r>
                    <w:rPr>
                      <w:rFonts w:eastAsia="Calibri" w:cs="Arial"/>
                      <w:color w:val="546393" w:themeColor="accent3"/>
                      <w:szCs w:val="18"/>
                      <w:highlight w:val="yellow"/>
                    </w:rPr>
                    <w:fldChar w:fldCharType="end"/>
                  </w:r>
                </w:p>
              </w:tc>
            </w:tr>
          </w:tbl>
          <w:p w:rsidR="00143584" w:rsidRDefault="00D64125">
            <w:pPr>
              <w:tabs>
                <w:tab w:val="left" w:pos="1530"/>
              </w:tabs>
              <w:rPr>
                <w:rFonts w:cs="Arial"/>
                <w:b/>
                <w:szCs w:val="18"/>
                <w:highlight w:val="yellow"/>
              </w:rPr>
            </w:pPr>
            <w:r>
              <w:rPr>
                <w:b/>
                <w:color w:val="373737" w:themeColor="background1" w:themeShade="40"/>
                <w:highlight w:val="yellow"/>
              </w:rPr>
              <w:t>Мерки, програмирани по други ОПА, които показват вторичен принос към ОПА 2А</w:t>
            </w:r>
            <w:r>
              <w:rPr>
                <w:rStyle w:val="FootnoteReference"/>
                <w:highlight w:val="yellow"/>
              </w:rPr>
              <w:footnoteReference w:id="103"/>
            </w:r>
            <w:r>
              <w:rPr>
                <w:b/>
                <w:color w:val="373737" w:themeColor="background1" w:themeShade="40"/>
                <w:highlight w:val="yellow"/>
              </w:rPr>
              <w:t>:</w:t>
            </w:r>
            <w:r>
              <w:rPr>
                <w:b/>
                <w:highlight w:val="yellow"/>
              </w:rPr>
              <w:t xml:space="preserve"> </w:t>
            </w:r>
          </w:p>
          <w:p w:rsidR="00143584" w:rsidRDefault="00D64125">
            <w:pPr>
              <w:tabs>
                <w:tab w:val="left" w:pos="1530"/>
              </w:tabs>
              <w:spacing w:after="60"/>
              <w:rPr>
                <w:rFonts w:cs="Arial"/>
                <w:b/>
                <w:color w:val="546393" w:themeColor="accent3"/>
                <w:szCs w:val="18"/>
                <w:highlight w:val="yellow"/>
              </w:rPr>
            </w:pPr>
            <w:r>
              <w:rPr>
                <w:b/>
                <w:color w:val="546393" w:themeColor="accent3"/>
                <w:highlight w:val="yellow"/>
              </w:rPr>
              <w:t>ОПА 3А: М4.2, М9</w:t>
            </w:r>
          </w:p>
          <w:p w:rsidR="00143584" w:rsidRDefault="00D64125">
            <w:pPr>
              <w:tabs>
                <w:tab w:val="left" w:pos="1530"/>
              </w:tabs>
              <w:spacing w:after="60"/>
              <w:rPr>
                <w:rFonts w:cs="Arial"/>
                <w:b/>
                <w:color w:val="546393" w:themeColor="accent3"/>
                <w:szCs w:val="18"/>
                <w:highlight w:val="yellow"/>
              </w:rPr>
            </w:pPr>
            <w:r>
              <w:rPr>
                <w:b/>
                <w:color w:val="546393" w:themeColor="accent3"/>
                <w:highlight w:val="yellow"/>
              </w:rPr>
              <w:t>ОПА П4: М9, М10, М11, М13</w:t>
            </w:r>
          </w:p>
          <w:p w:rsidR="00143584" w:rsidRDefault="00D64125">
            <w:pPr>
              <w:tabs>
                <w:tab w:val="left" w:pos="1530"/>
              </w:tabs>
              <w:spacing w:after="60"/>
              <w:rPr>
                <w:rFonts w:cs="Arial"/>
                <w:b/>
                <w:color w:val="546393" w:themeColor="accent3"/>
                <w:szCs w:val="18"/>
                <w:highlight w:val="yellow"/>
              </w:rPr>
            </w:pPr>
            <w:r>
              <w:rPr>
                <w:b/>
                <w:color w:val="546393" w:themeColor="accent3"/>
                <w:highlight w:val="yellow"/>
              </w:rPr>
              <w:t>ОПА 5Б: М4.1</w:t>
            </w:r>
          </w:p>
          <w:p w:rsidR="00143584" w:rsidRDefault="00D64125">
            <w:pPr>
              <w:tabs>
                <w:tab w:val="left" w:pos="1530"/>
              </w:tabs>
              <w:spacing w:after="60"/>
              <w:rPr>
                <w:rFonts w:cs="Arial"/>
                <w:b/>
                <w:color w:val="546393" w:themeColor="accent3"/>
                <w:szCs w:val="18"/>
                <w:highlight w:val="yellow"/>
              </w:rPr>
            </w:pPr>
            <w:r>
              <w:rPr>
                <w:b/>
                <w:color w:val="546393" w:themeColor="accent3"/>
                <w:highlight w:val="yellow"/>
              </w:rPr>
              <w:t>ОПА 5В: М4.1</w:t>
            </w:r>
          </w:p>
          <w:p w:rsidR="00143584" w:rsidRDefault="00D64125">
            <w:pPr>
              <w:spacing w:after="0"/>
              <w:rPr>
                <w:rFonts w:cs="Arial"/>
                <w:color w:val="546393" w:themeColor="accent3"/>
                <w:szCs w:val="18"/>
                <w:highlight w:val="yellow"/>
              </w:rPr>
            </w:pPr>
            <w:r>
              <w:rPr>
                <w:color w:val="546393" w:themeColor="accent3"/>
                <w:highlight w:val="yellow"/>
              </w:rPr>
              <w:t>Таблица 2: Степен на усвояване по мерки с вторичен принос към ОПА 2А (до края на 2016 г.)</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122DCC">
              <w:tc>
                <w:tcPr>
                  <w:tcW w:w="1641" w:type="dxa"/>
                  <w:shd w:val="clear" w:color="auto" w:fill="auto"/>
                </w:tcPr>
                <w:p w:rsidR="00122DCC" w:rsidRDefault="00122DCC">
                  <w:pPr>
                    <w:spacing w:after="0"/>
                    <w:rPr>
                      <w:rFonts w:eastAsia="Calibri" w:cs="Arial"/>
                      <w:color w:val="546393" w:themeColor="accent3"/>
                      <w:szCs w:val="18"/>
                      <w:highlight w:val="yellow"/>
                    </w:rPr>
                  </w:pPr>
                  <w:r>
                    <w:rPr>
                      <w:color w:val="546393" w:themeColor="accent3"/>
                      <w:highlight w:val="yellow"/>
                    </w:rPr>
                    <w:t xml:space="preserve">Мярка </w:t>
                  </w:r>
                </w:p>
              </w:tc>
              <w:tc>
                <w:tcPr>
                  <w:tcW w:w="1324" w:type="dxa"/>
                  <w:shd w:val="clear" w:color="auto" w:fill="auto"/>
                </w:tcPr>
                <w:p w:rsidR="00122DCC" w:rsidRDefault="00122DCC">
                  <w:pPr>
                    <w:spacing w:after="0"/>
                    <w:jc w:val="center"/>
                    <w:rPr>
                      <w:rFonts w:eastAsia="Calibri" w:cs="Arial"/>
                      <w:color w:val="546393" w:themeColor="accent3"/>
                      <w:szCs w:val="18"/>
                      <w:highlight w:val="yellow"/>
                    </w:rPr>
                  </w:pPr>
                  <w:r>
                    <w:rPr>
                      <w:color w:val="546393" w:themeColor="accent3"/>
                      <w:highlight w:val="yellow"/>
                    </w:rPr>
                    <w:t>Общ брой операции</w:t>
                  </w:r>
                </w:p>
              </w:tc>
            </w:tr>
            <w:tr w:rsidR="00122DCC">
              <w:tc>
                <w:tcPr>
                  <w:tcW w:w="1641" w:type="dxa"/>
                  <w:shd w:val="clear" w:color="auto" w:fill="auto"/>
                </w:tcPr>
                <w:p w:rsidR="00122DCC" w:rsidRDefault="00122DCC">
                  <w:pPr>
                    <w:spacing w:after="0"/>
                    <w:rPr>
                      <w:rFonts w:eastAsia="Calibri" w:cs="Arial"/>
                      <w:color w:val="546393" w:themeColor="accent3"/>
                      <w:szCs w:val="18"/>
                      <w:highlight w:val="yellow"/>
                    </w:rPr>
                  </w:pPr>
                  <w:r>
                    <w:rPr>
                      <w:color w:val="546393" w:themeColor="accent3"/>
                      <w:highlight w:val="yellow"/>
                    </w:rPr>
                    <w:t>М 4.1 (5Б)</w:t>
                  </w:r>
                </w:p>
              </w:tc>
              <w:tc>
                <w:tcPr>
                  <w:tcW w:w="1324" w:type="dxa"/>
                  <w:shd w:val="clear" w:color="auto" w:fill="auto"/>
                </w:tcPr>
                <w:p w:rsidR="00122DCC" w:rsidRDefault="00122DCC">
                  <w:pPr>
                    <w:spacing w:after="0"/>
                    <w:jc w:val="center"/>
                    <w:rPr>
                      <w:rFonts w:eastAsia="Calibri" w:cs="Arial"/>
                      <w:color w:val="546393" w:themeColor="accent3"/>
                      <w:szCs w:val="18"/>
                      <w:highlight w:val="yellow"/>
                    </w:rPr>
                  </w:pPr>
                  <w:r>
                    <w:rPr>
                      <w:color w:val="546393" w:themeColor="accent3"/>
                      <w:highlight w:val="yellow"/>
                    </w:rPr>
                    <w:t>75</w:t>
                  </w:r>
                </w:p>
              </w:tc>
            </w:tr>
            <w:tr w:rsidR="00122DCC">
              <w:tc>
                <w:tcPr>
                  <w:tcW w:w="1641" w:type="dxa"/>
                  <w:shd w:val="clear" w:color="auto" w:fill="auto"/>
                </w:tcPr>
                <w:p w:rsidR="00122DCC" w:rsidRDefault="00122DCC">
                  <w:pPr>
                    <w:spacing w:after="0"/>
                    <w:rPr>
                      <w:rFonts w:eastAsia="Calibri" w:cs="Arial"/>
                      <w:color w:val="546393" w:themeColor="accent3"/>
                      <w:szCs w:val="18"/>
                      <w:highlight w:val="yellow"/>
                    </w:rPr>
                  </w:pPr>
                  <w:r>
                    <w:rPr>
                      <w:color w:val="546393" w:themeColor="accent3"/>
                      <w:highlight w:val="yellow"/>
                    </w:rPr>
                    <w:t>М 4.1 (5В)</w:t>
                  </w:r>
                </w:p>
              </w:tc>
              <w:tc>
                <w:tcPr>
                  <w:tcW w:w="1324" w:type="dxa"/>
                  <w:shd w:val="clear" w:color="auto" w:fill="auto"/>
                </w:tcPr>
                <w:p w:rsidR="00122DCC" w:rsidRDefault="00122DCC">
                  <w:pPr>
                    <w:spacing w:after="0"/>
                    <w:jc w:val="center"/>
                    <w:rPr>
                      <w:rFonts w:eastAsia="Calibri" w:cs="Arial"/>
                      <w:color w:val="546393" w:themeColor="accent3"/>
                      <w:szCs w:val="18"/>
                      <w:highlight w:val="yellow"/>
                    </w:rPr>
                  </w:pPr>
                  <w:r>
                    <w:rPr>
                      <w:color w:val="546393" w:themeColor="accent3"/>
                      <w:highlight w:val="yellow"/>
                    </w:rPr>
                    <w:t>51</w:t>
                  </w:r>
                </w:p>
              </w:tc>
            </w:tr>
            <w:tr w:rsidR="00122DCC">
              <w:tc>
                <w:tcPr>
                  <w:tcW w:w="1641" w:type="dxa"/>
                  <w:shd w:val="clear" w:color="auto" w:fill="auto"/>
                </w:tcPr>
                <w:p w:rsidR="00122DCC" w:rsidRDefault="00122DCC">
                  <w:pPr>
                    <w:spacing w:after="0"/>
                    <w:rPr>
                      <w:rFonts w:eastAsia="Calibri" w:cs="Arial"/>
                      <w:color w:val="546393" w:themeColor="accent3"/>
                      <w:szCs w:val="18"/>
                      <w:highlight w:val="yellow"/>
                    </w:rPr>
                  </w:pPr>
                  <w:r>
                    <w:rPr>
                      <w:color w:val="546393" w:themeColor="accent3"/>
                      <w:highlight w:val="yellow"/>
                    </w:rPr>
                    <w:t>М 4.2 (3А)</w:t>
                  </w:r>
                </w:p>
              </w:tc>
              <w:tc>
                <w:tcPr>
                  <w:tcW w:w="1324" w:type="dxa"/>
                  <w:shd w:val="clear" w:color="auto" w:fill="auto"/>
                </w:tcPr>
                <w:p w:rsidR="00122DCC" w:rsidRDefault="00122DCC">
                  <w:pPr>
                    <w:spacing w:after="0"/>
                    <w:jc w:val="center"/>
                    <w:rPr>
                      <w:rFonts w:eastAsia="Calibri" w:cs="Arial"/>
                      <w:color w:val="546393" w:themeColor="accent3"/>
                      <w:szCs w:val="18"/>
                      <w:highlight w:val="yellow"/>
                    </w:rPr>
                  </w:pPr>
                  <w:r>
                    <w:rPr>
                      <w:color w:val="546393" w:themeColor="accent3"/>
                      <w:highlight w:val="yellow"/>
                    </w:rPr>
                    <w:t>208</w:t>
                  </w:r>
                </w:p>
              </w:tc>
            </w:tr>
            <w:tr w:rsidR="00122DCC">
              <w:tc>
                <w:tcPr>
                  <w:tcW w:w="1641" w:type="dxa"/>
                  <w:shd w:val="clear" w:color="auto" w:fill="auto"/>
                </w:tcPr>
                <w:p w:rsidR="00122DCC" w:rsidRDefault="00122DCC">
                  <w:pPr>
                    <w:spacing w:after="0"/>
                    <w:rPr>
                      <w:rFonts w:eastAsia="Calibri" w:cs="Arial"/>
                      <w:color w:val="546393" w:themeColor="accent3"/>
                      <w:szCs w:val="18"/>
                      <w:highlight w:val="yellow"/>
                    </w:rPr>
                  </w:pPr>
                  <w:r>
                    <w:rPr>
                      <w:color w:val="546393" w:themeColor="accent3"/>
                      <w:highlight w:val="yellow"/>
                    </w:rPr>
                    <w:t>М 9    (3А)</w:t>
                  </w:r>
                </w:p>
              </w:tc>
              <w:tc>
                <w:tcPr>
                  <w:tcW w:w="1324" w:type="dxa"/>
                  <w:shd w:val="clear" w:color="auto" w:fill="auto"/>
                </w:tcPr>
                <w:p w:rsidR="00122DCC" w:rsidRDefault="00122DCC">
                  <w:pPr>
                    <w:spacing w:after="0"/>
                    <w:jc w:val="center"/>
                    <w:rPr>
                      <w:rFonts w:eastAsia="Calibri" w:cs="Arial"/>
                      <w:color w:val="546393" w:themeColor="accent3"/>
                      <w:szCs w:val="18"/>
                      <w:highlight w:val="yellow"/>
                    </w:rPr>
                  </w:pPr>
                  <w:r>
                    <w:rPr>
                      <w:color w:val="546393" w:themeColor="accent3"/>
                      <w:highlight w:val="yellow"/>
                    </w:rPr>
                    <w:t>39</w:t>
                  </w:r>
                </w:p>
              </w:tc>
            </w:tr>
            <w:tr w:rsidR="00122DCC">
              <w:tc>
                <w:tcPr>
                  <w:tcW w:w="1641" w:type="dxa"/>
                  <w:shd w:val="clear" w:color="auto" w:fill="F2F2F2"/>
                </w:tcPr>
                <w:p w:rsidR="00122DCC" w:rsidRDefault="00122DCC">
                  <w:pPr>
                    <w:spacing w:after="0"/>
                    <w:rPr>
                      <w:rFonts w:eastAsia="Calibri" w:cs="Arial"/>
                      <w:color w:val="546393" w:themeColor="accent3"/>
                      <w:szCs w:val="18"/>
                      <w:highlight w:val="yellow"/>
                    </w:rPr>
                  </w:pPr>
                  <w:r>
                    <w:rPr>
                      <w:color w:val="546393" w:themeColor="accent3"/>
                      <w:highlight w:val="yellow"/>
                    </w:rPr>
                    <w:t>М 10  (П4)</w:t>
                  </w:r>
                </w:p>
              </w:tc>
              <w:tc>
                <w:tcPr>
                  <w:tcW w:w="1324" w:type="dxa"/>
                  <w:shd w:val="clear" w:color="auto" w:fill="F2F2F2"/>
                </w:tcPr>
                <w:p w:rsidR="00122DCC" w:rsidRDefault="00122DCC">
                  <w:pPr>
                    <w:spacing w:after="0"/>
                    <w:jc w:val="center"/>
                    <w:rPr>
                      <w:rFonts w:eastAsia="Calibri" w:cs="Arial"/>
                      <w:color w:val="546393" w:themeColor="accent3"/>
                      <w:szCs w:val="18"/>
                      <w:highlight w:val="yellow"/>
                    </w:rPr>
                  </w:pPr>
                  <w:r>
                    <w:rPr>
                      <w:color w:val="546393" w:themeColor="accent3"/>
                      <w:highlight w:val="yellow"/>
                    </w:rPr>
                    <w:t>300</w:t>
                  </w:r>
                </w:p>
              </w:tc>
            </w:tr>
            <w:tr w:rsidR="00122DCC">
              <w:tc>
                <w:tcPr>
                  <w:tcW w:w="1641" w:type="dxa"/>
                  <w:shd w:val="clear" w:color="auto" w:fill="F2F2F2"/>
                </w:tcPr>
                <w:p w:rsidR="00122DCC" w:rsidRDefault="00122DCC">
                  <w:pPr>
                    <w:spacing w:after="0"/>
                    <w:rPr>
                      <w:rFonts w:eastAsia="Calibri" w:cs="Arial"/>
                      <w:color w:val="546393" w:themeColor="accent3"/>
                      <w:szCs w:val="18"/>
                      <w:highlight w:val="yellow"/>
                    </w:rPr>
                  </w:pPr>
                  <w:r>
                    <w:rPr>
                      <w:color w:val="546393" w:themeColor="accent3"/>
                      <w:highlight w:val="yellow"/>
                    </w:rPr>
                    <w:t>М 11  (П4)</w:t>
                  </w:r>
                </w:p>
              </w:tc>
              <w:tc>
                <w:tcPr>
                  <w:tcW w:w="1324" w:type="dxa"/>
                  <w:shd w:val="clear" w:color="auto" w:fill="F2F2F2"/>
                </w:tcPr>
                <w:p w:rsidR="00122DCC" w:rsidRDefault="00122DCC">
                  <w:pPr>
                    <w:spacing w:after="0"/>
                    <w:jc w:val="center"/>
                    <w:rPr>
                      <w:rFonts w:eastAsia="Calibri" w:cs="Arial"/>
                      <w:color w:val="546393" w:themeColor="accent3"/>
                      <w:szCs w:val="18"/>
                      <w:highlight w:val="yellow"/>
                    </w:rPr>
                  </w:pPr>
                  <w:r>
                    <w:rPr>
                      <w:color w:val="546393" w:themeColor="accent3"/>
                      <w:highlight w:val="yellow"/>
                    </w:rPr>
                    <w:t>180</w:t>
                  </w:r>
                </w:p>
              </w:tc>
            </w:tr>
            <w:tr w:rsidR="00122DCC">
              <w:tc>
                <w:tcPr>
                  <w:tcW w:w="1641" w:type="dxa"/>
                  <w:shd w:val="clear" w:color="auto" w:fill="F2F2F2"/>
                </w:tcPr>
                <w:p w:rsidR="00122DCC" w:rsidRDefault="00122DCC">
                  <w:pPr>
                    <w:spacing w:after="0"/>
                    <w:rPr>
                      <w:rFonts w:eastAsia="Calibri" w:cs="Arial"/>
                      <w:color w:val="546393" w:themeColor="accent3"/>
                      <w:szCs w:val="18"/>
                      <w:highlight w:val="yellow"/>
                    </w:rPr>
                  </w:pPr>
                  <w:r>
                    <w:rPr>
                      <w:color w:val="546393" w:themeColor="accent3"/>
                      <w:highlight w:val="yellow"/>
                    </w:rPr>
                    <w:t>М 13  (П4)</w:t>
                  </w:r>
                </w:p>
              </w:tc>
              <w:tc>
                <w:tcPr>
                  <w:tcW w:w="1324" w:type="dxa"/>
                  <w:shd w:val="clear" w:color="auto" w:fill="F2F2F2"/>
                </w:tcPr>
                <w:p w:rsidR="00122DCC" w:rsidRDefault="00122DCC">
                  <w:pPr>
                    <w:spacing w:after="0"/>
                    <w:jc w:val="center"/>
                    <w:rPr>
                      <w:rFonts w:eastAsia="Calibri" w:cs="Arial"/>
                      <w:color w:val="546393" w:themeColor="accent3"/>
                      <w:szCs w:val="18"/>
                      <w:highlight w:val="yellow"/>
                    </w:rPr>
                  </w:pPr>
                  <w:r>
                    <w:rPr>
                      <w:color w:val="546393" w:themeColor="accent3"/>
                      <w:highlight w:val="yellow"/>
                    </w:rPr>
                    <w:t>375</w:t>
                  </w:r>
                </w:p>
              </w:tc>
            </w:tr>
            <w:tr w:rsidR="00122DCC">
              <w:tc>
                <w:tcPr>
                  <w:tcW w:w="1641" w:type="dxa"/>
                  <w:shd w:val="clear" w:color="auto" w:fill="F2F2F2"/>
                </w:tcPr>
                <w:p w:rsidR="00122DCC" w:rsidRDefault="00122DCC">
                  <w:pPr>
                    <w:spacing w:after="0"/>
                    <w:jc w:val="right"/>
                    <w:rPr>
                      <w:rFonts w:eastAsia="Calibri" w:cs="Arial"/>
                      <w:color w:val="546393" w:themeColor="accent3"/>
                      <w:szCs w:val="18"/>
                      <w:highlight w:val="yellow"/>
                    </w:rPr>
                  </w:pPr>
                  <w:r>
                    <w:rPr>
                      <w:color w:val="546393" w:themeColor="accent3"/>
                      <w:highlight w:val="yellow"/>
                    </w:rPr>
                    <w:t>Общо</w:t>
                  </w:r>
                </w:p>
              </w:tc>
              <w:tc>
                <w:tcPr>
                  <w:tcW w:w="1324" w:type="dxa"/>
                  <w:shd w:val="clear" w:color="auto" w:fill="F2F2F2"/>
                </w:tcPr>
                <w:p w:rsidR="00122DCC" w:rsidRDefault="00122DCC">
                  <w:pPr>
                    <w:spacing w:after="0"/>
                    <w:jc w:val="center"/>
                    <w:rPr>
                      <w:rFonts w:eastAsia="Calibri" w:cs="Arial"/>
                      <w:color w:val="546393" w:themeColor="accent3"/>
                      <w:szCs w:val="18"/>
                      <w:highlight w:val="yellow"/>
                    </w:rPr>
                  </w:pPr>
                  <w:r>
                    <w:rPr>
                      <w:color w:val="546393" w:themeColor="accent3"/>
                      <w:highlight w:val="yellow"/>
                    </w:rPr>
                    <w:t>1 228</w:t>
                  </w:r>
                </w:p>
              </w:tc>
            </w:tr>
          </w:tbl>
          <w:p w:rsidR="00143584" w:rsidRPr="00A30C77" w:rsidRDefault="00D64125">
            <w:pPr>
              <w:spacing w:after="0"/>
              <w:rPr>
                <w:i/>
                <w:color w:val="546393" w:themeColor="accent3"/>
                <w:highlight w:val="yellow"/>
              </w:rPr>
            </w:pPr>
            <w:r w:rsidRPr="00A30C77">
              <w:rPr>
                <w:i/>
                <w:color w:val="546393" w:themeColor="accent3"/>
                <w:highlight w:val="yellow"/>
              </w:rPr>
              <w:t xml:space="preserve">Забележка: В горните таблици са отчетени само приключените проекти/операции. Тук не е необходимо да се посочват степента на усвояване и платените суми по операциите. Тази информация е полезна за изчисляване на показателите въз основа на осъществените операции по мерките/подмерките с първичен и вторичен принос към областта с поставен акцент и с помощта на усъвършенствани методи за оценяване (вж. точка 3, буква а), подточка ii) относно мерките, взети предвид за изчисляване на показателя R2 и допълнителните показатели). Единствената задължителна информация в тази точка 1 е идентификацията на мерките, имащи </w:t>
            </w:r>
            <w:r w:rsidRPr="00A30C77">
              <w:rPr>
                <w:i/>
                <w:color w:val="546393" w:themeColor="accent3"/>
                <w:highlight w:val="yellow"/>
              </w:rPr>
              <w:lastRenderedPageBreak/>
              <w:t>принос към ОПА (първоначално програмиран и вторичен принос).</w:t>
            </w:r>
          </w:p>
          <w:p w:rsidR="00143584" w:rsidRDefault="00D64125">
            <w:pPr>
              <w:spacing w:after="0"/>
              <w:rPr>
                <w:rFonts w:cs="Arial"/>
                <w:i/>
                <w:color w:val="4BACC6"/>
                <w:szCs w:val="18"/>
                <w:highlight w:val="yellow"/>
              </w:rPr>
            </w:pPr>
            <w:r>
              <w:rPr>
                <w:i/>
                <w:color w:val="F7A833" w:themeColor="accent5"/>
                <w:highlight w:val="yellow"/>
              </w:rPr>
              <w:t>[Максимум 1 000 знака = приблизително ¼ страница — Задължително]</w:t>
            </w:r>
          </w:p>
        </w:tc>
      </w:tr>
    </w:tbl>
    <w:p w:rsidR="00143584" w:rsidRDefault="00D64125">
      <w:pPr>
        <w:rPr>
          <w:highlight w:val="yellow"/>
        </w:rPr>
      </w:pPr>
      <w:r>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143584">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143584" w:rsidRDefault="00D64125">
            <w:pPr>
              <w:suppressAutoHyphens/>
              <w:autoSpaceDN w:val="0"/>
              <w:spacing w:after="0" w:line="240" w:lineRule="auto"/>
              <w:textAlignment w:val="baseline"/>
              <w:rPr>
                <w:rFonts w:cs="Arial"/>
                <w:b/>
                <w:szCs w:val="18"/>
                <w:highlight w:val="yellow"/>
              </w:rPr>
            </w:pPr>
            <w:r>
              <w:rPr>
                <w:b/>
                <w:color w:val="ED7D31"/>
                <w:highlight w:val="yellow"/>
              </w:rPr>
              <w:lastRenderedPageBreak/>
              <w:t>2. Връзка между критериите за преценка, общите и допълнителните</w:t>
            </w:r>
            <w:r>
              <w:rPr>
                <w:rStyle w:val="FootnoteReference"/>
                <w:highlight w:val="yellow"/>
              </w:rPr>
              <w:footnoteReference w:id="104"/>
            </w:r>
            <w:r>
              <w:rPr>
                <w:b/>
                <w:color w:val="ED7D31"/>
                <w:highlight w:val="yellow"/>
              </w:rPr>
              <w:t xml:space="preserve"> показатели за резултатите, използвани за отговор на ОВО</w:t>
            </w:r>
          </w:p>
          <w:p w:rsidR="00143584" w:rsidRDefault="00D64125">
            <w:pPr>
              <w:spacing w:after="0"/>
              <w:rPr>
                <w:rFonts w:cs="Arial"/>
                <w:i/>
                <w:color w:val="4BACC6"/>
                <w:szCs w:val="18"/>
                <w:highlight w:val="yellow"/>
              </w:rPr>
            </w:pPr>
            <w:r>
              <w:rPr>
                <w:i/>
                <w:color w:val="F7A833" w:themeColor="accent5"/>
                <w:highlight w:val="yellow"/>
              </w:rPr>
              <w:t>[Задължително]</w:t>
            </w:r>
          </w:p>
        </w:tc>
      </w:tr>
      <w:tr w:rsidR="00143584">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143584" w:rsidRDefault="00D64125">
            <w:pPr>
              <w:pStyle w:val="ListParagraph"/>
              <w:tabs>
                <w:tab w:val="clear" w:pos="709"/>
              </w:tabs>
              <w:spacing w:after="0"/>
              <w:ind w:left="152" w:firstLine="0"/>
              <w:jc w:val="center"/>
              <w:rPr>
                <w:rFonts w:ascii="Arial" w:hAnsi="Arial" w:cs="Arial"/>
                <w:b/>
                <w:sz w:val="18"/>
                <w:szCs w:val="18"/>
                <w:highlight w:val="yellow"/>
              </w:rPr>
            </w:pPr>
            <w:r>
              <w:rPr>
                <w:rFonts w:ascii="Arial" w:hAnsi="Arial"/>
                <w:b/>
                <w:color w:val="373737" w:themeColor="background1" w:themeShade="40"/>
                <w:sz w:val="18"/>
                <w:highlight w:val="yellow"/>
              </w:rPr>
              <w:t>Критерии за преценка</w:t>
            </w:r>
            <w:r>
              <w:rPr>
                <w:rStyle w:val="FootnoteReference"/>
                <w:highlight w:val="yellow"/>
              </w:rPr>
              <w:footnoteReference w:id="105"/>
            </w:r>
          </w:p>
          <w:p w:rsidR="00143584" w:rsidRDefault="00D64125">
            <w:pPr>
              <w:pStyle w:val="ListParagraph"/>
              <w:spacing w:after="0"/>
              <w:jc w:val="center"/>
              <w:rPr>
                <w:rFonts w:ascii="Arial" w:hAnsi="Arial" w:cs="Arial"/>
                <w:i/>
                <w:sz w:val="18"/>
                <w:szCs w:val="18"/>
                <w:highlight w:val="yellow"/>
              </w:rPr>
            </w:pPr>
            <w:r>
              <w:rPr>
                <w:rFonts w:ascii="Arial" w:hAnsi="Arial"/>
                <w:i/>
                <w:color w:val="F7A833" w:themeColor="accent5"/>
                <w:sz w:val="18"/>
                <w:highlight w:val="yellow"/>
              </w:rPr>
              <w:t>[Макс. 255 знака]</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143584" w:rsidRDefault="00D64125">
            <w:pPr>
              <w:pStyle w:val="ListParagraph"/>
              <w:tabs>
                <w:tab w:val="clear" w:pos="709"/>
              </w:tabs>
              <w:spacing w:after="0"/>
              <w:ind w:left="0" w:firstLine="0"/>
              <w:jc w:val="center"/>
              <w:rPr>
                <w:rFonts w:ascii="Arial" w:hAnsi="Arial" w:cs="Arial"/>
                <w:b/>
                <w:sz w:val="18"/>
                <w:szCs w:val="18"/>
                <w:highlight w:val="yellow"/>
              </w:rPr>
            </w:pPr>
            <w:r>
              <w:rPr>
                <w:rFonts w:ascii="Arial" w:hAnsi="Arial"/>
                <w:b/>
                <w:color w:val="373737" w:themeColor="background1" w:themeShade="40"/>
                <w:sz w:val="18"/>
                <w:highlight w:val="yellow"/>
              </w:rPr>
              <w:t>Общи показатели за резултатите</w:t>
            </w:r>
            <w:r>
              <w:rPr>
                <w:rStyle w:val="FootnoteReference"/>
                <w:highlight w:val="yellow"/>
              </w:rPr>
              <w:footnoteReference w:id="106"/>
            </w:r>
          </w:p>
          <w:p w:rsidR="00143584" w:rsidRDefault="00D64125">
            <w:pPr>
              <w:pStyle w:val="ListParagraph"/>
              <w:tabs>
                <w:tab w:val="clear" w:pos="709"/>
              </w:tabs>
              <w:spacing w:after="0"/>
              <w:ind w:left="0" w:firstLine="0"/>
              <w:jc w:val="center"/>
              <w:rPr>
                <w:rFonts w:ascii="Arial" w:hAnsi="Arial" w:cs="Arial"/>
                <w:i/>
                <w:sz w:val="18"/>
                <w:szCs w:val="18"/>
                <w:highlight w:val="yellow"/>
              </w:rPr>
            </w:pPr>
            <w:r>
              <w:rPr>
                <w:rFonts w:ascii="Arial" w:hAnsi="Arial"/>
                <w:i/>
                <w:color w:val="F7A833" w:themeColor="accent5"/>
                <w:sz w:val="18"/>
                <w:highlight w:val="yellow"/>
              </w:rPr>
              <w:t>[Макс. 255 знака]</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143584" w:rsidRDefault="00D64125">
            <w:pPr>
              <w:pStyle w:val="ListParagraph"/>
              <w:tabs>
                <w:tab w:val="clear" w:pos="709"/>
              </w:tabs>
              <w:spacing w:after="0"/>
              <w:ind w:left="0" w:firstLine="0"/>
              <w:jc w:val="center"/>
              <w:rPr>
                <w:rFonts w:ascii="Arial" w:hAnsi="Arial" w:cs="Arial"/>
                <w:b/>
                <w:sz w:val="18"/>
                <w:szCs w:val="18"/>
                <w:highlight w:val="yellow"/>
                <w:vertAlign w:val="superscript"/>
              </w:rPr>
            </w:pPr>
            <w:r>
              <w:rPr>
                <w:rFonts w:ascii="Arial" w:hAnsi="Arial"/>
                <w:b/>
                <w:sz w:val="18"/>
                <w:highlight w:val="yellow"/>
              </w:rPr>
              <w:t>Допълнителни показатели за резултатите</w:t>
            </w:r>
            <w:r>
              <w:rPr>
                <w:rStyle w:val="FootnoteReference"/>
                <w:highlight w:val="yellow"/>
              </w:rPr>
              <w:footnoteReference w:id="107"/>
            </w:r>
          </w:p>
          <w:p w:rsidR="00143584" w:rsidRDefault="00D64125">
            <w:pPr>
              <w:pStyle w:val="ListParagraph"/>
              <w:tabs>
                <w:tab w:val="clear" w:pos="709"/>
              </w:tabs>
              <w:spacing w:after="0"/>
              <w:ind w:left="39" w:hanging="39"/>
              <w:jc w:val="center"/>
              <w:rPr>
                <w:rFonts w:ascii="Arial" w:hAnsi="Arial" w:cs="Arial"/>
                <w:i/>
                <w:sz w:val="18"/>
                <w:szCs w:val="18"/>
                <w:highlight w:val="yellow"/>
              </w:rPr>
            </w:pPr>
            <w:r>
              <w:rPr>
                <w:rFonts w:ascii="Arial" w:hAnsi="Arial"/>
                <w:i/>
                <w:color w:val="F7A833" w:themeColor="accent5"/>
                <w:sz w:val="18"/>
                <w:highlight w:val="yellow"/>
              </w:rPr>
              <w:t>[Макс. 255 знака]</w:t>
            </w:r>
          </w:p>
        </w:tc>
      </w:tr>
      <w:tr w:rsidR="00143584">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143584" w:rsidRDefault="00D64125">
            <w:pPr>
              <w:pStyle w:val="ListParagraph"/>
              <w:spacing w:line="240" w:lineRule="auto"/>
              <w:ind w:left="0"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Селскостопанската продукция за една ГРЕ (годишна работна единица) в подпомогнатите земеделски стопанства се е увеличила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143584" w:rsidRDefault="00D64125">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Общ показател за резултатите R2 — Промени в селскостопанската продукция/ГРЕ (годишна работна единица) в подпомогнатите проекти по ПРСР</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143584" w:rsidRDefault="00143584">
            <w:pPr>
              <w:pStyle w:val="ListParagraph"/>
              <w:spacing w:line="240" w:lineRule="auto"/>
              <w:ind w:left="720"/>
              <w:rPr>
                <w:rFonts w:ascii="Arial" w:hAnsi="Arial" w:cs="Arial"/>
                <w:b/>
                <w:sz w:val="18"/>
                <w:szCs w:val="18"/>
                <w:highlight w:val="yellow"/>
              </w:rPr>
            </w:pPr>
          </w:p>
        </w:tc>
      </w:tr>
      <w:tr w:rsidR="00143584">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143584" w:rsidRDefault="00D64125">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Стопанствата са модернизирани. Стопанствата са преструктурирани.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143584" w:rsidRDefault="00D64125">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R1/T4 - % на земеделските стопанства, подпомагани по ПРСР за инвестиции в преструктуриране и модернизиране</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143584" w:rsidRDefault="00D64125">
            <w:pPr>
              <w:pStyle w:val="ListParagraph"/>
              <w:spacing w:line="240" w:lineRule="auto"/>
              <w:ind w:left="11" w:firstLine="0"/>
              <w:rPr>
                <w:rFonts w:ascii="Arial" w:hAnsi="Arial" w:cs="Arial"/>
                <w:b/>
                <w:sz w:val="18"/>
                <w:szCs w:val="18"/>
                <w:highlight w:val="yellow"/>
              </w:rPr>
            </w:pPr>
            <w:r>
              <w:rPr>
                <w:rFonts w:ascii="Arial" w:hAnsi="Arial"/>
                <w:color w:val="373737" w:themeColor="background1" w:themeShade="40"/>
                <w:sz w:val="18"/>
                <w:highlight w:val="yellow"/>
              </w:rPr>
              <w:t>Процент на земеделските стопанства, подпомагани по ПРСР за инвестиции в модернизиране</w:t>
            </w:r>
          </w:p>
        </w:tc>
      </w:tr>
      <w:tr w:rsidR="00143584">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143584" w:rsidRDefault="00D6412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Икономическите резултати на стопанствата са се подобрили в резултат на изпълнението на горепосочените мерки за РСР (специфични за ПРСР)</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143584" w:rsidRDefault="00143584">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143584" w:rsidRDefault="00D64125">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Нетна промяна в брутните доходи на стопанството (специфични за ПРСР)</w:t>
            </w:r>
          </w:p>
        </w:tc>
      </w:tr>
      <w:tr w:rsidR="00143584">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143584" w:rsidRDefault="00D6412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Пазарното участие на стопанствата е нараснало в резултат на изпълнението на горепосочените мерки за РСР (специфични за ПРСР)</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143584" w:rsidRDefault="00143584">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143584" w:rsidRDefault="00D64125">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Нетна промяна в продажбите/общата продукция (специфични за ПРСР)</w:t>
            </w:r>
          </w:p>
        </w:tc>
      </w:tr>
      <w:tr w:rsidR="00143584">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143584" w:rsidRDefault="00D64125">
            <w:pPr>
              <w:suppressAutoHyphens/>
              <w:autoSpaceDN w:val="0"/>
              <w:spacing w:after="0" w:line="240" w:lineRule="auto"/>
              <w:textAlignment w:val="baseline"/>
              <w:rPr>
                <w:rStyle w:val="FootnoteReference"/>
                <w:highlight w:val="yellow"/>
              </w:rPr>
            </w:pPr>
            <w:r>
              <w:rPr>
                <w:b/>
                <w:color w:val="ED7D31"/>
                <w:highlight w:val="yellow"/>
              </w:rPr>
              <w:t>3. Прилагани методи</w:t>
            </w:r>
            <w:r>
              <w:rPr>
                <w:rStyle w:val="FootnoteReference"/>
                <w:highlight w:val="yellow"/>
              </w:rPr>
              <w:footnoteReference w:id="108"/>
            </w:r>
          </w:p>
          <w:p w:rsidR="00143584" w:rsidRDefault="00D64125">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а) количествени методи</w:t>
            </w:r>
            <w:r>
              <w:rPr>
                <w:rStyle w:val="FootnoteReference"/>
                <w:highlight w:val="yellow"/>
              </w:rPr>
              <w:footnoteReference w:id="109"/>
            </w:r>
            <w:r>
              <w:rPr>
                <w:b/>
                <w:color w:val="373737" w:themeColor="background1" w:themeShade="40"/>
                <w:highlight w:val="yellow"/>
              </w:rPr>
              <w:t>: Съпоставителен анализ в съчетание с PSM (сравняване на оценките за предразположение) и DID (разлика в различията)</w:t>
            </w:r>
          </w:p>
          <w:p w:rsidR="00143584" w:rsidRDefault="00D64125">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Основания за използване на метода  </w:t>
            </w:r>
          </w:p>
          <w:p w:rsidR="00143584" w:rsidRDefault="00D64125">
            <w:pPr>
              <w:spacing w:after="60"/>
              <w:rPr>
                <w:rFonts w:cs="Arial"/>
                <w:color w:val="546393" w:themeColor="accent3"/>
                <w:szCs w:val="18"/>
                <w:highlight w:val="yellow"/>
              </w:rPr>
            </w:pPr>
            <w:r>
              <w:rPr>
                <w:color w:val="546393" w:themeColor="accent3"/>
                <w:highlight w:val="yellow"/>
              </w:rPr>
              <w:t xml:space="preserve">Основната причина беше неговата гъвкавост и възможността за използване на съществуващите вторични данни за проверка на причинно-следствената връзка на идентифицирания първичен и вторичен принос на подпомаганите операции. Съпоставителният анализ, при който се използват </w:t>
            </w:r>
            <w:r>
              <w:rPr>
                <w:color w:val="546393" w:themeColor="accent3"/>
                <w:highlight w:val="yellow"/>
              </w:rPr>
              <w:lastRenderedPageBreak/>
              <w:t>PSM+DID, дава възможност за нетиране на ефектите от мярката и за изчисляване на размера на основните непреки ефекти от интервенциите на нивото на преките бенефициери (ефект на безполезната подкрепа и ефект на ливъридж), каквито често са установявани във връзката с инвестиционното подпомагане.</w:t>
            </w:r>
          </w:p>
          <w:p w:rsidR="00143584" w:rsidRDefault="00D64125">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Описание на методите за изчисляване на съотношения, брутни или нетни (ако е приложимо) стойности на общите и допълнителните показатели за резултати или други използвани показатели (за крайните продукти, общи показатели за контекста)</w:t>
            </w:r>
            <w:r>
              <w:rPr>
                <w:rStyle w:val="FootnoteReference"/>
                <w:highlight w:val="yellow"/>
              </w:rPr>
              <w:footnoteReference w:id="110"/>
            </w:r>
          </w:p>
          <w:p w:rsidR="00143584" w:rsidRDefault="00D64125">
            <w:pPr>
              <w:spacing w:after="0"/>
              <w:rPr>
                <w:rFonts w:cs="Arial"/>
                <w:color w:val="546393" w:themeColor="accent3"/>
                <w:szCs w:val="18"/>
                <w:highlight w:val="yellow"/>
              </w:rPr>
            </w:pPr>
            <w:r>
              <w:rPr>
                <w:color w:val="546393" w:themeColor="accent3"/>
                <w:highlight w:val="yellow"/>
              </w:rPr>
              <w:t>При показателя R1 стойността се взема от оперативната база данни на разплащателната агенция (показател O4 кумулативно, докладвани данни при приключване на операцията), а съотношението (%) се изчислява въз основа на общия брой земеделски стопанства през базовата година за площта, обхваната от ПРСР (Евростат: Изследване на структурата на земеделските стопанства (FSS).</w:t>
            </w:r>
          </w:p>
          <w:p w:rsidR="00143584" w:rsidRDefault="00D64125">
            <w:pPr>
              <w:spacing w:after="60"/>
              <w:rPr>
                <w:rFonts w:cs="Arial"/>
                <w:color w:val="546393" w:themeColor="accent3"/>
                <w:szCs w:val="18"/>
                <w:highlight w:val="yellow"/>
              </w:rPr>
            </w:pPr>
            <w:r>
              <w:rPr>
                <w:color w:val="546393" w:themeColor="accent3"/>
                <w:highlight w:val="yellow"/>
              </w:rPr>
              <w:t xml:space="preserve">Изчисляването на показателя R2 и на допълнителните показатели е базирано на операциите, посочени в мерките/подмерките с достатъчно усвояване – М2.1, М4.1, М4.3, М6.3. Останалите мерки с ограничено или никакво усвояване до 31.12.2016 г. не са взети предвид. Операциите от подмярка М4.1, програмирани в ОПА 5Б и ОПА 5В, както и мерките, програмирани в 3А и П4, които имат вторичен принос към ОПА 2А, също са взети предвид при изчисляването на R2. </w:t>
            </w:r>
          </w:p>
          <w:p w:rsidR="00143584" w:rsidRDefault="00D64125">
            <w:pPr>
              <w:spacing w:after="60"/>
              <w:rPr>
                <w:rFonts w:cs="Arial"/>
                <w:color w:val="546393" w:themeColor="accent3"/>
                <w:szCs w:val="18"/>
                <w:highlight w:val="yellow"/>
              </w:rPr>
            </w:pPr>
            <w:r>
              <w:rPr>
                <w:color w:val="546393" w:themeColor="accent3"/>
                <w:highlight w:val="yellow"/>
              </w:rPr>
              <w:t>Оценяването е осъществено на 2 етапа:</w:t>
            </w:r>
          </w:p>
          <w:p w:rsidR="00143584" w:rsidRDefault="00D64125">
            <w:pPr>
              <w:spacing w:after="60"/>
              <w:rPr>
                <w:rFonts w:cs="Arial"/>
                <w:color w:val="546393" w:themeColor="accent3"/>
                <w:szCs w:val="18"/>
                <w:highlight w:val="yellow"/>
              </w:rPr>
            </w:pPr>
            <w:r>
              <w:rPr>
                <w:color w:val="546393" w:themeColor="accent3"/>
                <w:highlight w:val="yellow"/>
                <w:u w:val="single"/>
              </w:rPr>
              <w:t>Етап 1:</w:t>
            </w:r>
            <w:r>
              <w:rPr>
                <w:color w:val="546393" w:themeColor="accent3"/>
                <w:highlight w:val="yellow"/>
              </w:rPr>
              <w:t xml:space="preserve"> Определяне на първичния принос на мерките по ПРСР, пряко относим към ОПА 2А (вж. таблица  1, с изключение на М1.1 и М2.1).</w:t>
            </w:r>
          </w:p>
          <w:p w:rsidR="00143584" w:rsidRDefault="00D64125">
            <w:pPr>
              <w:spacing w:after="60"/>
              <w:rPr>
                <w:rFonts w:cs="Arial"/>
                <w:color w:val="546393" w:themeColor="accent3"/>
                <w:szCs w:val="18"/>
                <w:highlight w:val="yellow"/>
              </w:rPr>
            </w:pPr>
            <w:r>
              <w:rPr>
                <w:color w:val="546393" w:themeColor="accent3"/>
                <w:highlight w:val="yellow"/>
              </w:rPr>
              <w:t>Както извадката от стопанства, подпомагани през даден период (2014—2016 г.) по мерките, посочени в таблица 1 (участници), така и извадките от стопанства, които не са получили подпомагане по съответните мерки (субекти, различни от участници), са взети от националната база данни/СЗСИ, що се отнася до стойностите на селскостопанската продукция, вложен труд — ГРЕ и други горепосочени показатели за резултатите. За да се повиши надеждността на процеса на подбор, са използвани някои допълнителни характеристики на стопанствата с оглед на постигането на възможно най-голямо сходство между двете извадки. PSM е прилагано за идентифициране на подходяща „контролна група“ от извадката на субектите, различни от участници.</w:t>
            </w:r>
          </w:p>
          <w:p w:rsidR="00143584" w:rsidRDefault="00D64125">
            <w:pPr>
              <w:spacing w:after="60"/>
              <w:rPr>
                <w:rFonts w:cs="Arial"/>
                <w:color w:val="546393" w:themeColor="accent3"/>
                <w:szCs w:val="18"/>
                <w:highlight w:val="yellow"/>
              </w:rPr>
            </w:pPr>
            <w:r>
              <w:rPr>
                <w:color w:val="546393" w:themeColor="accent3"/>
                <w:highlight w:val="yellow"/>
              </w:rPr>
              <w:t>Средните стойности на показателя R2 са изчислени за групата на участниците и за „контролната група“ преди подпомагането (2013 г.) и след подпомагането (2016 г.). Изчисляването на средния ефект от третирането върху третираните (ATT), като се използва показателя R2, и нетния ефект върху R2 (като се съчетаят изчислените ATT с метода DID). Накрая, обобщената стойност на нетния показател за дадена програмна област е изчислена чрез умножаване на средните микрорезултати, изчислени на ниво стопанство, по броя на подпомогнатите стопанства (екстраполиране).</w:t>
            </w:r>
          </w:p>
          <w:p w:rsidR="00143584" w:rsidRDefault="00D64125">
            <w:pPr>
              <w:spacing w:after="60"/>
              <w:rPr>
                <w:rFonts w:cs="Arial"/>
                <w:color w:val="546393" w:themeColor="accent3"/>
                <w:szCs w:val="18"/>
                <w:highlight w:val="yellow"/>
              </w:rPr>
            </w:pPr>
            <w:r>
              <w:rPr>
                <w:color w:val="546393" w:themeColor="accent3"/>
                <w:highlight w:val="yellow"/>
                <w:u w:val="single"/>
              </w:rPr>
              <w:t>Етап 2:</w:t>
            </w:r>
            <w:r>
              <w:rPr>
                <w:color w:val="546393" w:themeColor="accent3"/>
                <w:highlight w:val="yellow"/>
              </w:rPr>
              <w:t xml:space="preserve"> Определяне на вторичния принос на мерките, чиято основна цел е свързана с друга ОПА (вж. таблица 2, например инвестиции в стопанска инфраструктура, възобновяема енергия, енергийна ефективност), но от които също така се очаква да имат ефект върху преструктурирането и конкурентоспособността на стопанствата, а оттам и върху производителността на труда в стопанствата (R2). </w:t>
            </w:r>
          </w:p>
          <w:p w:rsidR="00143584" w:rsidRDefault="00D64125">
            <w:pPr>
              <w:spacing w:after="60"/>
              <w:rPr>
                <w:rFonts w:cs="Arial"/>
                <w:color w:val="546393" w:themeColor="accent3"/>
                <w:szCs w:val="18"/>
                <w:highlight w:val="yellow"/>
              </w:rPr>
            </w:pPr>
            <w:r>
              <w:rPr>
                <w:color w:val="546393" w:themeColor="accent3"/>
                <w:highlight w:val="yellow"/>
              </w:rPr>
              <w:t>Етапите при съставянето на груповите извадки за статистическо съпоставяне и методите на изчисление са същите като описаните в етап 1. Взети са предвид също така извадки от бенефициери, осъществяващи операции по мярка М4.1, програмирани в ОПА 5Б, ОПА 5В, М4.2 и М9 в ОПА 3А.</w:t>
            </w:r>
          </w:p>
          <w:p w:rsidR="00143584" w:rsidRDefault="00D64125">
            <w:pPr>
              <w:spacing w:after="60"/>
              <w:rPr>
                <w:rFonts w:cs="Arial"/>
                <w:color w:val="546393" w:themeColor="accent3"/>
                <w:szCs w:val="18"/>
                <w:highlight w:val="yellow"/>
              </w:rPr>
            </w:pPr>
            <w:r>
              <w:rPr>
                <w:color w:val="546393" w:themeColor="accent3"/>
                <w:highlight w:val="yellow"/>
                <w:u w:val="single"/>
              </w:rPr>
              <w:t>Етап 3:</w:t>
            </w:r>
            <w:r>
              <w:rPr>
                <w:color w:val="546393" w:themeColor="accent3"/>
                <w:highlight w:val="yellow"/>
              </w:rPr>
              <w:t xml:space="preserve"> Определяне на непреките ефекти</w:t>
            </w:r>
          </w:p>
          <w:p w:rsidR="00143584" w:rsidRDefault="00D64125">
            <w:pPr>
              <w:spacing w:after="60"/>
              <w:rPr>
                <w:rFonts w:cs="Arial"/>
                <w:color w:val="546393" w:themeColor="accent3"/>
                <w:szCs w:val="18"/>
                <w:highlight w:val="yellow"/>
              </w:rPr>
            </w:pPr>
            <w:r>
              <w:rPr>
                <w:color w:val="546393" w:themeColor="accent3"/>
                <w:highlight w:val="yellow"/>
              </w:rPr>
              <w:t>Ефектът на безполезната подкрепа и ефектът на ливъридж са изчислени само по М 4.1. въз основа на данни за идентични и сравними стопанства (например подобна големина, местоположение, специализация, селскостопанска продукция, заетост и т.н.) и прилагане на косвен показател — стойност на инвестициите за едно стопанство за изчисленията на ATT (= среден ефект от третирането върху третираните) в съчетание с метода DiD, за да се получи стойността на ефекта на безполезната подкрепа. Същите етапи, но с прилагане на косвен показател — парични преводи от стопанството за други разходи, свързани с дейността (например покупка на имущество или земя, нови сгради и т.н.), бяха повторени за изчисляване на ефекта на ливъридж, измерен сред преките бенефициери (подход на микрониво).</w:t>
            </w:r>
          </w:p>
          <w:p w:rsidR="00143584" w:rsidRDefault="00D64125">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Предизвикателства при прилагането на описаните методи и намерени решения</w:t>
            </w:r>
          </w:p>
          <w:p w:rsidR="00143584" w:rsidRDefault="00D64125">
            <w:pPr>
              <w:spacing w:after="60"/>
              <w:rPr>
                <w:rFonts w:cs="Arial"/>
                <w:color w:val="546393" w:themeColor="accent3"/>
                <w:szCs w:val="18"/>
                <w:highlight w:val="yellow"/>
              </w:rPr>
            </w:pPr>
            <w:r>
              <w:rPr>
                <w:color w:val="546393" w:themeColor="accent3"/>
                <w:highlight w:val="yellow"/>
              </w:rPr>
              <w:t xml:space="preserve">Основното предизвикателство беше изготвянето на извадки от групата на субектите, които не са участници, така че да бъдат възможно най-сходни с групата на участниците, за да се създаде </w:t>
            </w:r>
            <w:r>
              <w:rPr>
                <w:color w:val="546393" w:themeColor="accent3"/>
                <w:highlight w:val="yellow"/>
              </w:rPr>
              <w:lastRenderedPageBreak/>
              <w:t xml:space="preserve">надеждна обективна контролна група (елиминиране на свързани с подбора предубеждения). Това е предизвикателство по отношение на класифицирането и филтрирането на данните, тъй като подпомаганите и контролните групи не може да бъдат изложени по различен начин на други интервенции. </w:t>
            </w:r>
          </w:p>
          <w:p w:rsidR="00143584" w:rsidRDefault="00D64125">
            <w:pPr>
              <w:spacing w:after="60"/>
              <w:rPr>
                <w:rFonts w:cs="Arial"/>
                <w:color w:val="546393" w:themeColor="accent3"/>
                <w:szCs w:val="18"/>
                <w:highlight w:val="yellow"/>
              </w:rPr>
            </w:pPr>
            <w:r>
              <w:rPr>
                <w:color w:val="546393" w:themeColor="accent3"/>
                <w:highlight w:val="yellow"/>
              </w:rPr>
              <w:t>Оценителят не беше в състояние да направи изчислението на стойностите на показателя R2 за мерките на площ по П4 (M9, M10, M11, M13), когато за съответното съпоставяне на груповите извадки биха били необходими допълнителни данни за характеристиките на околната среда и параметрите на местността (надморска височина, релеф, структура на почвите, качество на почвите, ерозия на почвите, използване на изкуствени торове и пестициди и т.н.), каквито не е имало на разположение. При М13 е налице допълнителен проблем, свързан с идентифицирането на извадката на субектите, които не са участници, тъй като по-голямата част от стопанствата, намиращи се в NCA, принадлежат на участници и съпоставянето им с други стопанства от низините би дало нереални резултати. За решаването на проблема УО/РА ще бъде инструктиран(а) да разшири СИЗП (система за идентификация на земеделските парцели) с подходящ ГИС модул, съдържащ слоеве от данни, получавани от автономните системи на различни държавни институции.</w:t>
            </w:r>
          </w:p>
          <w:p w:rsidR="00143584" w:rsidRDefault="00D64125">
            <w:pPr>
              <w:pStyle w:val="ListParagraph"/>
              <w:numPr>
                <w:ilvl w:val="0"/>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Качествени методи:  </w:t>
            </w:r>
          </w:p>
          <w:p w:rsidR="00143584" w:rsidRDefault="00D64125">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Основания за използване на метода</w:t>
            </w:r>
            <w:r>
              <w:rPr>
                <w:rStyle w:val="FootnoteReference"/>
                <w:highlight w:val="yellow"/>
              </w:rPr>
              <w:footnoteReference w:id="111"/>
            </w:r>
          </w:p>
          <w:p w:rsidR="00143584" w:rsidRDefault="00D64125">
            <w:pPr>
              <w:spacing w:after="60"/>
              <w:rPr>
                <w:rFonts w:cs="Arial"/>
                <w:color w:val="546393" w:themeColor="accent3"/>
                <w:szCs w:val="18"/>
                <w:highlight w:val="yellow"/>
              </w:rPr>
            </w:pPr>
            <w:r>
              <w:rPr>
                <w:color w:val="546393" w:themeColor="accent3"/>
                <w:highlight w:val="yellow"/>
              </w:rPr>
              <w:t>Нашият избор беше да се допълни квази-експерименталното оценяване с качествената информация, събрана чрез изследвания на стопанствата и дискусии в рамките на фокусни групи на заинтересованите страни, като тази информация се използва за подкрепа на констатациите от количествения анализ, така че да може разумно да се обясни какво, защо и как е сработило по-добре, и също така да се осигури полезно разбиране от долу нагоре на причинно-следствените модели, свързани с интервенциите. На последния етап качествените данни дадоха възможност за по-изчерпателна и въпреки това лесна за ползване формулировка на констатациите за отговор на ОВО, както и на заключенията и препоръките.</w:t>
            </w:r>
          </w:p>
          <w:p w:rsidR="00143584" w:rsidRDefault="00D64125">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Описание на използваните методи</w:t>
            </w:r>
            <w:r>
              <w:rPr>
                <w:rStyle w:val="FootnoteReference"/>
                <w:highlight w:val="yellow"/>
              </w:rPr>
              <w:footnoteReference w:id="112"/>
            </w:r>
          </w:p>
          <w:p w:rsidR="00143584" w:rsidRDefault="00D64125">
            <w:pPr>
              <w:spacing w:after="60"/>
              <w:rPr>
                <w:rFonts w:cs="Arial"/>
                <w:color w:val="546393" w:themeColor="accent3"/>
                <w:szCs w:val="18"/>
                <w:highlight w:val="yellow"/>
              </w:rPr>
            </w:pPr>
            <w:r>
              <w:rPr>
                <w:color w:val="546393" w:themeColor="accent3"/>
                <w:highlight w:val="yellow"/>
              </w:rPr>
              <w:t>В началния етап на оценката бяха използвани основани на качеството техники, за да може с встъпителния качествен анализ да се развие хипотеза за това как е сработила интервенционната логика и да се пояснят изследователските въпроси, на които трябваше да се даде отговор с количествения анализ. За тази цел бяха интервюирани квалифицирани заинтересовани страни и лица, осигуряващи информация на УО и РА.</w:t>
            </w:r>
          </w:p>
          <w:p w:rsidR="00143584" w:rsidRDefault="00D64125">
            <w:pPr>
              <w:spacing w:after="60"/>
              <w:rPr>
                <w:rFonts w:cs="Arial"/>
                <w:color w:val="546393" w:themeColor="accent3"/>
                <w:szCs w:val="18"/>
                <w:highlight w:val="yellow"/>
              </w:rPr>
            </w:pPr>
            <w:r>
              <w:rPr>
                <w:color w:val="546393" w:themeColor="accent3"/>
                <w:highlight w:val="yellow"/>
              </w:rPr>
              <w:t xml:space="preserve">Качествени данни бяха използвани за оценяване на приноса на М1.1 и М2.1 към ОПА 2А., тъй като липсваха количествени данни, които биха осигурили реална връзка между трансфера на знания и промяната в селскостопанската продукция за нуждите на изчисляването на R2. Данните бяха получени по време на 3 сесии на специализирани фокусни групи от по 9-ма избрани участника от различни преки и непреки участници в обучението (М1) и консултантските услуги (М2), представляващи клиентите и също така доставчиците на знания. В сравнение с качествените изследвания методът на фокусните групи се оказа основен елемент за получаването на качествена информация (също и при други ОПА), като обезпечи текущия диалог, процеса на обучение на заинтересованите страни, стимулира тяхната активност и шансовете им за въвеждането на нови идеи и иновации. </w:t>
            </w:r>
          </w:p>
          <w:p w:rsidR="00143584" w:rsidRDefault="00D64125">
            <w:pPr>
              <w:spacing w:after="60"/>
              <w:rPr>
                <w:rFonts w:cs="Arial"/>
                <w:color w:val="546393" w:themeColor="accent3"/>
                <w:szCs w:val="18"/>
                <w:highlight w:val="yellow"/>
              </w:rPr>
            </w:pPr>
            <w:r>
              <w:rPr>
                <w:color w:val="546393" w:themeColor="accent3"/>
                <w:highlight w:val="yellow"/>
              </w:rPr>
              <w:t xml:space="preserve">Използвани бяха качествени изследвания за проверка на теорията на промяната, която е приета в интервенционната логика на няколко мерки, и за обяснение защо интервенциите са успешни в някои стопанства или райони, но не толкова в други. </w:t>
            </w:r>
          </w:p>
          <w:p w:rsidR="00143584" w:rsidRDefault="00D64125">
            <w:pPr>
              <w:spacing w:after="60"/>
              <w:rPr>
                <w:rFonts w:cs="Arial"/>
                <w:color w:val="546393" w:themeColor="accent3"/>
                <w:szCs w:val="18"/>
                <w:highlight w:val="yellow"/>
              </w:rPr>
            </w:pPr>
            <w:r>
              <w:rPr>
                <w:color w:val="546393" w:themeColor="accent3"/>
                <w:highlight w:val="yellow"/>
              </w:rPr>
              <w:t xml:space="preserve">След като бяха изчислени ATT и DiD за R2, качествените данни помогнаха да се подобри триангулацията на количествените констатации и осигуриха по-съгласувано формулиране на постигнатите резултати. </w:t>
            </w:r>
          </w:p>
          <w:p w:rsidR="00143584" w:rsidRDefault="00D64125">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Предизвикателства при прилагането на описаните методи и намерени решения</w:t>
            </w:r>
          </w:p>
          <w:p w:rsidR="00143584" w:rsidRDefault="00D64125">
            <w:pPr>
              <w:spacing w:after="60"/>
              <w:rPr>
                <w:rFonts w:cs="Arial"/>
                <w:color w:val="1F4E79"/>
                <w:szCs w:val="18"/>
                <w:highlight w:val="yellow"/>
              </w:rPr>
            </w:pPr>
            <w:r>
              <w:rPr>
                <w:color w:val="546393" w:themeColor="accent3"/>
                <w:highlight w:val="yellow"/>
              </w:rPr>
              <w:t>Предизвикателствата при използването на метода на фокусната група може да бъдат отдадени на ограничения брой варианти за избор на правилните представители на заинтересованите страни (лични пристрастия, предварително условие за добро теоретично и практическо познаване на интервенционната логика на ПРСР и използването на показателите), както и подготовката на груповите сесии</w:t>
            </w:r>
            <w:r>
              <w:rPr>
                <w:color w:val="1F4E79"/>
                <w:highlight w:val="yellow"/>
              </w:rPr>
              <w:t xml:space="preserve"> </w:t>
            </w:r>
            <w:r>
              <w:rPr>
                <w:color w:val="546393" w:themeColor="accent3"/>
                <w:highlight w:val="yellow"/>
              </w:rPr>
              <w:t xml:space="preserve">(въпроси, дейности). При проучванията основното предизвикателство беше </w:t>
            </w:r>
            <w:r>
              <w:rPr>
                <w:color w:val="546393" w:themeColor="accent3"/>
                <w:highlight w:val="yellow"/>
              </w:rPr>
              <w:lastRenderedPageBreak/>
              <w:t>изготвянето на добре структурирани въпросници.</w:t>
            </w:r>
          </w:p>
          <w:p w:rsidR="00143584" w:rsidRDefault="00D64125">
            <w:pPr>
              <w:spacing w:after="0"/>
              <w:rPr>
                <w:rFonts w:cs="Arial"/>
                <w:szCs w:val="18"/>
                <w:highlight w:val="yellow"/>
              </w:rPr>
            </w:pPr>
            <w:r>
              <w:rPr>
                <w:i/>
                <w:color w:val="F7A833" w:themeColor="accent5"/>
                <w:highlight w:val="yellow"/>
              </w:rPr>
              <w:t>[Максимум 7 000 знака = приблизително 2 стр. — Задължително]</w:t>
            </w:r>
          </w:p>
        </w:tc>
      </w:tr>
    </w:tbl>
    <w:p w:rsidR="00143584" w:rsidRDefault="00143584">
      <w:pPr>
        <w:spacing w:line="280" w:lineRule="atLeast"/>
        <w:rPr>
          <w:sz w:val="24"/>
          <w:highlight w:val="yellow"/>
        </w:rPr>
        <w:sectPr w:rsidR="00143584">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11"/>
        <w:gridCol w:w="1318"/>
        <w:gridCol w:w="918"/>
        <w:gridCol w:w="1350"/>
        <w:gridCol w:w="2341"/>
        <w:gridCol w:w="2195"/>
        <w:gridCol w:w="1843"/>
        <w:gridCol w:w="1496"/>
        <w:gridCol w:w="2129"/>
      </w:tblGrid>
      <w:tr w:rsidR="00143584">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r>
              <w:rPr>
                <w:rFonts w:ascii="Arial" w:hAnsi="Arial"/>
                <w:b/>
                <w:snapToGrid/>
                <w:color w:val="ED7D31"/>
                <w:sz w:val="18"/>
                <w:highlight w:val="yellow"/>
              </w:rPr>
              <w:lastRenderedPageBreak/>
              <w:t>Количествени стойности на показателите</w:t>
            </w:r>
            <w:r>
              <w:rPr>
                <w:rStyle w:val="FootnoteReference"/>
                <w:highlight w:val="yellow"/>
              </w:rPr>
              <w:footnoteReference w:id="113"/>
            </w:r>
            <w:r>
              <w:rPr>
                <w:rFonts w:ascii="Arial" w:hAnsi="Arial"/>
                <w:b/>
                <w:snapToGrid/>
                <w:color w:val="ED7D31"/>
                <w:sz w:val="18"/>
                <w:highlight w:val="yellow"/>
              </w:rPr>
              <w:t xml:space="preserve"> и източници на данни </w:t>
            </w:r>
          </w:p>
          <w:p w:rsidR="00143584" w:rsidRDefault="00D64125">
            <w:pPr>
              <w:jc w:val="left"/>
              <w:rPr>
                <w:rFonts w:cs="Arial"/>
                <w:b/>
                <w:color w:val="262626" w:themeColor="text2" w:themeTint="D9"/>
                <w:sz w:val="20"/>
                <w:szCs w:val="20"/>
                <w:highlight w:val="yellow"/>
              </w:rPr>
            </w:pPr>
            <w:r>
              <w:rPr>
                <w:i/>
                <w:color w:val="F7A833" w:themeColor="accent5"/>
                <w:highlight w:val="yellow"/>
              </w:rPr>
              <w:t>[Задължително]</w:t>
            </w:r>
          </w:p>
        </w:tc>
      </w:tr>
      <w:tr w:rsidR="00143584">
        <w:trPr>
          <w:trHeight w:val="563"/>
        </w:trPr>
        <w:tc>
          <w:tcPr>
            <w:tcW w:w="2529"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jc w:val="left"/>
              <w:rPr>
                <w:rFonts w:cs="Arial"/>
                <w:b/>
                <w:color w:val="373737" w:themeColor="background1" w:themeShade="40"/>
                <w:szCs w:val="18"/>
                <w:highlight w:val="yellow"/>
              </w:rPr>
            </w:pPr>
            <w:r>
              <w:rPr>
                <w:b/>
                <w:color w:val="373737" w:themeColor="background1" w:themeShade="40"/>
                <w:highlight w:val="yellow"/>
              </w:rPr>
              <w:t xml:space="preserve">Показател </w:t>
            </w:r>
          </w:p>
        </w:tc>
        <w:tc>
          <w:tcPr>
            <w:tcW w:w="918" w:type="dxa"/>
            <w:vMerge w:val="restart"/>
            <w:tcBorders>
              <w:top w:val="single" w:sz="18" w:space="0" w:color="6F6F6F" w:themeColor="text1"/>
              <w:left w:val="single" w:sz="4" w:space="0" w:color="auto"/>
              <w:right w:val="single" w:sz="4" w:space="0" w:color="auto"/>
            </w:tcBorders>
            <w:shd w:val="clear" w:color="auto" w:fill="auto"/>
          </w:tcPr>
          <w:p w:rsidR="00143584" w:rsidRDefault="00D64125">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Абсолютна стойност</w:t>
            </w:r>
            <w:r>
              <w:rPr>
                <w:rStyle w:val="FootnoteReference"/>
                <w:highlight w:val="yellow"/>
              </w:rPr>
              <w:footnoteReference w:id="114"/>
            </w:r>
          </w:p>
        </w:tc>
        <w:tc>
          <w:tcPr>
            <w:tcW w:w="1350" w:type="dxa"/>
            <w:vMerge w:val="restart"/>
            <w:tcBorders>
              <w:top w:val="single" w:sz="18" w:space="0" w:color="6F6F6F" w:themeColor="text1"/>
              <w:left w:val="single" w:sz="4" w:space="0" w:color="auto"/>
              <w:right w:val="single" w:sz="4" w:space="0" w:color="auto"/>
            </w:tcBorders>
            <w:shd w:val="clear" w:color="auto" w:fill="auto"/>
          </w:tcPr>
          <w:p w:rsidR="00143584" w:rsidRDefault="00D64125">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Съотношение</w:t>
            </w:r>
            <w:r>
              <w:rPr>
                <w:rStyle w:val="FootnoteReference"/>
                <w:highlight w:val="yellow"/>
              </w:rPr>
              <w:footnoteReference w:id="115"/>
            </w:r>
          </w:p>
        </w:tc>
        <w:tc>
          <w:tcPr>
            <w:tcW w:w="6379"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143584" w:rsidRDefault="00D64125">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Изчислена брутна стойност</w:t>
            </w:r>
            <w:r>
              <w:rPr>
                <w:rStyle w:val="FootnoteReference"/>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143584" w:rsidRDefault="00D64125">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Изчислена нетна стойност</w:t>
            </w:r>
            <w:r>
              <w:rPr>
                <w:rStyle w:val="FootnoteReference"/>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143584" w:rsidRDefault="00D64125">
            <w:pPr>
              <w:jc w:val="left"/>
              <w:rPr>
                <w:rFonts w:cs="Arial"/>
                <w:b/>
                <w:color w:val="373737" w:themeColor="background1" w:themeShade="40"/>
                <w:sz w:val="20"/>
                <w:szCs w:val="20"/>
                <w:highlight w:val="yellow"/>
              </w:rPr>
            </w:pPr>
            <w:r>
              <w:rPr>
                <w:b/>
                <w:color w:val="373737" w:themeColor="background1" w:themeShade="40"/>
                <w:highlight w:val="yellow"/>
              </w:rPr>
              <w:t>Източници на данни и информация</w:t>
            </w:r>
            <w:r>
              <w:rPr>
                <w:rStyle w:val="FootnoteReference"/>
                <w:highlight w:val="yellow"/>
              </w:rPr>
              <w:footnoteReference w:id="118"/>
            </w:r>
          </w:p>
        </w:tc>
      </w:tr>
      <w:tr w:rsidR="00143584">
        <w:trPr>
          <w:trHeight w:val="413"/>
        </w:trPr>
        <w:tc>
          <w:tcPr>
            <w:tcW w:w="2529"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rFonts w:cs="Arial"/>
                <w:b/>
                <w:color w:val="262626" w:themeColor="text2" w:themeTint="D9"/>
                <w:sz w:val="20"/>
                <w:szCs w:val="20"/>
                <w:highlight w:val="yellow"/>
              </w:rPr>
            </w:pPr>
          </w:p>
        </w:tc>
        <w:tc>
          <w:tcPr>
            <w:tcW w:w="918" w:type="dxa"/>
            <w:vMerge/>
            <w:tcBorders>
              <w:left w:val="single" w:sz="4" w:space="0" w:color="auto"/>
              <w:bottom w:val="single" w:sz="18" w:space="0" w:color="6F6F6F" w:themeColor="text1"/>
              <w:right w:val="single" w:sz="4" w:space="0" w:color="auto"/>
            </w:tcBorders>
            <w:shd w:val="clear" w:color="auto" w:fill="auto"/>
          </w:tcPr>
          <w:p w:rsidR="00143584" w:rsidRDefault="00143584">
            <w:pPr>
              <w:spacing w:after="0" w:line="240" w:lineRule="auto"/>
              <w:rPr>
                <w:rFonts w:cs="Arial"/>
                <w:b/>
                <w:color w:val="262626" w:themeColor="text2" w:themeTint="D9"/>
                <w:sz w:val="20"/>
                <w:szCs w:val="20"/>
                <w:highlight w:val="yellow"/>
              </w:rPr>
            </w:pPr>
          </w:p>
        </w:tc>
        <w:tc>
          <w:tcPr>
            <w:tcW w:w="1350" w:type="dxa"/>
            <w:vMerge/>
            <w:tcBorders>
              <w:left w:val="single" w:sz="4" w:space="0" w:color="auto"/>
              <w:bottom w:val="single" w:sz="18" w:space="0" w:color="6F6F6F" w:themeColor="text1"/>
              <w:right w:val="single" w:sz="4" w:space="0" w:color="auto"/>
            </w:tcBorders>
            <w:shd w:val="clear" w:color="auto" w:fill="auto"/>
          </w:tcPr>
          <w:p w:rsidR="00143584" w:rsidRDefault="00143584">
            <w:pPr>
              <w:spacing w:after="0" w:line="240" w:lineRule="auto"/>
              <w:rPr>
                <w:b/>
                <w:color w:val="373737" w:themeColor="background1" w:themeShade="40"/>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clear" w:color="auto" w:fill="auto"/>
          </w:tcPr>
          <w:p w:rsidR="00143584" w:rsidRDefault="00D64125">
            <w:pPr>
              <w:spacing w:after="0" w:line="240" w:lineRule="auto"/>
              <w:ind w:right="62"/>
              <w:rPr>
                <w:b/>
                <w:color w:val="373737" w:themeColor="background1" w:themeShade="40"/>
                <w:sz w:val="14"/>
                <w:szCs w:val="14"/>
                <w:highlight w:val="yellow"/>
              </w:rPr>
            </w:pPr>
            <w:r>
              <w:rPr>
                <w:b/>
                <w:color w:val="373737" w:themeColor="background1" w:themeShade="40"/>
                <w:sz w:val="14"/>
                <w:highlight w:val="yellow"/>
              </w:rPr>
              <w:t xml:space="preserve">Първичен принос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143584" w:rsidRDefault="00D64125">
            <w:pPr>
              <w:spacing w:after="0" w:line="240" w:lineRule="auto"/>
              <w:jc w:val="left"/>
              <w:rPr>
                <w:b/>
                <w:color w:val="373737" w:themeColor="background1" w:themeShade="40"/>
                <w:sz w:val="14"/>
                <w:szCs w:val="14"/>
                <w:highlight w:val="yellow"/>
              </w:rPr>
            </w:pPr>
            <w:r>
              <w:rPr>
                <w:b/>
                <w:color w:val="373737" w:themeColor="background1" w:themeShade="40"/>
                <w:sz w:val="14"/>
                <w:highlight w:val="yellow"/>
              </w:rPr>
              <w:t xml:space="preserve">Вторичен принос, в това число </w:t>
            </w:r>
          </w:p>
          <w:p w:rsidR="00143584" w:rsidRDefault="00D64125">
            <w:pPr>
              <w:spacing w:after="0" w:line="240" w:lineRule="auto"/>
              <w:rPr>
                <w:b/>
                <w:color w:val="373737" w:themeColor="background1" w:themeShade="40"/>
                <w:sz w:val="14"/>
                <w:szCs w:val="14"/>
                <w:highlight w:val="yellow"/>
              </w:rPr>
            </w:pPr>
            <w:r>
              <w:rPr>
                <w:b/>
                <w:color w:val="373737" w:themeColor="background1" w:themeShade="40"/>
                <w:sz w:val="14"/>
                <w:highlight w:val="yellow"/>
              </w:rPr>
              <w:t>Принос от ВОМР по LEADER</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143584" w:rsidRDefault="00D64125">
            <w:pPr>
              <w:spacing w:after="0" w:line="240" w:lineRule="auto"/>
              <w:rPr>
                <w:b/>
                <w:color w:val="373737" w:themeColor="background1" w:themeShade="40"/>
                <w:sz w:val="14"/>
                <w:szCs w:val="14"/>
                <w:highlight w:val="yellow"/>
              </w:rPr>
            </w:pPr>
            <w:r>
              <w:rPr>
                <w:b/>
                <w:color w:val="373737" w:themeColor="background1" w:themeShade="40"/>
                <w:sz w:val="14"/>
                <w:highlight w:val="yellow"/>
              </w:rPr>
              <w:t>Обща стойност</w:t>
            </w:r>
          </w:p>
        </w:tc>
        <w:tc>
          <w:tcPr>
            <w:tcW w:w="1496" w:type="dxa"/>
            <w:vMerge/>
            <w:tcBorders>
              <w:left w:val="single" w:sz="4" w:space="0" w:color="auto"/>
              <w:bottom w:val="single" w:sz="18" w:space="0" w:color="6F6F6F" w:themeColor="text1"/>
              <w:right w:val="single" w:sz="4" w:space="0" w:color="auto"/>
            </w:tcBorders>
            <w:shd w:val="clear" w:color="auto" w:fill="auto"/>
          </w:tcPr>
          <w:p w:rsidR="00143584" w:rsidRDefault="00143584">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143584" w:rsidRDefault="00143584">
            <w:pPr>
              <w:rPr>
                <w:rFonts w:cs="Arial"/>
                <w:b/>
                <w:color w:val="262626" w:themeColor="text2" w:themeTint="D9"/>
                <w:sz w:val="20"/>
                <w:szCs w:val="20"/>
                <w:highlight w:val="yellow"/>
              </w:rPr>
            </w:pPr>
          </w:p>
        </w:tc>
      </w:tr>
      <w:tr w:rsidR="00143584">
        <w:trPr>
          <w:trHeight w:val="56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rFonts w:cs="Arial"/>
                <w:b/>
                <w:color w:val="373737" w:themeColor="background1" w:themeShade="40"/>
                <w:sz w:val="20"/>
                <w:szCs w:val="20"/>
                <w:highlight w:val="yellow"/>
              </w:rPr>
            </w:pPr>
            <w:r>
              <w:rPr>
                <w:b/>
                <w:color w:val="373737" w:themeColor="background1" w:themeShade="40"/>
                <w:highlight w:val="yellow"/>
              </w:rPr>
              <w:t>Общи показатели за крайните продукти</w:t>
            </w:r>
            <w:r>
              <w:rPr>
                <w:rStyle w:val="FootnoteReference"/>
                <w:highlight w:val="yellow"/>
              </w:rPr>
              <w:footnoteReference w:id="119"/>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143584" w:rsidRDefault="00D64125">
            <w:pPr>
              <w:spacing w:after="0"/>
              <w:jc w:val="left"/>
              <w:rPr>
                <w:rFonts w:cs="Arial"/>
                <w:b/>
                <w:color w:val="546393" w:themeColor="accent3"/>
                <w:szCs w:val="18"/>
                <w:highlight w:val="yellow"/>
              </w:rPr>
            </w:pPr>
            <w:r>
              <w:rPr>
                <w:b/>
                <w:color w:val="546393" w:themeColor="accent3"/>
                <w:highlight w:val="yellow"/>
              </w:rPr>
              <w:t xml:space="preserve">О3 — Брой на операциите, получаващи подкрепа </w:t>
            </w:r>
          </w:p>
          <w:p w:rsidR="00143584" w:rsidRDefault="00D64125">
            <w:pPr>
              <w:spacing w:after="0"/>
              <w:jc w:val="left"/>
              <w:rPr>
                <w:rFonts w:cs="Arial"/>
                <w:b/>
                <w:color w:val="546393" w:themeColor="accent3"/>
                <w:szCs w:val="18"/>
                <w:highlight w:val="yellow"/>
              </w:rPr>
            </w:pPr>
            <w:r>
              <w:rPr>
                <w:b/>
                <w:color w:val="546393" w:themeColor="accent3"/>
                <w:highlight w:val="yellow"/>
              </w:rPr>
              <w:t>(първични/вторични мерки)</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546393" w:themeColor="accent3"/>
                <w:sz w:val="16"/>
                <w:szCs w:val="16"/>
                <w:highlight w:val="yellow"/>
              </w:rPr>
            </w:pPr>
          </w:p>
          <w:p w:rsidR="00143584" w:rsidRDefault="00D64125">
            <w:pPr>
              <w:rPr>
                <w:rFonts w:cs="Arial"/>
                <w:color w:val="546393" w:themeColor="accent3"/>
                <w:sz w:val="16"/>
                <w:szCs w:val="16"/>
                <w:highlight w:val="yellow"/>
              </w:rPr>
            </w:pPr>
            <w:r>
              <w:rPr>
                <w:color w:val="546393" w:themeColor="accent3"/>
                <w:sz w:val="16"/>
                <w:highlight w:val="yellow"/>
              </w:rPr>
              <w:t>918/1 228</w:t>
            </w:r>
          </w:p>
        </w:tc>
        <w:tc>
          <w:tcPr>
            <w:tcW w:w="1350"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143584" w:rsidRDefault="00D64125">
            <w:pPr>
              <w:jc w:val="left"/>
              <w:rPr>
                <w:color w:val="546393" w:themeColor="accent3"/>
                <w:sz w:val="16"/>
                <w:szCs w:val="16"/>
                <w:highlight w:val="yellow"/>
              </w:rPr>
            </w:pPr>
            <w:r>
              <w:rPr>
                <w:color w:val="546393" w:themeColor="accent3"/>
                <w:sz w:val="16"/>
                <w:highlight w:val="yellow"/>
              </w:rPr>
              <w:t>База данни на операциите по стълб II</w:t>
            </w:r>
          </w:p>
        </w:tc>
      </w:tr>
      <w:tr w:rsidR="00143584">
        <w:trPr>
          <w:trHeight w:val="517"/>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rFonts w:cs="Arial"/>
                <w:b/>
                <w:color w:val="373737" w:themeColor="background1" w:themeShade="40"/>
                <w:sz w:val="20"/>
                <w:szCs w:val="20"/>
                <w:highlight w:val="yellow"/>
              </w:rPr>
            </w:pPr>
          </w:p>
        </w:tc>
        <w:tc>
          <w:tcPr>
            <w:tcW w:w="1318" w:type="dxa"/>
            <w:tcBorders>
              <w:top w:val="single" w:sz="4" w:space="0" w:color="auto"/>
              <w:left w:val="single" w:sz="4" w:space="0" w:color="auto"/>
              <w:bottom w:val="single" w:sz="18" w:space="0" w:color="6F6F6F" w:themeColor="text1"/>
              <w:right w:val="single" w:sz="4" w:space="0" w:color="auto"/>
            </w:tcBorders>
            <w:shd w:val="clear" w:color="auto" w:fill="auto"/>
          </w:tcPr>
          <w:p w:rsidR="00143584" w:rsidRDefault="00D64125">
            <w:pPr>
              <w:spacing w:after="0"/>
              <w:jc w:val="left"/>
              <w:rPr>
                <w:rFonts w:cs="Arial"/>
                <w:b/>
                <w:color w:val="546393" w:themeColor="accent3"/>
                <w:szCs w:val="18"/>
                <w:highlight w:val="yellow"/>
              </w:rPr>
            </w:pPr>
            <w:r>
              <w:rPr>
                <w:b/>
                <w:color w:val="546393" w:themeColor="accent3"/>
                <w:highlight w:val="yellow"/>
              </w:rPr>
              <w:t>О4 — Брой на стопанствата, получаващи подкрепа (М4, 6, 11, 13)</w:t>
            </w:r>
          </w:p>
        </w:tc>
        <w:tc>
          <w:tcPr>
            <w:tcW w:w="918" w:type="dxa"/>
            <w:tcBorders>
              <w:top w:val="single" w:sz="4" w:space="0" w:color="auto"/>
              <w:left w:val="single" w:sz="4" w:space="0" w:color="auto"/>
              <w:bottom w:val="single" w:sz="18" w:space="0" w:color="6F6F6F" w:themeColor="text1"/>
              <w:right w:val="single" w:sz="4" w:space="0" w:color="auto"/>
            </w:tcBorders>
            <w:shd w:val="clear" w:color="auto" w:fill="auto"/>
          </w:tcPr>
          <w:p w:rsidR="00143584" w:rsidRDefault="00D64125">
            <w:pPr>
              <w:rPr>
                <w:rFonts w:cs="Arial"/>
                <w:b/>
                <w:color w:val="546393" w:themeColor="accent3"/>
                <w:sz w:val="16"/>
                <w:szCs w:val="16"/>
                <w:highlight w:val="yellow"/>
              </w:rPr>
            </w:pPr>
            <w:r>
              <w:rPr>
                <w:color w:val="546393" w:themeColor="accent3"/>
                <w:sz w:val="16"/>
                <w:highlight w:val="yellow"/>
              </w:rPr>
              <w:t>1 350</w:t>
            </w:r>
          </w:p>
        </w:tc>
        <w:tc>
          <w:tcPr>
            <w:tcW w:w="1350"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16"/>
                <w:szCs w:val="16"/>
                <w:highlight w:val="yellow"/>
              </w:rPr>
            </w:pPr>
          </w:p>
        </w:tc>
        <w:tc>
          <w:tcPr>
            <w:tcW w:w="2341"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143584" w:rsidRDefault="00D64125">
            <w:pPr>
              <w:jc w:val="left"/>
              <w:rPr>
                <w:color w:val="546393" w:themeColor="accent3"/>
                <w:sz w:val="16"/>
                <w:szCs w:val="16"/>
                <w:highlight w:val="yellow"/>
              </w:rPr>
            </w:pPr>
            <w:r>
              <w:rPr>
                <w:color w:val="546393" w:themeColor="accent3"/>
                <w:sz w:val="16"/>
                <w:highlight w:val="yellow"/>
              </w:rPr>
              <w:t>База данни на операциите по стълб II</w:t>
            </w:r>
          </w:p>
        </w:tc>
      </w:tr>
      <w:tr w:rsidR="00143584">
        <w:trPr>
          <w:trHeight w:val="290"/>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rFonts w:cs="Arial"/>
                <w:b/>
                <w:color w:val="373737" w:themeColor="background1" w:themeShade="40"/>
                <w:szCs w:val="18"/>
                <w:highlight w:val="yellow"/>
              </w:rPr>
            </w:pPr>
            <w:r>
              <w:rPr>
                <w:b/>
                <w:color w:val="373737" w:themeColor="background1" w:themeShade="40"/>
                <w:highlight w:val="yellow"/>
              </w:rPr>
              <w:lastRenderedPageBreak/>
              <w:t xml:space="preserve">Общи показатели за резултатите </w:t>
            </w:r>
          </w:p>
          <w:p w:rsidR="00143584" w:rsidRDefault="00143584">
            <w:pPr>
              <w:rPr>
                <w:rFonts w:cs="Arial"/>
                <w:b/>
                <w:color w:val="373737" w:themeColor="background1" w:themeShade="40"/>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spacing w:after="0"/>
              <w:jc w:val="left"/>
              <w:rPr>
                <w:rFonts w:cs="Arial"/>
                <w:b/>
                <w:color w:val="546393" w:themeColor="accent3"/>
                <w:szCs w:val="18"/>
                <w:highlight w:val="yellow"/>
              </w:rPr>
            </w:pPr>
            <w:r>
              <w:rPr>
                <w:b/>
                <w:color w:val="546393" w:themeColor="accent3"/>
                <w:highlight w:val="yellow"/>
              </w:rPr>
              <w:t xml:space="preserve">R1/T4 — Процент на земеделските стопанства, получаващи подпомагане по ПРСР за инвестиции в преструктуриране или модернизация </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16"/>
                <w:szCs w:val="16"/>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rPr>
                <w:rFonts w:cs="Arial"/>
                <w:color w:val="546393" w:themeColor="accent3"/>
                <w:sz w:val="16"/>
                <w:szCs w:val="16"/>
                <w:highlight w:val="yellow"/>
              </w:rPr>
            </w:pPr>
            <w:r>
              <w:rPr>
                <w:color w:val="546393" w:themeColor="accent3"/>
                <w:sz w:val="16"/>
                <w:highlight w:val="yellow"/>
              </w:rPr>
              <w:t>18,6</w:t>
            </w:r>
          </w:p>
        </w:tc>
        <w:tc>
          <w:tcPr>
            <w:tcW w:w="2341"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jc w:val="left"/>
              <w:rPr>
                <w:color w:val="546393" w:themeColor="accent3"/>
                <w:sz w:val="16"/>
                <w:szCs w:val="16"/>
                <w:highlight w:val="yellow"/>
              </w:rPr>
            </w:pPr>
            <w:r>
              <w:rPr>
                <w:color w:val="546393" w:themeColor="accent3"/>
                <w:sz w:val="16"/>
                <w:highlight w:val="yellow"/>
              </w:rPr>
              <w:t>База данни на операциите по стълб II</w:t>
            </w:r>
          </w:p>
        </w:tc>
      </w:tr>
      <w:tr w:rsidR="00143584">
        <w:trPr>
          <w:trHeight w:val="99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spacing w:after="0"/>
              <w:jc w:val="left"/>
              <w:rPr>
                <w:rFonts w:cs="Arial"/>
                <w:bCs/>
                <w:caps/>
                <w:color w:val="546393" w:themeColor="accent3"/>
                <w:szCs w:val="18"/>
                <w:highlight w:val="yellow"/>
              </w:rPr>
            </w:pPr>
            <w:r>
              <w:rPr>
                <w:b/>
                <w:color w:val="546393" w:themeColor="accent3"/>
                <w:highlight w:val="yellow"/>
              </w:rPr>
              <w:t xml:space="preserve">R2 — Промени в селскостопанската продукция на подпомогнатите стопанства </w:t>
            </w:r>
            <w:r>
              <w:rPr>
                <w:color w:val="546393" w:themeColor="accent3"/>
                <w:highlight w:val="yellow"/>
              </w:rPr>
              <w:t>(числител)</w:t>
            </w:r>
            <w:r>
              <w:rPr>
                <w:rStyle w:val="FootnoteReference"/>
                <w:highlight w:val="yellow"/>
              </w:rPr>
              <w:footnoteReference w:id="120"/>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ind w:left="64"/>
              <w:jc w:val="left"/>
              <w:rPr>
                <w:color w:val="546393" w:themeColor="accent3"/>
                <w:sz w:val="14"/>
                <w:szCs w:val="14"/>
                <w:highlight w:val="yellow"/>
              </w:rPr>
            </w:pPr>
            <w:r>
              <w:rPr>
                <w:color w:val="546393" w:themeColor="accent3"/>
                <w:sz w:val="14"/>
                <w:highlight w:val="yellow"/>
              </w:rPr>
              <w:t>201 450 000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ind w:left="64"/>
              <w:jc w:val="left"/>
              <w:rPr>
                <w:color w:val="546393" w:themeColor="accent3"/>
                <w:sz w:val="14"/>
                <w:szCs w:val="14"/>
                <w:highlight w:val="yellow"/>
              </w:rPr>
            </w:pPr>
            <w:r>
              <w:rPr>
                <w:color w:val="546393" w:themeColor="accent3"/>
                <w:sz w:val="14"/>
                <w:highlight w:val="yellow"/>
              </w:rPr>
              <w:t>6 450 000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ind w:left="64"/>
              <w:jc w:val="left"/>
              <w:rPr>
                <w:color w:val="546393" w:themeColor="accent3"/>
                <w:sz w:val="14"/>
                <w:szCs w:val="14"/>
                <w:highlight w:val="yellow"/>
              </w:rPr>
            </w:pPr>
            <w:r>
              <w:rPr>
                <w:color w:val="546393" w:themeColor="accent3"/>
                <w:sz w:val="14"/>
                <w:highlight w:val="yellow"/>
              </w:rPr>
              <w:t>280 000 000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ind w:left="64"/>
              <w:jc w:val="left"/>
              <w:rPr>
                <w:color w:val="546393" w:themeColor="accent3"/>
                <w:sz w:val="14"/>
                <w:szCs w:val="14"/>
                <w:highlight w:val="yellow"/>
              </w:rPr>
            </w:pPr>
            <w:r>
              <w:rPr>
                <w:color w:val="546393" w:themeColor="accent3"/>
                <w:sz w:val="14"/>
                <w:highlight w:val="yellow"/>
              </w:rPr>
              <w:t>175 000 000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Национална база данни на стопанствата/СЗСИ</w:t>
            </w:r>
          </w:p>
        </w:tc>
      </w:tr>
      <w:tr w:rsidR="00143584">
        <w:trPr>
          <w:trHeight w:val="111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spacing w:after="0"/>
              <w:jc w:val="left"/>
              <w:rPr>
                <w:rFonts w:cs="Arial"/>
                <w:b/>
                <w:color w:val="546393" w:themeColor="accent3"/>
                <w:szCs w:val="18"/>
                <w:highlight w:val="yellow"/>
              </w:rPr>
            </w:pPr>
            <w:r>
              <w:rPr>
                <w:b/>
                <w:color w:val="546393" w:themeColor="accent3"/>
                <w:highlight w:val="yellow"/>
              </w:rPr>
              <w:t>R2 —</w:t>
            </w:r>
          </w:p>
          <w:p w:rsidR="00143584" w:rsidRDefault="00D64125">
            <w:pPr>
              <w:spacing w:after="0"/>
              <w:jc w:val="left"/>
              <w:rPr>
                <w:rFonts w:cs="Arial"/>
                <w:b/>
                <w:color w:val="546393" w:themeColor="accent3"/>
                <w:szCs w:val="18"/>
                <w:highlight w:val="yellow"/>
              </w:rPr>
            </w:pPr>
            <w:r>
              <w:rPr>
                <w:b/>
                <w:color w:val="546393" w:themeColor="accent3"/>
                <w:highlight w:val="yellow"/>
              </w:rPr>
              <w:t>ГРЕ</w:t>
            </w:r>
          </w:p>
          <w:p w:rsidR="00143584" w:rsidRDefault="00D64125">
            <w:pPr>
              <w:spacing w:after="0"/>
              <w:jc w:val="left"/>
              <w:rPr>
                <w:rFonts w:cs="Arial"/>
                <w:bCs/>
                <w:caps/>
                <w:color w:val="546393" w:themeColor="accent3"/>
                <w:szCs w:val="18"/>
                <w:highlight w:val="yellow"/>
              </w:rPr>
            </w:pPr>
            <w:r>
              <w:rPr>
                <w:color w:val="546393" w:themeColor="accent3"/>
                <w:highlight w:val="yellow"/>
              </w:rPr>
              <w:t>(знаменател)</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ind w:left="64"/>
              <w:jc w:val="left"/>
              <w:rPr>
                <w:color w:val="546393" w:themeColor="accent3"/>
                <w:sz w:val="14"/>
                <w:szCs w:val="14"/>
                <w:highlight w:val="yellow"/>
              </w:rPr>
            </w:pPr>
            <w:r>
              <w:rPr>
                <w:color w:val="546393" w:themeColor="accent3"/>
                <w:sz w:val="14"/>
                <w:highlight w:val="yellow"/>
              </w:rPr>
              <w:t>4 250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ind w:left="64"/>
              <w:jc w:val="left"/>
              <w:rPr>
                <w:color w:val="546393" w:themeColor="accent3"/>
                <w:sz w:val="14"/>
                <w:szCs w:val="14"/>
                <w:highlight w:val="yellow"/>
              </w:rPr>
            </w:pPr>
            <w:r>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ind w:left="64"/>
              <w:jc w:val="left"/>
              <w:rPr>
                <w:color w:val="546393" w:themeColor="accent3"/>
                <w:sz w:val="14"/>
                <w:szCs w:val="14"/>
                <w:highlight w:val="yellow"/>
              </w:rPr>
            </w:pPr>
            <w:r>
              <w:rPr>
                <w:color w:val="546393" w:themeColor="accent3"/>
                <w:sz w:val="14"/>
                <w:highlight w:val="yellow"/>
              </w:rPr>
              <w:t>5 000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ind w:left="64"/>
              <w:jc w:val="left"/>
              <w:rPr>
                <w:color w:val="546393" w:themeColor="accent3"/>
                <w:sz w:val="14"/>
                <w:szCs w:val="14"/>
                <w:highlight w:val="yellow"/>
              </w:rPr>
            </w:pPr>
            <w:r>
              <w:rPr>
                <w:color w:val="546393" w:themeColor="accent3"/>
                <w:sz w:val="14"/>
                <w:highlight w:val="yellow"/>
              </w:rPr>
              <w:t>5.000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Национална база данни на стопанствата/СЗСИ</w:t>
            </w:r>
          </w:p>
        </w:tc>
      </w:tr>
      <w:tr w:rsidR="00143584">
        <w:trPr>
          <w:trHeight w:val="1580"/>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rFonts w:cs="Arial"/>
                <w:b/>
                <w:color w:val="262626" w:themeColor="text2" w:themeTint="D9"/>
                <w:sz w:val="20"/>
                <w:szCs w:val="20"/>
                <w:highlight w:val="yellow"/>
              </w:rPr>
            </w:pP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spacing w:after="0"/>
              <w:jc w:val="left"/>
              <w:rPr>
                <w:rFonts w:cs="Arial"/>
                <w:b/>
                <w:color w:val="546393" w:themeColor="accent3"/>
                <w:szCs w:val="18"/>
                <w:highlight w:val="yellow"/>
              </w:rPr>
            </w:pPr>
            <w:r>
              <w:rPr>
                <w:b/>
                <w:color w:val="546393" w:themeColor="accent3"/>
                <w:highlight w:val="yellow"/>
              </w:rPr>
              <w:t xml:space="preserve">R2 — </w:t>
            </w:r>
            <w:r>
              <w:rPr>
                <w:highlight w:val="yellow"/>
              </w:rPr>
              <w:t>Промени в селскостопанската продукция на подпомогнатите стопанства</w:t>
            </w:r>
            <w:r>
              <w:rPr>
                <w:color w:val="546393" w:themeColor="accent3"/>
                <w:highlight w:val="yellow"/>
              </w:rPr>
              <w:t>/ГРЕ</w:t>
            </w:r>
          </w:p>
          <w:p w:rsidR="00143584" w:rsidRDefault="00D64125">
            <w:pPr>
              <w:spacing w:after="0"/>
              <w:jc w:val="left"/>
              <w:rPr>
                <w:rFonts w:cs="Arial"/>
                <w:color w:val="546393" w:themeColor="accent3"/>
                <w:szCs w:val="18"/>
                <w:highlight w:val="yellow"/>
              </w:rPr>
            </w:pPr>
            <w:r>
              <w:rPr>
                <w:color w:val="546393" w:themeColor="accent3"/>
                <w:highlight w:val="yellow"/>
              </w:rPr>
              <w:t>(числител/знам</w:t>
            </w:r>
            <w:r>
              <w:rPr>
                <w:color w:val="546393" w:themeColor="accent3"/>
                <w:highlight w:val="yellow"/>
              </w:rPr>
              <w:lastRenderedPageBreak/>
              <w:t>енател)</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1350"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143584" w:rsidRDefault="00143584">
            <w:pPr>
              <w:pStyle w:val="ListParagraph"/>
              <w:spacing w:after="0" w:line="240" w:lineRule="auto"/>
              <w:ind w:left="2160"/>
              <w:rPr>
                <w:rFonts w:ascii="Arial" w:hAnsi="Arial" w:cs="Arial"/>
                <w:b/>
                <w:color w:val="262626" w:themeColor="text2" w:themeTint="D9"/>
                <w:sz w:val="20"/>
                <w:szCs w:val="20"/>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ListParagraph"/>
              <w:spacing w:before="60" w:after="140" w:line="220" w:lineRule="atLeast"/>
              <w:ind w:left="64" w:firstLine="0"/>
              <w:outlineLvl w:val="9"/>
              <w:rPr>
                <w:rFonts w:ascii="Arial" w:hAnsi="Arial" w:cs="Arial"/>
                <w:color w:val="546393" w:themeColor="accent3"/>
                <w:sz w:val="14"/>
                <w:szCs w:val="14"/>
                <w:highlight w:val="yellow"/>
              </w:rPr>
            </w:pPr>
            <w:r>
              <w:rPr>
                <w:rFonts w:ascii="Arial" w:hAnsi="Arial"/>
                <w:color w:val="546393" w:themeColor="accent3"/>
                <w:sz w:val="14"/>
                <w:highlight w:val="yellow"/>
              </w:rPr>
              <w:t>47 400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ind w:left="64"/>
              <w:jc w:val="left"/>
              <w:rPr>
                <w:rFonts w:cs="Arial"/>
                <w:b/>
                <w:color w:val="546393" w:themeColor="accent3"/>
                <w:sz w:val="14"/>
                <w:szCs w:val="14"/>
                <w:highlight w:val="yellow"/>
              </w:rPr>
            </w:pPr>
            <w:r>
              <w:rPr>
                <w:color w:val="546393" w:themeColor="accent3"/>
                <w:sz w:val="14"/>
                <w:highlight w:val="yellow"/>
              </w:rPr>
              <w:t>8 600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56 000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35 000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pStyle w:val="ListParagraph"/>
              <w:spacing w:after="0" w:line="240" w:lineRule="auto"/>
              <w:ind w:left="0" w:firstLine="0"/>
              <w:rPr>
                <w:rFonts w:ascii="Arial" w:hAnsi="Arial" w:cs="Arial"/>
                <w:color w:val="546393" w:themeColor="accent3"/>
                <w:sz w:val="18"/>
                <w:szCs w:val="18"/>
                <w:highlight w:val="yellow"/>
              </w:rPr>
            </w:pPr>
            <w:r>
              <w:rPr>
                <w:rFonts w:ascii="Arial" w:hAnsi="Arial"/>
                <w:color w:val="546393" w:themeColor="accent3"/>
                <w:sz w:val="18"/>
                <w:highlight w:val="yellow"/>
              </w:rPr>
              <w:t>Национална база данни на стопанствата/СЗСИ</w:t>
            </w:r>
          </w:p>
        </w:tc>
      </w:tr>
      <w:tr w:rsidR="00143584">
        <w:trPr>
          <w:trHeight w:val="31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jc w:val="left"/>
              <w:rPr>
                <w:rFonts w:cs="Arial"/>
                <w:b/>
                <w:color w:val="373737" w:themeColor="background1" w:themeShade="40"/>
                <w:sz w:val="20"/>
                <w:szCs w:val="20"/>
                <w:highlight w:val="yellow"/>
              </w:rPr>
            </w:pPr>
            <w:r>
              <w:rPr>
                <w:b/>
                <w:color w:val="373737" w:themeColor="background1" w:themeShade="40"/>
                <w:highlight w:val="yellow"/>
              </w:rPr>
              <w:t>Допълнителни показатели за резултати</w:t>
            </w:r>
            <w:r>
              <w:rPr>
                <w:rStyle w:val="FootnoteReference"/>
                <w:highlight w:val="yellow"/>
              </w:rPr>
              <w:footnoteReference w:id="121"/>
            </w:r>
          </w:p>
        </w:tc>
        <w:tc>
          <w:tcPr>
            <w:tcW w:w="1318" w:type="dxa"/>
            <w:tcBorders>
              <w:top w:val="single" w:sz="18" w:space="0" w:color="6F6F6F" w:themeColor="text1"/>
              <w:left w:val="single" w:sz="4" w:space="0" w:color="auto"/>
              <w:bottom w:val="single" w:sz="4" w:space="0" w:color="auto"/>
              <w:right w:val="single" w:sz="4" w:space="0" w:color="auto"/>
            </w:tcBorders>
            <w:shd w:val="clear" w:color="auto" w:fill="auto"/>
          </w:tcPr>
          <w:p w:rsidR="00143584" w:rsidRDefault="00D64125">
            <w:pPr>
              <w:spacing w:after="0"/>
              <w:jc w:val="left"/>
              <w:rPr>
                <w:rFonts w:cs="Arial"/>
                <w:b/>
                <w:color w:val="546393" w:themeColor="accent3"/>
                <w:szCs w:val="18"/>
                <w:highlight w:val="yellow"/>
              </w:rPr>
            </w:pPr>
            <w:r>
              <w:rPr>
                <w:b/>
                <w:color w:val="546393" w:themeColor="accent3"/>
                <w:highlight w:val="yellow"/>
              </w:rPr>
              <w:t>Брутен доход на стопанството</w:t>
            </w:r>
          </w:p>
        </w:tc>
        <w:tc>
          <w:tcPr>
            <w:tcW w:w="918" w:type="dxa"/>
            <w:tcBorders>
              <w:top w:val="single" w:sz="18" w:space="0" w:color="6F6F6F" w:themeColor="text1"/>
              <w:left w:val="single" w:sz="4" w:space="0" w:color="auto"/>
              <w:bottom w:val="single" w:sz="4" w:space="0" w:color="auto"/>
              <w:right w:val="single" w:sz="4" w:space="0" w:color="auto"/>
            </w:tcBorders>
            <w:shd w:val="clear" w:color="auto" w:fill="auto"/>
          </w:tcPr>
          <w:p w:rsidR="00143584" w:rsidRDefault="00143584">
            <w:pPr>
              <w:ind w:left="64"/>
              <w:rPr>
                <w:color w:val="546393" w:themeColor="accent3"/>
                <w:sz w:val="14"/>
                <w:szCs w:val="14"/>
                <w:highlight w:val="yellow"/>
              </w:rPr>
            </w:pPr>
          </w:p>
        </w:tc>
        <w:tc>
          <w:tcPr>
            <w:tcW w:w="1350" w:type="dxa"/>
            <w:tcBorders>
              <w:top w:val="single" w:sz="18" w:space="0" w:color="6F6F6F" w:themeColor="text1"/>
              <w:left w:val="single" w:sz="4" w:space="0" w:color="auto"/>
              <w:bottom w:val="single" w:sz="4" w:space="0" w:color="auto"/>
              <w:right w:val="single" w:sz="4" w:space="0" w:color="auto"/>
            </w:tcBorders>
            <w:shd w:val="clear" w:color="auto" w:fill="auto"/>
          </w:tcPr>
          <w:p w:rsidR="00143584" w:rsidRDefault="00D64125">
            <w:pPr>
              <w:ind w:left="64"/>
              <w:rPr>
                <w:color w:val="546393" w:themeColor="accent3"/>
                <w:sz w:val="14"/>
                <w:szCs w:val="14"/>
                <w:highlight w:val="yellow"/>
              </w:rPr>
            </w:pPr>
            <w:r>
              <w:rPr>
                <w:color w:val="546393" w:themeColor="accent3"/>
                <w:sz w:val="14"/>
                <w:highlight w:val="yellow"/>
              </w:rPr>
              <w:t>42</w:t>
            </w:r>
          </w:p>
        </w:tc>
        <w:tc>
          <w:tcPr>
            <w:tcW w:w="2341" w:type="dxa"/>
            <w:tcBorders>
              <w:top w:val="single" w:sz="18" w:space="0" w:color="6F6F6F" w:themeColor="text1"/>
              <w:left w:val="single" w:sz="4" w:space="0" w:color="auto"/>
              <w:bottom w:val="single" w:sz="4" w:space="0" w:color="auto"/>
              <w:right w:val="single" w:sz="4" w:space="0" w:color="auto"/>
            </w:tcBorders>
            <w:shd w:val="clear" w:color="auto" w:fill="auto"/>
          </w:tcPr>
          <w:p w:rsidR="00143584" w:rsidRDefault="00D64125">
            <w:pPr>
              <w:ind w:left="64"/>
              <w:rPr>
                <w:color w:val="546393" w:themeColor="accent3"/>
                <w:sz w:val="14"/>
                <w:szCs w:val="14"/>
                <w:highlight w:val="yellow"/>
              </w:rPr>
            </w:pPr>
            <w:r>
              <w:rPr>
                <w:color w:val="546393" w:themeColor="accent3"/>
                <w:sz w:val="14"/>
                <w:highlight w:val="yellow"/>
              </w:rPr>
              <w:t>117 831 EUR</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143584" w:rsidRDefault="00D64125">
            <w:pPr>
              <w:ind w:left="64"/>
              <w:rPr>
                <w:color w:val="546393" w:themeColor="accent3"/>
                <w:sz w:val="14"/>
                <w:szCs w:val="14"/>
                <w:highlight w:val="yellow"/>
              </w:rPr>
            </w:pPr>
            <w:r>
              <w:rPr>
                <w:color w:val="546393" w:themeColor="accent3"/>
                <w:sz w:val="14"/>
                <w:highlight w:val="yellow"/>
              </w:rPr>
              <w:t>8 869 EUR</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143584" w:rsidRDefault="00D64125">
            <w:pPr>
              <w:ind w:left="64"/>
              <w:rPr>
                <w:color w:val="546393" w:themeColor="accent3"/>
                <w:sz w:val="14"/>
                <w:szCs w:val="14"/>
                <w:highlight w:val="yellow"/>
              </w:rPr>
            </w:pPr>
            <w:r>
              <w:rPr>
                <w:color w:val="546393" w:themeColor="accent3"/>
                <w:sz w:val="14"/>
                <w:highlight w:val="yellow"/>
              </w:rPr>
              <w:t>26 700 EUR</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143584" w:rsidRDefault="00D64125">
            <w:pPr>
              <w:ind w:left="64"/>
              <w:rPr>
                <w:color w:val="546393" w:themeColor="accent3"/>
                <w:sz w:val="14"/>
                <w:szCs w:val="14"/>
                <w:highlight w:val="yellow"/>
              </w:rPr>
            </w:pPr>
            <w:r>
              <w:rPr>
                <w:color w:val="546393" w:themeColor="accent3"/>
                <w:sz w:val="14"/>
                <w:highlight w:val="yellow"/>
              </w:rPr>
              <w:t>97 240 EUR</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143584" w:rsidRDefault="00D64125">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Национална база данни на стопанствата/СЗСИ</w:t>
            </w:r>
          </w:p>
        </w:tc>
      </w:tr>
      <w:tr w:rsidR="00143584">
        <w:trPr>
          <w:trHeight w:val="250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rFonts w:cs="Arial"/>
                <w:b/>
                <w:color w:val="373737" w:themeColor="background1" w:themeShade="40"/>
                <w:sz w:val="20"/>
                <w:szCs w:val="20"/>
                <w:highlight w:val="yellow"/>
              </w:rPr>
            </w:pPr>
          </w:p>
        </w:tc>
        <w:tc>
          <w:tcPr>
            <w:tcW w:w="1318" w:type="dxa"/>
            <w:tcBorders>
              <w:top w:val="single" w:sz="4" w:space="0" w:color="auto"/>
              <w:left w:val="single" w:sz="4" w:space="0" w:color="auto"/>
              <w:right w:val="single" w:sz="4" w:space="0" w:color="auto"/>
            </w:tcBorders>
            <w:shd w:val="clear" w:color="auto" w:fill="auto"/>
          </w:tcPr>
          <w:p w:rsidR="00143584" w:rsidRDefault="00D64125">
            <w:pPr>
              <w:spacing w:after="0"/>
              <w:ind w:left="37"/>
              <w:jc w:val="left"/>
              <w:rPr>
                <w:rFonts w:cs="Arial"/>
                <w:b/>
                <w:color w:val="546393" w:themeColor="accent3"/>
                <w:szCs w:val="18"/>
                <w:highlight w:val="yellow"/>
              </w:rPr>
            </w:pPr>
            <w:r>
              <w:rPr>
                <w:b/>
                <w:color w:val="546393" w:themeColor="accent3"/>
                <w:highlight w:val="yellow"/>
              </w:rPr>
              <w:t xml:space="preserve">Продажби/обща продукция  </w:t>
            </w:r>
          </w:p>
        </w:tc>
        <w:tc>
          <w:tcPr>
            <w:tcW w:w="918" w:type="dxa"/>
            <w:tcBorders>
              <w:top w:val="single" w:sz="4" w:space="0" w:color="auto"/>
              <w:left w:val="single" w:sz="4" w:space="0" w:color="auto"/>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546393" w:themeColor="accent3"/>
                <w:sz w:val="18"/>
                <w:szCs w:val="18"/>
                <w:highlight w:val="yellow"/>
              </w:rPr>
            </w:pPr>
          </w:p>
        </w:tc>
        <w:tc>
          <w:tcPr>
            <w:tcW w:w="1350" w:type="dxa"/>
            <w:tcBorders>
              <w:top w:val="single" w:sz="4" w:space="0" w:color="auto"/>
              <w:left w:val="single" w:sz="4" w:space="0" w:color="auto"/>
              <w:right w:val="single" w:sz="4" w:space="0" w:color="auto"/>
            </w:tcBorders>
            <w:shd w:val="clear" w:color="auto" w:fill="auto"/>
          </w:tcPr>
          <w:p w:rsidR="00143584" w:rsidRDefault="00143584">
            <w:pPr>
              <w:ind w:left="57"/>
              <w:rPr>
                <w:color w:val="546393" w:themeColor="accent3"/>
                <w:sz w:val="14"/>
                <w:szCs w:val="14"/>
                <w:highlight w:val="yellow"/>
              </w:rPr>
            </w:pPr>
          </w:p>
        </w:tc>
        <w:tc>
          <w:tcPr>
            <w:tcW w:w="2341" w:type="dxa"/>
            <w:tcBorders>
              <w:top w:val="single" w:sz="4" w:space="0" w:color="auto"/>
              <w:left w:val="single" w:sz="4" w:space="0" w:color="auto"/>
              <w:right w:val="single" w:sz="4" w:space="0" w:color="auto"/>
            </w:tcBorders>
            <w:shd w:val="clear" w:color="auto" w:fill="auto"/>
          </w:tcPr>
          <w:p w:rsidR="00143584" w:rsidRDefault="00D64125">
            <w:pPr>
              <w:ind w:left="57"/>
              <w:rPr>
                <w:color w:val="546393" w:themeColor="accent3"/>
                <w:sz w:val="14"/>
                <w:szCs w:val="14"/>
                <w:highlight w:val="yellow"/>
              </w:rPr>
            </w:pPr>
            <w:r>
              <w:rPr>
                <w:color w:val="546393" w:themeColor="accent3"/>
                <w:sz w:val="14"/>
                <w:highlight w:val="yellow"/>
              </w:rPr>
              <w:t>216 535,41 EUR</w:t>
            </w:r>
          </w:p>
        </w:tc>
        <w:tc>
          <w:tcPr>
            <w:tcW w:w="2195" w:type="dxa"/>
            <w:tcBorders>
              <w:top w:val="single" w:sz="4" w:space="0" w:color="auto"/>
              <w:left w:val="single" w:sz="4" w:space="0" w:color="auto"/>
              <w:right w:val="single" w:sz="4" w:space="0" w:color="auto"/>
            </w:tcBorders>
            <w:shd w:val="clear" w:color="auto" w:fill="auto"/>
          </w:tcPr>
          <w:p w:rsidR="00143584" w:rsidRDefault="00D64125">
            <w:pPr>
              <w:ind w:left="57"/>
              <w:rPr>
                <w:color w:val="546393" w:themeColor="accent3"/>
                <w:sz w:val="14"/>
                <w:szCs w:val="14"/>
                <w:highlight w:val="yellow"/>
              </w:rPr>
            </w:pPr>
            <w:r>
              <w:rPr>
                <w:color w:val="546393" w:themeColor="accent3"/>
                <w:sz w:val="14"/>
                <w:highlight w:val="yellow"/>
              </w:rPr>
              <w:t>21 415,59 EUR</w:t>
            </w:r>
          </w:p>
        </w:tc>
        <w:tc>
          <w:tcPr>
            <w:tcW w:w="1843" w:type="dxa"/>
            <w:tcBorders>
              <w:top w:val="single" w:sz="4" w:space="0" w:color="auto"/>
              <w:left w:val="single" w:sz="4" w:space="0" w:color="auto"/>
              <w:right w:val="single" w:sz="4" w:space="0" w:color="auto"/>
            </w:tcBorders>
            <w:shd w:val="clear" w:color="auto" w:fill="auto"/>
          </w:tcPr>
          <w:p w:rsidR="00143584" w:rsidRDefault="00D64125">
            <w:pPr>
              <w:ind w:left="57"/>
              <w:rPr>
                <w:color w:val="546393" w:themeColor="accent3"/>
                <w:sz w:val="14"/>
                <w:szCs w:val="14"/>
                <w:highlight w:val="yellow"/>
              </w:rPr>
            </w:pPr>
            <w:r>
              <w:rPr>
                <w:color w:val="546393" w:themeColor="accent3"/>
                <w:sz w:val="14"/>
                <w:highlight w:val="yellow"/>
              </w:rPr>
              <w:t>237 951 EUR</w:t>
            </w:r>
          </w:p>
        </w:tc>
        <w:tc>
          <w:tcPr>
            <w:tcW w:w="1496" w:type="dxa"/>
            <w:tcBorders>
              <w:top w:val="single" w:sz="4" w:space="0" w:color="auto"/>
              <w:left w:val="single" w:sz="4" w:space="0" w:color="auto"/>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rsidR="00143584" w:rsidRDefault="00143584">
            <w:pPr>
              <w:pStyle w:val="ListParagraph"/>
              <w:spacing w:after="0" w:line="240" w:lineRule="auto"/>
              <w:ind w:left="850" w:hanging="706"/>
              <w:rPr>
                <w:rFonts w:ascii="Arial" w:hAnsi="Arial" w:cs="Arial"/>
                <w:color w:val="546393" w:themeColor="accent3"/>
                <w:sz w:val="18"/>
                <w:szCs w:val="18"/>
                <w:highlight w:val="yellow"/>
              </w:rPr>
            </w:pPr>
          </w:p>
        </w:tc>
      </w:tr>
      <w:tr w:rsidR="00143584">
        <w:trPr>
          <w:trHeight w:val="180"/>
        </w:trPr>
        <w:tc>
          <w:tcPr>
            <w:tcW w:w="1211"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rFonts w:cs="Arial"/>
                <w:b/>
                <w:color w:val="373737" w:themeColor="background1" w:themeShade="40"/>
                <w:sz w:val="20"/>
                <w:szCs w:val="20"/>
                <w:highlight w:val="yellow"/>
              </w:rPr>
            </w:pPr>
            <w:r>
              <w:rPr>
                <w:b/>
                <w:color w:val="373737" w:themeColor="background1" w:themeShade="40"/>
                <w:highlight w:val="yellow"/>
              </w:rPr>
              <w:t>Общи показатели за контекста</w:t>
            </w:r>
            <w:r>
              <w:rPr>
                <w:rStyle w:val="FootnoteReference"/>
                <w:highlight w:val="yellow"/>
              </w:rPr>
              <w:footnoteReference w:id="122"/>
            </w:r>
            <w:r>
              <w:rPr>
                <w:rStyle w:val="FootnoteReference"/>
                <w:highlight w:val="yellow"/>
              </w:rPr>
              <w:t xml:space="preserve"> </w:t>
            </w:r>
          </w:p>
        </w:tc>
        <w:tc>
          <w:tcPr>
            <w:tcW w:w="13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spacing w:after="0"/>
              <w:ind w:left="37"/>
              <w:jc w:val="left"/>
              <w:rPr>
                <w:rFonts w:cs="Arial"/>
                <w:b/>
                <w:color w:val="546393" w:themeColor="accent3"/>
                <w:szCs w:val="18"/>
                <w:highlight w:val="yellow"/>
              </w:rPr>
            </w:pPr>
            <w:r>
              <w:rPr>
                <w:b/>
                <w:color w:val="546393" w:themeColor="accent3"/>
                <w:highlight w:val="yellow"/>
              </w:rPr>
              <w:t>ОПК 17 - Общ брой на земеделските стопанства</w:t>
            </w:r>
          </w:p>
        </w:tc>
        <w:tc>
          <w:tcPr>
            <w:tcW w:w="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ListParagraph"/>
              <w:tabs>
                <w:tab w:val="clear" w:pos="709"/>
              </w:tabs>
              <w:spacing w:after="0" w:line="240" w:lineRule="auto"/>
              <w:ind w:left="0" w:firstLine="0"/>
              <w:rPr>
                <w:rFonts w:ascii="Arial" w:hAnsi="Arial" w:cs="Arial"/>
                <w:b/>
                <w:color w:val="546393" w:themeColor="accent3"/>
                <w:sz w:val="14"/>
                <w:szCs w:val="14"/>
                <w:highlight w:val="yellow"/>
              </w:rPr>
            </w:pPr>
            <w:r>
              <w:rPr>
                <w:rFonts w:ascii="Arial" w:hAnsi="Arial"/>
                <w:color w:val="546393" w:themeColor="accent3"/>
                <w:sz w:val="14"/>
                <w:highlight w:val="yellow"/>
              </w:rPr>
              <w:t>7 250</w:t>
            </w:r>
          </w:p>
        </w:tc>
        <w:tc>
          <w:tcPr>
            <w:tcW w:w="135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546393" w:themeColor="accent3"/>
                <w:sz w:val="18"/>
                <w:szCs w:val="18"/>
                <w:highlight w:val="yellow"/>
              </w:rPr>
            </w:pPr>
          </w:p>
        </w:tc>
        <w:tc>
          <w:tcPr>
            <w:tcW w:w="2341"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 xml:space="preserve">База данни на ЕС на общите показатели за контекста </w:t>
            </w:r>
          </w:p>
        </w:tc>
      </w:tr>
    </w:tbl>
    <w:p w:rsidR="00143584" w:rsidRDefault="00143584">
      <w:pPr>
        <w:spacing w:line="280" w:lineRule="atLeast"/>
        <w:rPr>
          <w:sz w:val="24"/>
          <w:highlight w:val="yellow"/>
        </w:rPr>
      </w:pPr>
    </w:p>
    <w:p w:rsidR="00143584" w:rsidRDefault="00143584">
      <w:pPr>
        <w:pStyle w:val="H-Heading2"/>
        <w:ind w:left="0" w:firstLine="0"/>
        <w:rPr>
          <w:rFonts w:ascii="Arial" w:hAnsi="Arial" w:cs="Arial"/>
          <w:highlight w:val="yellow"/>
        </w:rPr>
      </w:pPr>
    </w:p>
    <w:p w:rsidR="00143584" w:rsidRDefault="00143584">
      <w:pPr>
        <w:rPr>
          <w:rFonts w:cs="Arial"/>
          <w:highlight w:val="yellow"/>
        </w:rPr>
        <w:sectPr w:rsidR="00143584">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143584">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lastRenderedPageBreak/>
              <w:tab/>
            </w:r>
            <w:r>
              <w:rPr>
                <w:b/>
                <w:color w:val="ED7D31"/>
                <w:sz w:val="18"/>
                <w:highlight w:val="yellow"/>
              </w:rPr>
              <w:t>Идентифицирани проблеми, които влияят върху действителността и надеждността на констатациите от оценката</w:t>
            </w:r>
            <w:r>
              <w:rPr>
                <w:rStyle w:val="FootnoteReference"/>
                <w:highlight w:val="yellow"/>
              </w:rPr>
              <w:footnoteReference w:id="123"/>
            </w:r>
            <w:r>
              <w:rPr>
                <w:b/>
                <w:color w:val="ED7D31"/>
                <w:sz w:val="18"/>
                <w:highlight w:val="yellow"/>
              </w:rPr>
              <w:t xml:space="preserve"> </w:t>
            </w:r>
          </w:p>
          <w:p w:rsidR="00143584" w:rsidRDefault="00D64125">
            <w:pPr>
              <w:suppressAutoHyphens/>
              <w:autoSpaceDN w:val="0"/>
              <w:spacing w:after="0" w:line="240" w:lineRule="auto"/>
              <w:textAlignment w:val="baseline"/>
              <w:rPr>
                <w:rFonts w:cs="Arial"/>
                <w:color w:val="1F4E79"/>
                <w:szCs w:val="18"/>
                <w:highlight w:val="yellow"/>
              </w:rPr>
            </w:pPr>
            <w:r>
              <w:rPr>
                <w:color w:val="546393" w:themeColor="accent3"/>
                <w:highlight w:val="yellow"/>
              </w:rPr>
              <w:t xml:space="preserve">Прилаганите методи при оценяването на общия показател за допълнителни резултати и на допълнителните показатели и висококачествените източници на данни за бенефициерите и за субектите, които не са бенефициери, са позволили да се направи надеждно оценяване на резултатите по отношение на постиженията в ОПА 2А и да се отговори на съответния общ въпрос за оценка. </w:t>
            </w:r>
          </w:p>
        </w:tc>
      </w:tr>
      <w:tr w:rsidR="00143584">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rPr>
            </w:pPr>
            <w:r>
              <w:rPr>
                <w:b/>
                <w:color w:val="ED7D31"/>
                <w:sz w:val="18"/>
                <w:highlight w:val="yellow"/>
              </w:rPr>
              <w:t>Отговор на въпрос за оценка</w:t>
            </w:r>
            <w:r>
              <w:rPr>
                <w:rStyle w:val="FootnoteReference"/>
                <w:highlight w:val="yellow"/>
              </w:rPr>
              <w:footnoteReference w:id="124"/>
            </w:r>
            <w:r>
              <w:rPr>
                <w:b/>
                <w:color w:val="ED7D31"/>
                <w:sz w:val="18"/>
                <w:highlight w:val="yellow"/>
              </w:rPr>
              <w:t xml:space="preserve"> </w:t>
            </w:r>
          </w:p>
          <w:p w:rsidR="00143584" w:rsidRDefault="00D64125">
            <w:pPr>
              <w:spacing w:after="60"/>
              <w:rPr>
                <w:rFonts w:cs="Arial"/>
                <w:color w:val="546393" w:themeColor="accent3"/>
                <w:szCs w:val="18"/>
                <w:highlight w:val="yellow"/>
              </w:rPr>
            </w:pPr>
            <w:r>
              <w:rPr>
                <w:color w:val="546393" w:themeColor="accent3"/>
                <w:highlight w:val="yellow"/>
              </w:rPr>
              <w:t xml:space="preserve">В „програмния район“ има 7 250 стопанства в селскостопанския сектор, които са допустими за подпомагане по ПРСР. От тях 1 350 стопанства са получили подпомагане за принос към ОПА 2А до 31.12.2016 г. Общият брой на операциите по първоначално програмираните мерки е 918 (таблица 1), а в допълнение към тях са подпомогнати 1 228 операции по мерки с вторичен принос към ОПА 2A, а именно ОПА 3А с 247 подпомогнати операции, ОПА 5Б със 75 подпомогнати операции, ОПА 5В с 51 подпомогнати операции и ОПА от П4 с </w:t>
            </w:r>
            <w:r w:rsidR="005B282B">
              <w:rPr>
                <w:color w:val="546393" w:themeColor="accent3"/>
                <w:highlight w:val="yellow"/>
                <w:lang w:val="en-GB"/>
              </w:rPr>
              <w:t>855</w:t>
            </w:r>
            <w:bookmarkStart w:id="134" w:name="_GoBack"/>
            <w:bookmarkEnd w:id="134"/>
            <w:r>
              <w:rPr>
                <w:color w:val="546393" w:themeColor="accent3"/>
                <w:highlight w:val="yellow"/>
              </w:rPr>
              <w:t xml:space="preserve"> подпомогнати операции. </w:t>
            </w:r>
          </w:p>
          <w:p w:rsidR="00143584" w:rsidRDefault="00D64125">
            <w:pPr>
              <w:spacing w:after="60"/>
              <w:rPr>
                <w:rFonts w:cs="Arial"/>
                <w:color w:val="546393" w:themeColor="accent3"/>
                <w:szCs w:val="18"/>
                <w:highlight w:val="yellow"/>
              </w:rPr>
            </w:pPr>
            <w:r>
              <w:rPr>
                <w:color w:val="546393" w:themeColor="accent3"/>
                <w:highlight w:val="yellow"/>
              </w:rPr>
              <w:t>Това означава, че общо 18,6 % от допустимите земеделски стопанства са получили подпомагане за инвестиции в селското стопанство, което е допринесло за ускоряването на модернизацията на подпомогнатите стопанства, главно в областта на производството на млекодайни крави и домашни птици и в секторите на плодовете и зеленчуците. По-голямата част от инвестираните средства по М4 (около 70 %) са използвани за строителство, а останалите (30 %) — за нови машини и оборудване. Тези подобрения водят до по-висока конкурентоспособност и следователно до по-голям брутен обем на продукцията и брутна добавена стойност на микро и макро ниво. В същото време имаше и инвестиционни операции, създаващи свръхкапацитет, вместо структурно приспособяване и разнообразяване на селското стопанство (например средни и по-големи млекодобивни стопанства). Инвестиционното подпомагане не беше достатъчно ясно съсредоточено върху разработването на нови продукти или подобряването на качеството на продуктите или иновациите, т.е. елементите, които в най-голяма степен способстват за разнообразяването в селското стопанство.</w:t>
            </w:r>
          </w:p>
          <w:p w:rsidR="00143584" w:rsidRDefault="00D64125">
            <w:pPr>
              <w:spacing w:after="60"/>
              <w:rPr>
                <w:rFonts w:cs="Arial"/>
                <w:color w:val="546393" w:themeColor="accent3"/>
                <w:szCs w:val="18"/>
                <w:highlight w:val="yellow"/>
              </w:rPr>
            </w:pPr>
            <w:r>
              <w:rPr>
                <w:color w:val="546393" w:themeColor="accent3"/>
                <w:highlight w:val="yellow"/>
              </w:rPr>
              <w:t xml:space="preserve">По-голямата част от инвестиционните операции по М4 са осигурили също така ползи за околната среда, изразяващи се в по-голяма енергийна ефективност, намалено генериране на парникови газове, по-точно прилагане на пестициди/изкуствени торове, подобрена ситуация във връзка с хуманното отношение към животните и други социални ползи вследствие на подобрените условия на труд на служителите. </w:t>
            </w:r>
          </w:p>
          <w:p w:rsidR="00143584" w:rsidRDefault="00D64125">
            <w:pPr>
              <w:spacing w:after="60"/>
              <w:rPr>
                <w:rFonts w:cs="Arial"/>
                <w:color w:val="546393" w:themeColor="accent3"/>
                <w:szCs w:val="18"/>
                <w:highlight w:val="yellow"/>
              </w:rPr>
            </w:pPr>
            <w:r>
              <w:rPr>
                <w:color w:val="546393" w:themeColor="accent3"/>
                <w:highlight w:val="yellow"/>
              </w:rPr>
              <w:t xml:space="preserve">Икономическите резултати на всичките горепосочени подпомогнати стопанства, изразени в </w:t>
            </w:r>
            <w:r>
              <w:rPr>
                <w:i/>
                <w:color w:val="546393" w:themeColor="accent3"/>
                <w:highlight w:val="yellow"/>
              </w:rPr>
              <w:t>селскостопанска продукция/ГРЕ</w:t>
            </w:r>
            <w:r>
              <w:rPr>
                <w:color w:val="546393" w:themeColor="accent3"/>
                <w:highlight w:val="yellow"/>
              </w:rPr>
              <w:t xml:space="preserve"> (R2), са се повишили като нетни стойности от 29 000 EUR/ГРЕ през 2013 г. на 35 000 EUR/ГРЕ през 2016 и следователно промяната е 6 000 EUR/ГРЕ. Вторичния принос на операциите, осъществени в ОПА 5Б и 5В (М4.1), към тази стойност, беше определен на 15 %. </w:t>
            </w:r>
          </w:p>
          <w:p w:rsidR="00143584" w:rsidRDefault="00D64125">
            <w:pPr>
              <w:spacing w:after="60"/>
              <w:rPr>
                <w:rFonts w:cs="Arial"/>
                <w:color w:val="546393" w:themeColor="accent3"/>
                <w:szCs w:val="18"/>
                <w:highlight w:val="yellow"/>
              </w:rPr>
            </w:pPr>
            <w:r>
              <w:rPr>
                <w:color w:val="546393" w:themeColor="accent3"/>
                <w:highlight w:val="yellow"/>
              </w:rPr>
              <w:t xml:space="preserve">Стойността на допълнителния показател — </w:t>
            </w:r>
            <w:r>
              <w:rPr>
                <w:i/>
                <w:color w:val="546393" w:themeColor="accent3"/>
                <w:highlight w:val="yellow"/>
              </w:rPr>
              <w:t>брутен доход на стопанството —</w:t>
            </w:r>
            <w:r>
              <w:rPr>
                <w:color w:val="546393" w:themeColor="accent3"/>
                <w:highlight w:val="yellow"/>
              </w:rPr>
              <w:t xml:space="preserve"> също се е повишила като средна стойност: от 81 300 EUR през 2013 г. на 97 240 EUR през 2016 г. Делът на вторичния принос на операциите, осъществени по М4.1 от ОПА 5Б и 5В, отнесен към промяната в стойността на показателя, беше 7 % за М4.1 от ОПА 5Б, главно благодарение на икономиите на енергия.  </w:t>
            </w:r>
          </w:p>
          <w:p w:rsidR="00143584" w:rsidRDefault="00D64125">
            <w:pPr>
              <w:spacing w:after="60"/>
              <w:rPr>
                <w:rFonts w:cs="Arial"/>
                <w:color w:val="546393" w:themeColor="accent3"/>
                <w:szCs w:val="18"/>
                <w:highlight w:val="yellow"/>
              </w:rPr>
            </w:pPr>
            <w:r>
              <w:rPr>
                <w:color w:val="546393" w:themeColor="accent3"/>
                <w:highlight w:val="yellow"/>
              </w:rPr>
              <w:t xml:space="preserve">Подобно положение се наблюдава и при </w:t>
            </w:r>
            <w:r>
              <w:rPr>
                <w:i/>
                <w:color w:val="546393" w:themeColor="accent3"/>
                <w:highlight w:val="yellow"/>
              </w:rPr>
              <w:t>дела на</w:t>
            </w:r>
            <w:r>
              <w:rPr>
                <w:color w:val="546393" w:themeColor="accent3"/>
                <w:highlight w:val="yellow"/>
              </w:rPr>
              <w:t xml:space="preserve"> </w:t>
            </w:r>
            <w:r>
              <w:rPr>
                <w:i/>
                <w:color w:val="546393" w:themeColor="accent3"/>
                <w:highlight w:val="yellow"/>
              </w:rPr>
              <w:t>продажбите в общата продукция</w:t>
            </w:r>
            <w:r>
              <w:rPr>
                <w:color w:val="546393" w:themeColor="accent3"/>
                <w:highlight w:val="yellow"/>
              </w:rPr>
              <w:t xml:space="preserve"> на всички подпомогнати стопанства, който се е увеличил от 40 % през 2013 г. на 42 % и е достигнал 100 000 EUR от общо 237 951 EUR през 2016 г.). Вторичният принос към стойността на показателите по ОПА 5Б и 5В е определен на 9 % за М4.1. Това обстоятелство показва подобрените пазарни позиции на стопанствата, подпомогнати по М4.1 от ОПА 2А, 5Б и 5В. </w:t>
            </w:r>
          </w:p>
          <w:p w:rsidR="00143584" w:rsidRDefault="00D64125">
            <w:pPr>
              <w:spacing w:after="60"/>
              <w:rPr>
                <w:rFonts w:cs="Arial"/>
                <w:color w:val="546393" w:themeColor="accent3"/>
                <w:szCs w:val="18"/>
                <w:highlight w:val="yellow"/>
              </w:rPr>
            </w:pPr>
            <w:r>
              <w:rPr>
                <w:color w:val="546393" w:themeColor="accent3"/>
                <w:highlight w:val="yellow"/>
              </w:rPr>
              <w:t>Що се отнася до непреките ефекти от подпомагането, трябва да се подчертае твърде високият ефект на безполезната подкрепа: (75 %) при първичните бенефициери по ОПА 2А, 80 % при вторичните бенефициери по ОПА 3А и 5Б и 50 % при вторичните бенефициери по ОПА 5В.</w:t>
            </w:r>
          </w:p>
          <w:p w:rsidR="00143584" w:rsidRDefault="00D64125">
            <w:pPr>
              <w:spacing w:after="60"/>
              <w:rPr>
                <w:rFonts w:cs="Arial"/>
                <w:color w:val="546393" w:themeColor="accent3"/>
                <w:szCs w:val="18"/>
                <w:highlight w:val="yellow"/>
              </w:rPr>
            </w:pPr>
            <w:r>
              <w:rPr>
                <w:color w:val="546393" w:themeColor="accent3"/>
                <w:highlight w:val="yellow"/>
              </w:rPr>
              <w:t xml:space="preserve">Ефектът на ливъридж, измерен като парични преводи от стопанството за други разходи, свързани с дейността (например покупка на имущество или земя, нови сгради), е определен на 13 % при първичните бенефициери по ОПА 2А.   </w:t>
            </w:r>
          </w:p>
          <w:p w:rsidR="00143584" w:rsidRDefault="00D64125">
            <w:pPr>
              <w:spacing w:after="60"/>
              <w:rPr>
                <w:rFonts w:cs="Arial"/>
                <w:i/>
                <w:color w:val="4BACC6"/>
                <w:szCs w:val="18"/>
                <w:highlight w:val="yellow"/>
              </w:rPr>
            </w:pPr>
            <w:r>
              <w:rPr>
                <w:i/>
                <w:color w:val="F7A833" w:themeColor="accent5"/>
                <w:highlight w:val="yellow"/>
              </w:rPr>
              <w:t>[Максимум 10 500 знака = приблизително 3 стр. — Задължително]</w:t>
            </w:r>
          </w:p>
        </w:tc>
      </w:tr>
    </w:tbl>
    <w:p w:rsidR="00143584" w:rsidRDefault="00D64125">
      <w:pPr>
        <w:rPr>
          <w:highlight w:val="yellow"/>
        </w:rPr>
      </w:pPr>
      <w:r>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143584">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Pr>
                <w:b/>
                <w:color w:val="ED7D31"/>
                <w:sz w:val="18"/>
                <w:highlight w:val="yellow"/>
              </w:rPr>
              <w:lastRenderedPageBreak/>
              <w:t>Заключения и препоръки</w:t>
            </w:r>
            <w:r>
              <w:rPr>
                <w:rStyle w:val="FootnoteReference"/>
                <w:highlight w:val="yellow"/>
              </w:rPr>
              <w:footnoteReference w:id="125"/>
            </w:r>
          </w:p>
          <w:p w:rsidR="00143584" w:rsidRDefault="00143584">
            <w:pPr>
              <w:spacing w:after="0"/>
              <w:rPr>
                <w:rFonts w:cs="Arial"/>
                <w:i/>
                <w:color w:val="4BACC6"/>
                <w:szCs w:val="18"/>
                <w:highlight w:val="yellow"/>
              </w:rPr>
            </w:pPr>
          </w:p>
        </w:tc>
      </w:tr>
      <w:tr w:rsidR="00143584">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rPr>
                <w:rFonts w:cs="Arial"/>
                <w:b/>
                <w:color w:val="373737" w:themeColor="background1" w:themeShade="40"/>
                <w:sz w:val="20"/>
                <w:szCs w:val="20"/>
                <w:highlight w:val="yellow"/>
              </w:rPr>
            </w:pPr>
            <w:r>
              <w:rPr>
                <w:b/>
                <w:color w:val="373737" w:themeColor="background1" w:themeShade="40"/>
                <w:sz w:val="20"/>
                <w:highlight w:val="yellow"/>
              </w:rPr>
              <w:t>Заключение</w:t>
            </w:r>
          </w:p>
          <w:p w:rsidR="00143584" w:rsidRDefault="00D64125">
            <w:pPr>
              <w:spacing w:after="0"/>
              <w:rPr>
                <w:rFonts w:cs="Arial"/>
                <w:i/>
                <w:color w:val="808080" w:themeColor="accent1" w:themeShade="80"/>
                <w:sz w:val="20"/>
                <w:szCs w:val="20"/>
                <w:highlight w:val="yellow"/>
              </w:rPr>
            </w:pPr>
            <w:r>
              <w:rPr>
                <w:i/>
                <w:color w:val="F7A833" w:themeColor="accent5"/>
                <w:sz w:val="20"/>
                <w:highlight w:val="yellow"/>
              </w:rPr>
              <w:t>[Приблизително 1 000 знака — Задължително]</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ind w:left="66"/>
              <w:rPr>
                <w:rFonts w:cs="Arial"/>
                <w:b/>
                <w:color w:val="373737" w:themeColor="background1" w:themeShade="40"/>
                <w:sz w:val="20"/>
                <w:szCs w:val="20"/>
                <w:highlight w:val="yellow"/>
              </w:rPr>
            </w:pPr>
            <w:r>
              <w:rPr>
                <w:b/>
                <w:color w:val="373737" w:themeColor="background1" w:themeShade="40"/>
                <w:sz w:val="20"/>
                <w:highlight w:val="yellow"/>
              </w:rPr>
              <w:t>Препоръка</w:t>
            </w:r>
          </w:p>
          <w:p w:rsidR="00143584" w:rsidRDefault="00D64125">
            <w:pPr>
              <w:spacing w:after="0"/>
              <w:ind w:left="66"/>
              <w:rPr>
                <w:rFonts w:cs="Arial"/>
                <w:i/>
                <w:color w:val="808080" w:themeColor="accent1" w:themeShade="80"/>
                <w:sz w:val="20"/>
                <w:szCs w:val="20"/>
                <w:highlight w:val="yellow"/>
              </w:rPr>
            </w:pPr>
            <w:r>
              <w:rPr>
                <w:i/>
                <w:color w:val="F7A833" w:themeColor="accent5"/>
                <w:sz w:val="20"/>
                <w:highlight w:val="yellow"/>
              </w:rPr>
              <w:t>[Приблизително 1 000 знака — Незадължително]</w:t>
            </w:r>
          </w:p>
        </w:tc>
      </w:tr>
      <w:tr w:rsidR="00143584">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jc w:val="left"/>
              <w:rPr>
                <w:rFonts w:cs="Arial"/>
                <w:color w:val="373737" w:themeColor="background1" w:themeShade="40"/>
                <w:sz w:val="20"/>
                <w:szCs w:val="20"/>
                <w:highlight w:val="yellow"/>
              </w:rPr>
            </w:pPr>
            <w:r>
              <w:rPr>
                <w:b/>
                <w:color w:val="373737" w:themeColor="background1" w:themeShade="40"/>
                <w:sz w:val="20"/>
                <w:highlight w:val="yellow"/>
              </w:rPr>
              <w:t>З.1</w:t>
            </w:r>
            <w:r>
              <w:rPr>
                <w:color w:val="373737" w:themeColor="background1" w:themeShade="40"/>
                <w:sz w:val="20"/>
                <w:highlight w:val="yellow"/>
              </w:rPr>
              <w:t xml:space="preserve"> </w:t>
            </w:r>
          </w:p>
          <w:p w:rsidR="00143584" w:rsidRDefault="00D64125">
            <w:pPr>
              <w:spacing w:after="0"/>
              <w:jc w:val="left"/>
              <w:rPr>
                <w:rFonts w:cs="Arial"/>
                <w:b/>
                <w:sz w:val="20"/>
                <w:szCs w:val="20"/>
                <w:highlight w:val="yellow"/>
              </w:rPr>
            </w:pPr>
            <w:r>
              <w:rPr>
                <w:color w:val="546393" w:themeColor="accent3"/>
                <w:sz w:val="20"/>
                <w:highlight w:val="yellow"/>
              </w:rPr>
              <w:t>Подпомагането е повишило икономическите резултати на стопанствата (по-голям обем на селскостопанската продукция на ГРЕ с 6 000 EUR), както и тяхната модернизация и пазарно участие, за сметка обаче на доста сериозен ефект на безполезната подкрепа.</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П.1 </w:t>
            </w:r>
          </w:p>
          <w:p w:rsidR="00143584" w:rsidRDefault="00D64125">
            <w:pPr>
              <w:spacing w:after="0"/>
              <w:ind w:left="66"/>
              <w:jc w:val="left"/>
              <w:rPr>
                <w:rFonts w:cs="Arial"/>
                <w:b/>
                <w:sz w:val="20"/>
                <w:szCs w:val="20"/>
                <w:highlight w:val="yellow"/>
              </w:rPr>
            </w:pPr>
            <w:r>
              <w:rPr>
                <w:color w:val="546393" w:themeColor="accent3"/>
                <w:sz w:val="20"/>
                <w:highlight w:val="yellow"/>
              </w:rPr>
              <w:t xml:space="preserve">Ефектът на безполезната подкрепа би намалял, а общите ползи биха се увеличили, ако дадената инвестиционна подкрепа се насочи към финансово по-зависими, например по-малки земеделски стопанства. Инвестиционното подпомагане трябва да е по-достъпно така също за нови участници в селското стопанство, особено млади земеделски стопани, тъй като техните нужди от инвестиции са подценени и засенчени от съществуващите стопанства. </w:t>
            </w:r>
          </w:p>
        </w:tc>
      </w:tr>
      <w:tr w:rsidR="00143584">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jc w:val="left"/>
              <w:rPr>
                <w:rFonts w:cs="Arial"/>
                <w:color w:val="1F4E79"/>
                <w:sz w:val="20"/>
                <w:szCs w:val="20"/>
                <w:highlight w:val="yellow"/>
              </w:rPr>
            </w:pPr>
            <w:r>
              <w:rPr>
                <w:b/>
                <w:color w:val="373737" w:themeColor="background1" w:themeShade="40"/>
                <w:sz w:val="20"/>
                <w:highlight w:val="yellow"/>
              </w:rPr>
              <w:t>З.2</w:t>
            </w:r>
            <w:r>
              <w:rPr>
                <w:color w:val="1F4E79"/>
                <w:sz w:val="20"/>
                <w:highlight w:val="yellow"/>
              </w:rPr>
              <w:t xml:space="preserve"> </w:t>
            </w:r>
          </w:p>
          <w:p w:rsidR="00143584" w:rsidRDefault="00D64125">
            <w:pPr>
              <w:spacing w:after="0"/>
              <w:jc w:val="left"/>
              <w:rPr>
                <w:rFonts w:cs="Arial"/>
                <w:b/>
                <w:sz w:val="20"/>
                <w:szCs w:val="20"/>
                <w:highlight w:val="yellow"/>
              </w:rPr>
            </w:pPr>
            <w:r>
              <w:rPr>
                <w:color w:val="546393" w:themeColor="accent3"/>
                <w:sz w:val="20"/>
                <w:highlight w:val="yellow"/>
              </w:rPr>
              <w:t>Подпомагането е било достъпно за доста ограничен брой стопанства (14,7 %) и има само ограничено въздействие върху целия сектор и силно желаното разнообразяване на дейностите.</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ind w:left="66"/>
              <w:jc w:val="left"/>
              <w:rPr>
                <w:rFonts w:cs="Arial"/>
                <w:color w:val="373737" w:themeColor="background1" w:themeShade="40"/>
                <w:sz w:val="20"/>
                <w:szCs w:val="20"/>
                <w:highlight w:val="yellow"/>
              </w:rPr>
            </w:pPr>
            <w:r>
              <w:rPr>
                <w:b/>
                <w:color w:val="373737" w:themeColor="background1" w:themeShade="40"/>
                <w:sz w:val="20"/>
                <w:highlight w:val="yellow"/>
              </w:rPr>
              <w:t>П.2</w:t>
            </w:r>
            <w:r>
              <w:rPr>
                <w:color w:val="373737" w:themeColor="background1" w:themeShade="40"/>
                <w:sz w:val="20"/>
                <w:highlight w:val="yellow"/>
              </w:rPr>
              <w:t xml:space="preserve"> </w:t>
            </w:r>
          </w:p>
          <w:p w:rsidR="00143584" w:rsidRDefault="00D64125">
            <w:pPr>
              <w:spacing w:after="0"/>
              <w:ind w:left="66"/>
              <w:jc w:val="left"/>
              <w:rPr>
                <w:rFonts w:cs="Arial"/>
                <w:color w:val="1F4E79"/>
                <w:sz w:val="20"/>
                <w:szCs w:val="20"/>
                <w:highlight w:val="yellow"/>
              </w:rPr>
            </w:pPr>
            <w:r>
              <w:rPr>
                <w:color w:val="546393" w:themeColor="accent3"/>
                <w:sz w:val="20"/>
                <w:highlight w:val="yellow"/>
              </w:rPr>
              <w:t xml:space="preserve">За разнообразяването може да способстват по-доброто насочване на подпомагането към по-малките стопанства или по-ограниченият размер на подпомагането за големите стопанства. Това може да се постигне, като се коригират критериите за подбор на проекти по инвестиционните мерки, така чез в по-голяма степен да се подпомага разнообразяването в селското стопанство (например да се отдава предпочитание на стопанствата, които прозрачно излагат своите планове за разнообразяване на селскостопанското производство). По-голямо значение трябва да придобият ефектите на адаптиране на капацитета, които оказва инвестиционното подпомагане. </w:t>
            </w:r>
          </w:p>
        </w:tc>
      </w:tr>
      <w:tr w:rsidR="00143584">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jc w:val="left"/>
              <w:rPr>
                <w:rFonts w:cs="Arial"/>
                <w:b/>
                <w:sz w:val="20"/>
                <w:szCs w:val="20"/>
                <w:highlight w:val="yellow"/>
              </w:rPr>
            </w:pPr>
            <w:r>
              <w:rPr>
                <w:b/>
                <w:color w:val="373737" w:themeColor="background1" w:themeShade="40"/>
                <w:sz w:val="20"/>
                <w:highlight w:val="yellow"/>
              </w:rPr>
              <w:t>З.3</w:t>
            </w:r>
            <w:r>
              <w:rPr>
                <w:b/>
                <w:sz w:val="20"/>
                <w:highlight w:val="yellow"/>
              </w:rPr>
              <w:t xml:space="preserve"> </w:t>
            </w:r>
          </w:p>
          <w:p w:rsidR="00143584" w:rsidRDefault="00D64125">
            <w:pPr>
              <w:spacing w:after="0"/>
              <w:jc w:val="left"/>
              <w:rPr>
                <w:rFonts w:cs="Arial"/>
                <w:color w:val="1F4E79"/>
                <w:sz w:val="20"/>
                <w:szCs w:val="20"/>
                <w:highlight w:val="yellow"/>
              </w:rPr>
            </w:pPr>
            <w:r>
              <w:rPr>
                <w:color w:val="546393" w:themeColor="accent3"/>
                <w:sz w:val="20"/>
                <w:highlight w:val="yellow"/>
              </w:rPr>
              <w:t xml:space="preserve">След инвестиционното подпомагане стопанствата средно са повишили своята производителност, което е една от целите на ПРСР. Фирмите с по-висока производителност обикновено произвеждат по-голям обем продукция, която се предлага на пазара и се използва като суровина за други сектори и генерира добавена стойност. И обратното — установено беше, че при няколко бенефициери продажбите и обемът на продукцията са намалели след инвестиционното подпомагане.  </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П.3 </w:t>
            </w:r>
          </w:p>
          <w:p w:rsidR="00143584" w:rsidRDefault="00D64125">
            <w:pPr>
              <w:spacing w:after="0"/>
              <w:ind w:left="66"/>
              <w:jc w:val="left"/>
              <w:rPr>
                <w:rFonts w:cs="Arial"/>
                <w:b/>
                <w:sz w:val="20"/>
                <w:szCs w:val="20"/>
                <w:highlight w:val="yellow"/>
              </w:rPr>
            </w:pPr>
            <w:r>
              <w:rPr>
                <w:color w:val="546393" w:themeColor="accent3"/>
                <w:sz w:val="20"/>
                <w:highlight w:val="yellow"/>
              </w:rPr>
              <w:t>Трябва да се обърне по-голямо внимание върху разработването на нови продукти, иновациите и ефектите на адаптиране на капацитета на потенциалните бенефициери, когато се определят насоките на инвестиционното подпомагане. Интегрирането на тези групи трябва да бъде отразено в критериите за подбор на проекти.</w:t>
            </w:r>
          </w:p>
        </w:tc>
      </w:tr>
      <w:tr w:rsidR="00143584">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rPr>
                <w:rFonts w:cs="Arial"/>
                <w:b/>
                <w:sz w:val="20"/>
                <w:szCs w:val="20"/>
                <w:highlight w:val="yellow"/>
              </w:rPr>
            </w:pPr>
            <w:r>
              <w:rPr>
                <w:b/>
                <w:color w:val="373737" w:themeColor="background1" w:themeShade="40"/>
                <w:sz w:val="20"/>
                <w:highlight w:val="yellow"/>
              </w:rPr>
              <w:t>З.4</w:t>
            </w:r>
            <w:r>
              <w:rPr>
                <w:b/>
                <w:sz w:val="20"/>
                <w:highlight w:val="yellow"/>
              </w:rPr>
              <w:t xml:space="preserve"> </w:t>
            </w:r>
          </w:p>
          <w:p w:rsidR="00143584" w:rsidRDefault="00D64125">
            <w:pPr>
              <w:spacing w:after="0"/>
              <w:jc w:val="left"/>
              <w:rPr>
                <w:rFonts w:cs="Arial"/>
                <w:b/>
                <w:sz w:val="20"/>
                <w:szCs w:val="20"/>
                <w:highlight w:val="yellow"/>
              </w:rPr>
            </w:pPr>
            <w:r>
              <w:rPr>
                <w:color w:val="546393" w:themeColor="accent3"/>
                <w:sz w:val="20"/>
                <w:highlight w:val="yellow"/>
              </w:rPr>
              <w:t xml:space="preserve">Подпомагането допринесе за отрицателната практика в много земеделски стопанства да се отлагат или дори да се отменят собствените инвестиции в очакване на евентуалните мерки за подпомагане, </w:t>
            </w:r>
            <w:r>
              <w:rPr>
                <w:color w:val="546393" w:themeColor="accent3"/>
                <w:sz w:val="20"/>
                <w:highlight w:val="yellow"/>
              </w:rPr>
              <w:lastRenderedPageBreak/>
              <w:t>независимо от реалните нужди, оптималния момент за нови продукти (например във връзка със скорошни пазарни промени).</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ind w:left="66"/>
              <w:rPr>
                <w:rFonts w:cs="Arial"/>
                <w:b/>
                <w:sz w:val="20"/>
                <w:szCs w:val="20"/>
                <w:highlight w:val="yellow"/>
              </w:rPr>
            </w:pPr>
            <w:r>
              <w:rPr>
                <w:b/>
                <w:color w:val="373737" w:themeColor="background1" w:themeShade="40"/>
                <w:sz w:val="20"/>
                <w:highlight w:val="yellow"/>
              </w:rPr>
              <w:lastRenderedPageBreak/>
              <w:t>П.4</w:t>
            </w:r>
            <w:r>
              <w:rPr>
                <w:b/>
                <w:sz w:val="20"/>
                <w:highlight w:val="yellow"/>
              </w:rPr>
              <w:t xml:space="preserve"> </w:t>
            </w:r>
          </w:p>
          <w:p w:rsidR="00143584" w:rsidRDefault="00D64125">
            <w:pPr>
              <w:spacing w:after="0"/>
              <w:ind w:left="66"/>
              <w:jc w:val="left"/>
              <w:rPr>
                <w:rFonts w:cs="Arial"/>
                <w:color w:val="546393" w:themeColor="accent3"/>
                <w:sz w:val="20"/>
                <w:szCs w:val="20"/>
                <w:highlight w:val="yellow"/>
              </w:rPr>
            </w:pPr>
            <w:r>
              <w:rPr>
                <w:color w:val="546393" w:themeColor="accent3"/>
                <w:sz w:val="20"/>
                <w:highlight w:val="yellow"/>
              </w:rPr>
              <w:t xml:space="preserve">По-добро проектиране на мерките/програмите, за да се избегнат ненужни интервенции, особено такива, които увеличават имуществото на стопанството, без да се повишава цялостната му </w:t>
            </w:r>
            <w:r>
              <w:rPr>
                <w:color w:val="546393" w:themeColor="accent3"/>
                <w:sz w:val="20"/>
                <w:highlight w:val="yellow"/>
              </w:rPr>
              <w:lastRenderedPageBreak/>
              <w:t>ефективност, със сериозен ефект на безполезната подкрепа или без ясен пазарен потенциал.</w:t>
            </w:r>
          </w:p>
          <w:p w:rsidR="00143584" w:rsidRDefault="00D64125">
            <w:pPr>
              <w:spacing w:after="0"/>
              <w:ind w:left="66"/>
              <w:jc w:val="left"/>
              <w:rPr>
                <w:rFonts w:cs="Arial"/>
                <w:b/>
                <w:sz w:val="20"/>
                <w:szCs w:val="20"/>
              </w:rPr>
            </w:pPr>
            <w:r>
              <w:rPr>
                <w:color w:val="546393" w:themeColor="accent3"/>
                <w:sz w:val="20"/>
                <w:highlight w:val="yellow"/>
              </w:rPr>
              <w:t>Да се повиши ефективността при разпределянето на средствата към действителните целеви групи (например повторна проверка на подпомаганите стопанства).</w:t>
            </w:r>
          </w:p>
        </w:tc>
      </w:tr>
    </w:tbl>
    <w:p w:rsidR="00143584" w:rsidRDefault="00D64125">
      <w:pPr>
        <w:spacing w:before="0" w:after="0" w:line="240" w:lineRule="auto"/>
        <w:jc w:val="left"/>
        <w:rPr>
          <w:rFonts w:cs="Arial"/>
          <w:b/>
          <w:color w:val="404040" w:themeColor="text2" w:themeTint="BF"/>
          <w:sz w:val="16"/>
          <w:szCs w:val="20"/>
        </w:rPr>
      </w:pPr>
      <w:r>
        <w:lastRenderedPageBreak/>
        <w:br w:type="page"/>
      </w:r>
    </w:p>
    <w:p w:rsidR="00143584" w:rsidRDefault="00D64125">
      <w:pPr>
        <w:pStyle w:val="HHeadingtables"/>
        <w:rPr>
          <w:rFonts w:cs="Arial"/>
        </w:rPr>
      </w:pPr>
      <w:bookmarkStart w:id="135" w:name="_Toc474937841"/>
      <w:r>
        <w:lastRenderedPageBreak/>
        <w:t>SFC template for point 7 concerning programme specific evaluation question linked programme specific   focus area (empty example)</w:t>
      </w:r>
      <w:bookmarkEnd w:id="135"/>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143584">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H-Heading2"/>
              <w:spacing w:line="240" w:lineRule="auto"/>
              <w:ind w:left="0" w:firstLine="0"/>
              <w:rPr>
                <w:rFonts w:ascii="Arial" w:hAnsi="Arial" w:cs="Arial"/>
                <w:color w:val="F07E31"/>
                <w:sz w:val="18"/>
                <w:szCs w:val="18"/>
              </w:rPr>
            </w:pPr>
            <w:r>
              <w:rPr>
                <w:rFonts w:ascii="Arial" w:hAnsi="Arial"/>
                <w:color w:val="F07E31"/>
                <w:sz w:val="18"/>
              </w:rPr>
              <w:t>Programme specific focus area (PSEQ)</w:t>
            </w:r>
            <w:r>
              <w:rPr>
                <w:rStyle w:val="FootnoteReference"/>
              </w:rPr>
              <w:footnoteReference w:id="126"/>
            </w:r>
            <w:r>
              <w:t>:</w:t>
            </w:r>
          </w:p>
          <w:p w:rsidR="00143584" w:rsidRDefault="00D64125">
            <w:pPr>
              <w:pStyle w:val="H-Heading2"/>
              <w:spacing w:line="240" w:lineRule="auto"/>
              <w:ind w:left="0" w:firstLine="0"/>
              <w:rPr>
                <w:rFonts w:ascii="Arial" w:hAnsi="Arial" w:cs="Arial"/>
                <w:sz w:val="18"/>
                <w:szCs w:val="18"/>
              </w:rPr>
            </w:pPr>
            <w:r>
              <w:rPr>
                <w:rFonts w:ascii="Arial" w:hAnsi="Arial"/>
                <w:color w:val="F07E31"/>
                <w:sz w:val="18"/>
              </w:rPr>
              <w:t>Programme specific EVALUATION QUESTION No</w:t>
            </w:r>
            <w:r>
              <w:rPr>
                <w:rStyle w:val="FootnoteReference"/>
              </w:rPr>
              <w:footnoteReference w:id="127"/>
            </w:r>
            <w:r>
              <w:t>:</w:t>
            </w:r>
          </w:p>
        </w:tc>
      </w:tr>
      <w:tr w:rsidR="00143584">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rPr>
            </w:pPr>
            <w:r>
              <w:rPr>
                <w:rFonts w:ascii="Arial" w:hAnsi="Arial"/>
                <w:b/>
                <w:color w:val="F07E31"/>
                <w:sz w:val="18"/>
              </w:rPr>
              <w:t>Rational for programme specific focus area</w:t>
            </w:r>
            <w:r>
              <w:rPr>
                <w:rStyle w:val="FootnoteReference"/>
              </w:rPr>
              <w:footnoteReference w:id="128"/>
            </w:r>
          </w:p>
          <w:p w:rsidR="00143584" w:rsidRDefault="00143584">
            <w:pPr>
              <w:spacing w:after="0"/>
              <w:rPr>
                <w:rFonts w:cs="Arial"/>
                <w:i/>
                <w:color w:val="546393" w:themeColor="accent3"/>
                <w:szCs w:val="18"/>
              </w:rPr>
            </w:pPr>
          </w:p>
          <w:p w:rsidR="00143584" w:rsidRDefault="00D64125">
            <w:pPr>
              <w:spacing w:after="0"/>
              <w:rPr>
                <w:rFonts w:cs="Arial"/>
                <w:i/>
                <w:color w:val="F7A833" w:themeColor="accent5"/>
                <w:szCs w:val="18"/>
              </w:rPr>
            </w:pPr>
            <w:r>
              <w:rPr>
                <w:i/>
                <w:color w:val="F7A833" w:themeColor="accent5"/>
              </w:rPr>
              <w:t>[A maximum of 1,000 characters = approx. ¼ page – Mandatory]</w:t>
            </w:r>
          </w:p>
          <w:p w:rsidR="00143584" w:rsidRDefault="00143584">
            <w:pPr>
              <w:spacing w:after="0"/>
              <w:rPr>
                <w:rFonts w:cs="Arial"/>
                <w:i/>
                <w:color w:val="4BACC6"/>
                <w:szCs w:val="18"/>
              </w:rPr>
            </w:pPr>
          </w:p>
        </w:tc>
      </w:tr>
      <w:tr w:rsidR="00143584">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rPr>
            </w:pPr>
            <w:r>
              <w:rPr>
                <w:rFonts w:ascii="Arial" w:hAnsi="Arial"/>
                <w:b/>
                <w:color w:val="ED7D31"/>
                <w:sz w:val="18"/>
              </w:rPr>
              <w:t xml:space="preserve">List of measures contributing to the programme specific FA </w:t>
            </w:r>
          </w:p>
          <w:p w:rsidR="00143584" w:rsidRDefault="00143584">
            <w:pPr>
              <w:spacing w:after="0"/>
              <w:rPr>
                <w:rFonts w:cs="Arial"/>
                <w:b/>
                <w:szCs w:val="18"/>
              </w:rPr>
            </w:pPr>
          </w:p>
          <w:p w:rsidR="00143584" w:rsidRDefault="00D64125">
            <w:pPr>
              <w:spacing w:after="0"/>
              <w:rPr>
                <w:rFonts w:cs="Arial"/>
                <w:b/>
                <w:color w:val="373737" w:themeColor="background1" w:themeShade="40"/>
                <w:szCs w:val="18"/>
              </w:rPr>
            </w:pPr>
            <w:r>
              <w:rPr>
                <w:b/>
                <w:color w:val="373737" w:themeColor="background1" w:themeShade="40"/>
              </w:rPr>
              <w:t xml:space="preserve">Programmed measures/sub-measures: </w:t>
            </w:r>
          </w:p>
          <w:p w:rsidR="00143584" w:rsidRDefault="00143584">
            <w:pPr>
              <w:spacing w:after="0"/>
              <w:rPr>
                <w:rFonts w:cs="Arial"/>
                <w:b/>
                <w:color w:val="373737" w:themeColor="background1" w:themeShade="40"/>
                <w:szCs w:val="18"/>
              </w:rPr>
            </w:pPr>
          </w:p>
          <w:p w:rsidR="00143584" w:rsidRDefault="00D64125">
            <w:pPr>
              <w:spacing w:after="0"/>
              <w:rPr>
                <w:rFonts w:cs="Arial"/>
                <w:b/>
                <w:color w:val="373737" w:themeColor="background1" w:themeShade="40"/>
                <w:szCs w:val="18"/>
              </w:rPr>
            </w:pPr>
            <w:r>
              <w:rPr>
                <w:b/>
                <w:color w:val="373737" w:themeColor="background1" w:themeShade="40"/>
              </w:rPr>
              <w:t>Measures/sub-measures programmed under the other FAs (common and programme specific) which show secondary contributions to programme specific FA</w:t>
            </w:r>
            <w:r>
              <w:rPr>
                <w:rStyle w:val="FootnoteReference"/>
              </w:rPr>
              <w:footnoteReference w:id="129"/>
            </w:r>
            <w:r>
              <w:rPr>
                <w:b/>
                <w:color w:val="373737" w:themeColor="background1" w:themeShade="40"/>
              </w:rPr>
              <w:t xml:space="preserve">: </w:t>
            </w:r>
          </w:p>
          <w:p w:rsidR="00143584" w:rsidRDefault="00143584">
            <w:pPr>
              <w:spacing w:after="0"/>
              <w:rPr>
                <w:rFonts w:cs="Arial"/>
                <w:b/>
                <w:color w:val="373737" w:themeColor="background1" w:themeShade="40"/>
                <w:szCs w:val="18"/>
              </w:rPr>
            </w:pPr>
          </w:p>
          <w:p w:rsidR="00143584" w:rsidRDefault="00D64125">
            <w:pPr>
              <w:spacing w:after="0"/>
              <w:rPr>
                <w:rFonts w:cs="Arial"/>
                <w:i/>
                <w:color w:val="F7A833" w:themeColor="accent5"/>
                <w:szCs w:val="18"/>
              </w:rPr>
            </w:pPr>
            <w:r>
              <w:rPr>
                <w:i/>
                <w:color w:val="F7A833" w:themeColor="accent5"/>
              </w:rPr>
              <w:t>[A maximum of 1,000 characters = approx. ¼ page – Mandatory]</w:t>
            </w:r>
          </w:p>
          <w:p w:rsidR="00143584" w:rsidRDefault="00143584">
            <w:pPr>
              <w:spacing w:after="0"/>
              <w:rPr>
                <w:rFonts w:cs="Arial"/>
                <w:i/>
                <w:color w:val="4BACC6"/>
                <w:szCs w:val="18"/>
              </w:rPr>
            </w:pPr>
          </w:p>
        </w:tc>
      </w:tr>
      <w:tr w:rsidR="00143584">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35"/>
              </w:numPr>
              <w:suppressAutoHyphens/>
              <w:autoSpaceDN w:val="0"/>
              <w:spacing w:after="0" w:line="240" w:lineRule="auto"/>
              <w:textAlignment w:val="baseline"/>
              <w:outlineLvl w:val="9"/>
              <w:rPr>
                <w:rFonts w:ascii="Arial" w:hAnsi="Arial" w:cs="Arial"/>
                <w:b/>
                <w:sz w:val="18"/>
                <w:szCs w:val="18"/>
              </w:rPr>
            </w:pPr>
            <w:r>
              <w:rPr>
                <w:rFonts w:ascii="Arial" w:hAnsi="Arial"/>
                <w:b/>
                <w:color w:val="ED7D31"/>
                <w:sz w:val="18"/>
              </w:rPr>
              <w:t>Link between judgment criteria and common and /or programme specific result indicators</w:t>
            </w:r>
            <w:r>
              <w:rPr>
                <w:rStyle w:val="FootnoteReference"/>
              </w:rPr>
              <w:footnoteReference w:id="130"/>
            </w:r>
            <w:r>
              <w:rPr>
                <w:rFonts w:ascii="Arial" w:hAnsi="Arial"/>
                <w:b/>
                <w:color w:val="ED7D31"/>
                <w:sz w:val="18"/>
              </w:rPr>
              <w:t xml:space="preserve"> used to answer the PSEQ</w:t>
            </w:r>
          </w:p>
          <w:p w:rsidR="00143584" w:rsidRDefault="00143584">
            <w:pPr>
              <w:spacing w:after="0"/>
              <w:rPr>
                <w:rFonts w:cs="Arial"/>
                <w:i/>
                <w:color w:val="F7A833" w:themeColor="accent5"/>
                <w:szCs w:val="18"/>
              </w:rPr>
            </w:pPr>
          </w:p>
          <w:p w:rsidR="00143584" w:rsidRDefault="00D64125">
            <w:pPr>
              <w:spacing w:after="0"/>
              <w:rPr>
                <w:rFonts w:cs="Arial"/>
                <w:i/>
                <w:color w:val="4BACC6"/>
                <w:szCs w:val="18"/>
              </w:rPr>
            </w:pPr>
            <w:r>
              <w:rPr>
                <w:i/>
                <w:color w:val="F7A833" w:themeColor="accent5"/>
              </w:rPr>
              <w:t>[Mandatory]</w:t>
            </w:r>
          </w:p>
        </w:tc>
      </w:tr>
      <w:tr w:rsidR="00143584">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pStyle w:val="ListParagraph"/>
              <w:tabs>
                <w:tab w:val="clear" w:pos="709"/>
              </w:tabs>
              <w:ind w:left="10" w:firstLine="0"/>
              <w:jc w:val="center"/>
              <w:rPr>
                <w:rFonts w:ascii="Arial" w:hAnsi="Arial" w:cs="Arial"/>
                <w:b/>
                <w:sz w:val="18"/>
                <w:szCs w:val="18"/>
              </w:rPr>
            </w:pPr>
            <w:r>
              <w:rPr>
                <w:rFonts w:ascii="Arial" w:hAnsi="Arial"/>
                <w:b/>
                <w:color w:val="373737" w:themeColor="background1" w:themeShade="40"/>
                <w:sz w:val="18"/>
              </w:rPr>
              <w:t xml:space="preserve">Programme specific judgment criteria </w:t>
            </w:r>
            <w:r>
              <w:rPr>
                <w:rStyle w:val="FootnoteReference"/>
              </w:rPr>
              <w:footnoteReference w:id="131"/>
            </w:r>
          </w:p>
          <w:p w:rsidR="00143584" w:rsidRDefault="00D64125">
            <w:pPr>
              <w:pStyle w:val="ListParagraph"/>
              <w:ind w:left="0" w:firstLine="10"/>
              <w:jc w:val="center"/>
              <w:rPr>
                <w:rFonts w:ascii="Arial" w:hAnsi="Arial" w:cs="Arial"/>
                <w:i/>
                <w:sz w:val="18"/>
                <w:szCs w:val="18"/>
              </w:rPr>
            </w:pPr>
            <w:r>
              <w:rPr>
                <w:rFonts w:ascii="Arial" w:hAnsi="Arial"/>
                <w:i/>
                <w:color w:val="F7A833" w:themeColor="accent5"/>
                <w:sz w:val="18"/>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pStyle w:val="ListParagraph"/>
              <w:jc w:val="center"/>
              <w:rPr>
                <w:rFonts w:ascii="Arial" w:hAnsi="Arial" w:cs="Arial"/>
                <w:sz w:val="18"/>
                <w:szCs w:val="18"/>
              </w:rPr>
            </w:pPr>
            <w:r>
              <w:rPr>
                <w:rFonts w:ascii="Arial" w:hAnsi="Arial"/>
                <w:b/>
                <w:color w:val="373737" w:themeColor="background1" w:themeShade="40"/>
                <w:sz w:val="18"/>
              </w:rPr>
              <w:t>Common result indicators</w:t>
            </w:r>
            <w:r>
              <w:rPr>
                <w:rStyle w:val="FootnoteReference"/>
              </w:rPr>
              <w:footnoteReference w:id="132"/>
            </w:r>
          </w:p>
          <w:p w:rsidR="00143584" w:rsidRDefault="00D64125">
            <w:pPr>
              <w:pStyle w:val="ListParagraph"/>
              <w:ind w:left="0" w:firstLine="23"/>
              <w:jc w:val="center"/>
              <w:rPr>
                <w:rFonts w:ascii="Arial" w:hAnsi="Arial" w:cs="Arial"/>
                <w:i/>
                <w:sz w:val="18"/>
                <w:szCs w:val="18"/>
              </w:rPr>
            </w:pPr>
            <w:r>
              <w:rPr>
                <w:rFonts w:ascii="Arial" w:hAnsi="Arial"/>
                <w:i/>
                <w:color w:val="F7A833" w:themeColor="accent5"/>
                <w:sz w:val="18"/>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tabs>
                <w:tab w:val="clear" w:pos="709"/>
              </w:tabs>
              <w:ind w:left="36" w:hanging="1"/>
              <w:jc w:val="center"/>
              <w:rPr>
                <w:rFonts w:ascii="Arial" w:hAnsi="Arial" w:cs="Arial"/>
                <w:b/>
                <w:sz w:val="18"/>
                <w:szCs w:val="18"/>
              </w:rPr>
            </w:pPr>
            <w:r>
              <w:rPr>
                <w:rFonts w:ascii="Arial" w:hAnsi="Arial"/>
                <w:b/>
                <w:color w:val="373737" w:themeColor="background1" w:themeShade="40"/>
                <w:sz w:val="18"/>
              </w:rPr>
              <w:t>Programme specific result indicators</w:t>
            </w:r>
            <w:r>
              <w:rPr>
                <w:rStyle w:val="FootnoteReference"/>
              </w:rPr>
              <w:footnoteReference w:id="133"/>
            </w:r>
          </w:p>
          <w:p w:rsidR="00143584" w:rsidRDefault="00D64125">
            <w:pPr>
              <w:pStyle w:val="ListParagraph"/>
              <w:ind w:left="0" w:firstLine="0"/>
              <w:jc w:val="center"/>
              <w:rPr>
                <w:rFonts w:ascii="Arial" w:hAnsi="Arial" w:cs="Arial"/>
                <w:i/>
                <w:sz w:val="18"/>
                <w:szCs w:val="18"/>
              </w:rPr>
            </w:pPr>
            <w:r>
              <w:rPr>
                <w:rStyle w:val="EndnoteReference"/>
                <w:rFonts w:ascii="Arial" w:hAnsi="Arial"/>
                <w:b/>
                <w:sz w:val="18"/>
              </w:rPr>
              <w:t xml:space="preserve"> </w:t>
            </w:r>
            <w:r>
              <w:rPr>
                <w:rFonts w:ascii="Arial" w:hAnsi="Arial"/>
                <w:i/>
                <w:color w:val="F7A833" w:themeColor="accent5"/>
                <w:sz w:val="18"/>
              </w:rPr>
              <w:t>[Max. 255 characters]</w:t>
            </w:r>
          </w:p>
        </w:tc>
      </w:tr>
      <w:tr w:rsidR="00143584">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143584">
            <w:pPr>
              <w:pStyle w:val="ListParagraph"/>
              <w:rPr>
                <w:rFonts w:ascii="Arial" w:hAnsi="Arial" w:cs="Arial"/>
                <w:b/>
                <w:sz w:val="18"/>
                <w:szCs w:val="18"/>
              </w:rPr>
            </w:pPr>
          </w:p>
        </w:tc>
      </w:tr>
      <w:tr w:rsidR="00143584">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143584">
            <w:pPr>
              <w:pStyle w:val="ListParagraph"/>
              <w:rPr>
                <w:rFonts w:ascii="Arial" w:hAnsi="Arial" w:cs="Arial"/>
                <w:b/>
                <w:sz w:val="18"/>
                <w:szCs w:val="18"/>
              </w:rPr>
            </w:pPr>
          </w:p>
        </w:tc>
      </w:tr>
      <w:tr w:rsidR="00143584">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pStyle w:val="ListParagraph"/>
              <w:rPr>
                <w:rFonts w:ascii="Arial" w:hAnsi="Arial" w:cs="Arial"/>
                <w:b/>
                <w:sz w:val="18"/>
                <w:szCs w:val="18"/>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pStyle w:val="ListParagraph"/>
              <w:rPr>
                <w:rFonts w:ascii="Arial" w:hAnsi="Arial" w:cs="Arial"/>
                <w:b/>
                <w:sz w:val="18"/>
                <w:szCs w:val="18"/>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143584">
            <w:pPr>
              <w:pStyle w:val="ListParagraph"/>
              <w:rPr>
                <w:rFonts w:ascii="Arial" w:hAnsi="Arial" w:cs="Arial"/>
                <w:b/>
                <w:sz w:val="18"/>
                <w:szCs w:val="18"/>
              </w:rPr>
            </w:pPr>
          </w:p>
        </w:tc>
      </w:tr>
      <w:tr w:rsidR="00143584">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tabs>
                <w:tab w:val="clear" w:pos="709"/>
                <w:tab w:val="left" w:pos="731"/>
              </w:tabs>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ind w:left="41"/>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143584">
            <w:pPr>
              <w:pStyle w:val="ListParagraph"/>
              <w:ind w:left="77"/>
              <w:rPr>
                <w:rFonts w:ascii="Arial" w:hAnsi="Arial" w:cs="Arial"/>
                <w:b/>
                <w:sz w:val="18"/>
                <w:szCs w:val="18"/>
              </w:rPr>
            </w:pPr>
          </w:p>
        </w:tc>
      </w:tr>
    </w:tbl>
    <w:p w:rsidR="00143584" w:rsidRDefault="00D64125">
      <w: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143584">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Pr>
                <w:rFonts w:ascii="Arial" w:hAnsi="Arial"/>
                <w:b/>
                <w:color w:val="F07E31" w:themeColor="background2"/>
                <w:sz w:val="18"/>
              </w:rPr>
              <w:lastRenderedPageBreak/>
              <w:t>Methods applied</w:t>
            </w:r>
            <w:r>
              <w:rPr>
                <w:rStyle w:val="FootnoteReference"/>
              </w:rPr>
              <w:footnoteReference w:id="134"/>
            </w:r>
          </w:p>
          <w:p w:rsidR="00143584" w:rsidRDefault="00143584">
            <w:pPr>
              <w:spacing w:after="0"/>
              <w:rPr>
                <w:rFonts w:cs="Arial"/>
                <w:b/>
                <w:color w:val="373737" w:themeColor="background1" w:themeShade="40"/>
                <w:szCs w:val="18"/>
              </w:rPr>
            </w:pPr>
          </w:p>
          <w:p w:rsidR="00143584" w:rsidRDefault="00D64125">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Quantitative methods</w:t>
            </w:r>
            <w:r>
              <w:rPr>
                <w:rStyle w:val="FootnoteReference"/>
              </w:rPr>
              <w:footnoteReference w:id="135"/>
            </w:r>
            <w:r>
              <w:rPr>
                <w:rFonts w:ascii="Arial" w:hAnsi="Arial"/>
                <w:b/>
                <w:color w:val="373737" w:themeColor="background1" w:themeShade="40"/>
                <w:sz w:val="18"/>
              </w:rPr>
              <w:t xml:space="preserve">: </w:t>
            </w:r>
          </w:p>
          <w:p w:rsidR="00143584" w:rsidRDefault="00D64125">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 xml:space="preserve">Reasons for using the method  </w:t>
            </w:r>
          </w:p>
          <w:p w:rsidR="00143584" w:rsidRDefault="00D64125">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to calculate ratios, gross or net (if</w:t>
            </w:r>
            <w:r>
              <w:rPr>
                <w:rFonts w:ascii="Arial" w:hAnsi="Arial"/>
                <w:b/>
                <w:color w:val="373737" w:themeColor="background1" w:themeShade="40"/>
                <w:sz w:val="18"/>
              </w:rPr>
              <w:t xml:space="preserve"> </w:t>
            </w:r>
            <w:r>
              <w:rPr>
                <w:rFonts w:ascii="Arial" w:hAnsi="Arial"/>
                <w:color w:val="373737" w:themeColor="background1" w:themeShade="40"/>
                <w:sz w:val="18"/>
              </w:rPr>
              <w:t>applicable) values of common and programme specific indicators</w:t>
            </w:r>
            <w:r>
              <w:rPr>
                <w:rStyle w:val="FootnoteReference"/>
              </w:rPr>
              <w:footnoteReference w:id="136"/>
            </w:r>
          </w:p>
          <w:p w:rsidR="00143584" w:rsidRDefault="00D64125">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143584" w:rsidRDefault="00D64125">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 xml:space="preserve">Qualitative methods:  </w:t>
            </w:r>
          </w:p>
          <w:p w:rsidR="00143584" w:rsidRDefault="00D64125">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Reasons for using the method</w:t>
            </w:r>
            <w:r>
              <w:rPr>
                <w:rStyle w:val="FootnoteReference"/>
              </w:rPr>
              <w:footnoteReference w:id="137"/>
            </w:r>
          </w:p>
          <w:p w:rsidR="00143584" w:rsidRDefault="00D64125">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used</w:t>
            </w:r>
            <w:r>
              <w:rPr>
                <w:rStyle w:val="FootnoteReference"/>
              </w:rPr>
              <w:footnoteReference w:id="138"/>
            </w:r>
          </w:p>
          <w:p w:rsidR="00143584" w:rsidRDefault="00D64125">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143584" w:rsidRDefault="00D64125">
            <w:pPr>
              <w:spacing w:after="0"/>
              <w:rPr>
                <w:rFonts w:cs="Arial"/>
                <w:color w:val="373737" w:themeColor="background1" w:themeShade="40"/>
                <w:szCs w:val="18"/>
              </w:rPr>
            </w:pPr>
            <w:r>
              <w:rPr>
                <w:i/>
                <w:color w:val="F7A833" w:themeColor="accent5"/>
              </w:rPr>
              <w:t>[A maximum of 7,000 characters = approx. 2 pages – Mandatory]</w:t>
            </w:r>
          </w:p>
        </w:tc>
      </w:tr>
      <w:tr w:rsidR="00143584">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35"/>
              </w:numPr>
              <w:suppressAutoHyphens/>
              <w:autoSpaceDN w:val="0"/>
              <w:spacing w:after="0"/>
              <w:textAlignment w:val="baseline"/>
              <w:rPr>
                <w:rFonts w:ascii="Arial" w:hAnsi="Arial" w:cs="Arial"/>
                <w:b/>
                <w:sz w:val="18"/>
                <w:szCs w:val="18"/>
              </w:rPr>
            </w:pPr>
            <w:r>
              <w:rPr>
                <w:rFonts w:ascii="Arial" w:hAnsi="Arial"/>
                <w:b/>
                <w:color w:val="ED7D31"/>
                <w:sz w:val="18"/>
              </w:rPr>
              <w:t>Quantitative values of indicators</w:t>
            </w:r>
            <w:r>
              <w:rPr>
                <w:rStyle w:val="FootnoteReference"/>
              </w:rPr>
              <w:footnoteReference w:id="139"/>
            </w:r>
            <w:r>
              <w:rPr>
                <w:rFonts w:ascii="Arial" w:hAnsi="Arial"/>
                <w:b/>
                <w:color w:val="ED7D31"/>
                <w:sz w:val="18"/>
              </w:rPr>
              <w:t xml:space="preserve"> and data sources </w:t>
            </w:r>
          </w:p>
          <w:p w:rsidR="00143584" w:rsidRDefault="00143584">
            <w:pPr>
              <w:spacing w:after="0"/>
              <w:rPr>
                <w:rFonts w:cs="Arial"/>
                <w:b/>
                <w:szCs w:val="18"/>
              </w:rPr>
            </w:pPr>
          </w:p>
          <w:p w:rsidR="00143584" w:rsidRDefault="00D64125">
            <w:pPr>
              <w:spacing w:after="0"/>
              <w:rPr>
                <w:rFonts w:cs="Arial"/>
                <w:i/>
                <w:color w:val="F7A833" w:themeColor="accent5"/>
                <w:szCs w:val="18"/>
              </w:rPr>
            </w:pPr>
            <w:r>
              <w:rPr>
                <w:i/>
                <w:color w:val="F7A833" w:themeColor="accent5"/>
              </w:rPr>
              <w:t>[Mandatory]</w:t>
            </w:r>
          </w:p>
          <w:p w:rsidR="00143584" w:rsidRDefault="00143584">
            <w:pPr>
              <w:spacing w:after="0"/>
              <w:rPr>
                <w:rFonts w:cs="Arial"/>
                <w:b/>
                <w:szCs w:val="18"/>
              </w:rPr>
            </w:pPr>
          </w:p>
        </w:tc>
      </w:tr>
      <w:tr w:rsidR="00143584">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rFonts w:cs="Arial"/>
                <w:b/>
                <w:color w:val="373737" w:themeColor="background1" w:themeShade="40"/>
                <w:szCs w:val="18"/>
              </w:rPr>
            </w:pPr>
            <w:r>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spacing w:after="0"/>
              <w:jc w:val="left"/>
              <w:rPr>
                <w:rFonts w:cs="Arial"/>
                <w:b/>
                <w:color w:val="373737" w:themeColor="background1" w:themeShade="40"/>
                <w:szCs w:val="18"/>
              </w:rPr>
            </w:pPr>
            <w:r>
              <w:rPr>
                <w:b/>
                <w:color w:val="373737" w:themeColor="background1" w:themeShade="40"/>
              </w:rPr>
              <w:t>Absolute value</w:t>
            </w:r>
            <w:r>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spacing w:after="0"/>
              <w:jc w:val="left"/>
              <w:rPr>
                <w:rFonts w:cs="Arial"/>
                <w:b/>
                <w:color w:val="373737" w:themeColor="background1" w:themeShade="40"/>
                <w:szCs w:val="18"/>
              </w:rPr>
            </w:pPr>
            <w:r>
              <w:rPr>
                <w:b/>
                <w:color w:val="373737" w:themeColor="background1" w:themeShade="40"/>
              </w:rPr>
              <w:t>Ratio value</w:t>
            </w:r>
            <w:r>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spacing w:after="0"/>
              <w:jc w:val="left"/>
              <w:rPr>
                <w:rFonts w:cs="Arial"/>
                <w:b/>
                <w:color w:val="373737" w:themeColor="background1" w:themeShade="40"/>
                <w:szCs w:val="18"/>
              </w:rPr>
            </w:pPr>
            <w:r>
              <w:rPr>
                <w:b/>
                <w:color w:val="373737" w:themeColor="background1" w:themeShade="40"/>
              </w:rPr>
              <w:t>Calculated gross value</w:t>
            </w:r>
            <w:r>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spacing w:after="0"/>
              <w:jc w:val="left"/>
              <w:rPr>
                <w:rFonts w:cs="Arial"/>
                <w:b/>
                <w:color w:val="373737" w:themeColor="background1" w:themeShade="40"/>
                <w:szCs w:val="18"/>
              </w:rPr>
            </w:pPr>
            <w:r>
              <w:rPr>
                <w:b/>
                <w:color w:val="373737" w:themeColor="background1" w:themeShade="40"/>
              </w:rPr>
              <w:t>Calculated net value</w:t>
            </w:r>
            <w:r>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jc w:val="left"/>
              <w:rPr>
                <w:rFonts w:cs="Arial"/>
                <w:b/>
                <w:color w:val="373737" w:themeColor="background1" w:themeShade="40"/>
                <w:szCs w:val="18"/>
              </w:rPr>
            </w:pPr>
            <w:r>
              <w:rPr>
                <w:b/>
                <w:color w:val="373737" w:themeColor="background1" w:themeShade="40"/>
              </w:rPr>
              <w:t>Data and information sources</w:t>
            </w:r>
            <w:r>
              <w:rPr>
                <w:rStyle w:val="FootnoteReference"/>
              </w:rPr>
              <w:footnoteReference w:id="144"/>
            </w:r>
          </w:p>
        </w:tc>
      </w:tr>
      <w:tr w:rsidR="00143584">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rStyle w:val="FootnoteReference"/>
                <w:sz w:val="18"/>
                <w:szCs w:val="18"/>
              </w:rPr>
            </w:pPr>
            <w:r>
              <w:rPr>
                <w:b/>
                <w:color w:val="373737" w:themeColor="background1" w:themeShade="40"/>
              </w:rPr>
              <w:t xml:space="preserve">Common output indicators </w:t>
            </w:r>
            <w:r>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ind w:left="130" w:firstLine="0"/>
              <w:rPr>
                <w:rFonts w:ascii="Arial" w:hAnsi="Arial" w:cs="Arial"/>
                <w:b/>
                <w:color w:val="ED7D31"/>
                <w:sz w:val="18"/>
                <w:szCs w:val="18"/>
              </w:rPr>
            </w:pPr>
          </w:p>
        </w:tc>
      </w:tr>
      <w:tr w:rsidR="00143584">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rFonts w:cs="Arial"/>
                <w:b/>
                <w:color w:val="373737" w:themeColor="background1" w:themeShade="40"/>
                <w:szCs w:val="18"/>
              </w:rPr>
            </w:pPr>
            <w:r>
              <w:rPr>
                <w:b/>
                <w:color w:val="373737" w:themeColor="background1" w:themeShade="40"/>
              </w:rPr>
              <w:t xml:space="preserve">Programme specific output indicators </w:t>
            </w:r>
            <w:r>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ind w:left="130" w:firstLine="0"/>
              <w:rPr>
                <w:rFonts w:ascii="Arial" w:hAnsi="Arial" w:cs="Arial"/>
                <w:b/>
                <w:color w:val="ED7D31"/>
                <w:sz w:val="18"/>
                <w:szCs w:val="18"/>
              </w:rPr>
            </w:pPr>
          </w:p>
        </w:tc>
      </w:tr>
      <w:tr w:rsidR="00143584">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rFonts w:cs="Arial"/>
                <w:b/>
                <w:color w:val="373737" w:themeColor="background1" w:themeShade="40"/>
                <w:szCs w:val="18"/>
              </w:rPr>
            </w:pPr>
            <w:r>
              <w:rPr>
                <w:b/>
                <w:color w:val="373737" w:themeColor="background1" w:themeShade="40"/>
              </w:rPr>
              <w:t>Common indicators</w:t>
            </w:r>
            <w:r>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ind w:left="130" w:firstLine="0"/>
              <w:rPr>
                <w:rFonts w:ascii="Arial" w:hAnsi="Arial" w:cs="Arial"/>
                <w:b/>
                <w:color w:val="ED7D31"/>
                <w:sz w:val="18"/>
                <w:szCs w:val="18"/>
              </w:rPr>
            </w:pPr>
          </w:p>
        </w:tc>
      </w:tr>
      <w:tr w:rsidR="00143584">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rFonts w:cs="Arial"/>
                <w:b/>
                <w:color w:val="373737" w:themeColor="background1" w:themeShade="40"/>
                <w:szCs w:val="18"/>
              </w:rPr>
            </w:pPr>
            <w:r>
              <w:rPr>
                <w:b/>
                <w:color w:val="373737" w:themeColor="background1" w:themeShade="40"/>
              </w:rPr>
              <w:lastRenderedPageBreak/>
              <w:t>Programme specific indicators</w:t>
            </w:r>
            <w:r>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ind w:left="2160"/>
              <w:rPr>
                <w:rFonts w:ascii="Arial" w:hAnsi="Arial" w:cs="Arial"/>
                <w:b/>
                <w:color w:val="ED7D31"/>
                <w:sz w:val="18"/>
                <w:szCs w:val="18"/>
              </w:rPr>
            </w:pPr>
          </w:p>
        </w:tc>
      </w:tr>
      <w:tr w:rsidR="00143584">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35"/>
              </w:numPr>
              <w:suppressAutoHyphens/>
              <w:autoSpaceDN w:val="0"/>
              <w:spacing w:after="0" w:line="240" w:lineRule="auto"/>
              <w:textAlignment w:val="baseline"/>
              <w:rPr>
                <w:rFonts w:ascii="Arial" w:hAnsi="Arial" w:cs="Arial"/>
                <w:color w:val="ED7D31"/>
                <w:sz w:val="18"/>
                <w:szCs w:val="18"/>
              </w:rPr>
            </w:pPr>
            <w:r>
              <w:rPr>
                <w:rFonts w:ascii="Arial" w:hAnsi="Arial"/>
                <w:b/>
                <w:color w:val="ED7D31"/>
                <w:sz w:val="18"/>
              </w:rPr>
              <w:t>Problems encountered influencing the validity and reliability of evaluation findings</w:t>
            </w:r>
            <w:r>
              <w:rPr>
                <w:rStyle w:val="FootnoteReference"/>
              </w:rPr>
              <w:footnoteReference w:id="149"/>
            </w:r>
            <w:r>
              <w:rPr>
                <w:rFonts w:ascii="Arial" w:hAnsi="Arial"/>
                <w:color w:val="ED7D31"/>
                <w:sz w:val="18"/>
              </w:rPr>
              <w:t xml:space="preserve"> </w:t>
            </w:r>
          </w:p>
          <w:p w:rsidR="00143584" w:rsidRDefault="00143584">
            <w:pPr>
              <w:spacing w:after="0"/>
              <w:rPr>
                <w:rFonts w:cs="Arial"/>
                <w:szCs w:val="18"/>
              </w:rPr>
            </w:pPr>
          </w:p>
          <w:p w:rsidR="00143584" w:rsidRDefault="00D64125">
            <w:pPr>
              <w:spacing w:after="0"/>
              <w:rPr>
                <w:rFonts w:cs="Arial"/>
                <w:i/>
                <w:color w:val="F7A833" w:themeColor="accent5"/>
                <w:szCs w:val="18"/>
              </w:rPr>
            </w:pPr>
            <w:r>
              <w:rPr>
                <w:i/>
                <w:color w:val="F7A833" w:themeColor="accent5"/>
              </w:rPr>
              <w:t>[A maximum of 1,750 characters = approx. ½ page – Non-mandatory]</w:t>
            </w:r>
          </w:p>
          <w:p w:rsidR="00143584" w:rsidRDefault="00143584">
            <w:pPr>
              <w:spacing w:after="0"/>
              <w:rPr>
                <w:rFonts w:cs="Arial"/>
                <w:szCs w:val="18"/>
              </w:rPr>
            </w:pPr>
          </w:p>
          <w:p w:rsidR="00143584" w:rsidRDefault="00143584">
            <w:pPr>
              <w:spacing w:after="0"/>
              <w:rPr>
                <w:rFonts w:cs="Arial"/>
                <w:szCs w:val="18"/>
              </w:rPr>
            </w:pPr>
          </w:p>
        </w:tc>
      </w:tr>
      <w:tr w:rsidR="00143584">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Answer to evaluation question</w:t>
            </w:r>
            <w:r>
              <w:rPr>
                <w:rStyle w:val="FootnoteReference"/>
              </w:rPr>
              <w:footnoteReference w:id="150"/>
            </w:r>
            <w:r>
              <w:rPr>
                <w:rFonts w:ascii="Arial" w:hAnsi="Arial"/>
                <w:b/>
                <w:color w:val="ED7D31"/>
                <w:sz w:val="18"/>
              </w:rPr>
              <w:t xml:space="preserve"> </w:t>
            </w:r>
          </w:p>
          <w:p w:rsidR="00143584" w:rsidRDefault="00143584">
            <w:pPr>
              <w:spacing w:after="0"/>
              <w:rPr>
                <w:rFonts w:cs="Arial"/>
                <w:b/>
                <w:color w:val="ED7D31"/>
                <w:szCs w:val="18"/>
              </w:rPr>
            </w:pPr>
          </w:p>
          <w:p w:rsidR="00143584" w:rsidRDefault="00D64125">
            <w:pPr>
              <w:spacing w:after="0"/>
              <w:rPr>
                <w:rFonts w:cs="Arial"/>
                <w:i/>
                <w:color w:val="F7A833" w:themeColor="accent5"/>
                <w:szCs w:val="18"/>
              </w:rPr>
            </w:pPr>
            <w:r>
              <w:rPr>
                <w:i/>
                <w:color w:val="F7A833" w:themeColor="accent5"/>
              </w:rPr>
              <w:t>[A maximum of 10,500 characters = approx. 3 pages – Mandatory]</w:t>
            </w:r>
          </w:p>
          <w:p w:rsidR="00143584" w:rsidRDefault="00143584">
            <w:pPr>
              <w:spacing w:after="0"/>
              <w:rPr>
                <w:rFonts w:cs="Arial"/>
                <w:b/>
                <w:color w:val="ED7D31"/>
                <w:szCs w:val="18"/>
              </w:rPr>
            </w:pPr>
          </w:p>
          <w:p w:rsidR="00143584" w:rsidRDefault="00D64125">
            <w:pPr>
              <w:spacing w:after="0"/>
              <w:rPr>
                <w:rFonts w:cs="Arial"/>
                <w:szCs w:val="18"/>
              </w:rPr>
            </w:pPr>
            <w:r>
              <w:t xml:space="preserve"> </w:t>
            </w:r>
          </w:p>
        </w:tc>
      </w:tr>
      <w:tr w:rsidR="00143584">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Conclusions and recommendations</w:t>
            </w:r>
            <w:r>
              <w:rPr>
                <w:rStyle w:val="FootnoteReference"/>
              </w:rPr>
              <w:footnoteReference w:id="151"/>
            </w:r>
          </w:p>
          <w:p w:rsidR="00143584" w:rsidRDefault="00143584">
            <w:pPr>
              <w:spacing w:after="0"/>
              <w:rPr>
                <w:rFonts w:cs="Arial"/>
                <w:b/>
                <w:color w:val="ED7D31"/>
                <w:szCs w:val="18"/>
              </w:rPr>
            </w:pPr>
          </w:p>
          <w:p w:rsidR="00143584" w:rsidRDefault="00143584">
            <w:pPr>
              <w:spacing w:after="0"/>
              <w:rPr>
                <w:rFonts w:cs="Arial"/>
                <w:b/>
                <w:szCs w:val="18"/>
              </w:rPr>
            </w:pPr>
          </w:p>
        </w:tc>
      </w:tr>
      <w:tr w:rsidR="00143584">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rPr>
                <w:rFonts w:cs="Arial"/>
                <w:b/>
                <w:color w:val="373737" w:themeColor="background1" w:themeShade="40"/>
                <w:szCs w:val="18"/>
              </w:rPr>
            </w:pPr>
            <w:r>
              <w:rPr>
                <w:b/>
                <w:color w:val="373737" w:themeColor="background1" w:themeShade="40"/>
              </w:rPr>
              <w:t>Conclusion</w:t>
            </w:r>
          </w:p>
          <w:p w:rsidR="00143584" w:rsidRDefault="00143584">
            <w:pPr>
              <w:spacing w:after="0"/>
              <w:rPr>
                <w:rFonts w:cs="Arial"/>
                <w:b/>
                <w:color w:val="373737" w:themeColor="background1" w:themeShade="40"/>
                <w:szCs w:val="18"/>
              </w:rPr>
            </w:pPr>
          </w:p>
          <w:p w:rsidR="00143584" w:rsidRDefault="00D64125">
            <w:pPr>
              <w:spacing w:after="0"/>
              <w:rPr>
                <w:rFonts w:cs="Arial"/>
                <w:i/>
                <w:color w:val="F7A833" w:themeColor="accent5"/>
                <w:szCs w:val="18"/>
              </w:rPr>
            </w:pPr>
            <w:r>
              <w:rPr>
                <w:i/>
                <w:color w:val="F7A833" w:themeColor="accent5"/>
              </w:rPr>
              <w:t>[Approx. 1,000 characters - Mandatory]</w:t>
            </w:r>
          </w:p>
          <w:p w:rsidR="00143584" w:rsidRDefault="00143584">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ind w:left="66"/>
              <w:rPr>
                <w:rFonts w:cs="Arial"/>
                <w:b/>
                <w:color w:val="373737" w:themeColor="background1" w:themeShade="40"/>
                <w:szCs w:val="18"/>
              </w:rPr>
            </w:pPr>
            <w:r>
              <w:rPr>
                <w:b/>
                <w:color w:val="373737" w:themeColor="background1" w:themeShade="40"/>
              </w:rPr>
              <w:t>Recommendation</w:t>
            </w:r>
          </w:p>
          <w:p w:rsidR="00143584" w:rsidRDefault="00143584">
            <w:pPr>
              <w:spacing w:after="0"/>
              <w:ind w:left="66"/>
              <w:rPr>
                <w:rFonts w:cs="Arial"/>
                <w:b/>
                <w:color w:val="373737" w:themeColor="background1" w:themeShade="40"/>
                <w:szCs w:val="18"/>
              </w:rPr>
            </w:pPr>
          </w:p>
          <w:p w:rsidR="00143584" w:rsidRDefault="00D64125">
            <w:pPr>
              <w:spacing w:after="0"/>
              <w:ind w:left="66"/>
              <w:rPr>
                <w:rFonts w:cs="Arial"/>
                <w:i/>
                <w:color w:val="F7A833" w:themeColor="accent5"/>
                <w:szCs w:val="18"/>
              </w:rPr>
            </w:pPr>
            <w:r>
              <w:rPr>
                <w:i/>
                <w:color w:val="F7A833" w:themeColor="accent5"/>
              </w:rPr>
              <w:t>[Approx. 1,000 characters – Non-mandatory]</w:t>
            </w:r>
          </w:p>
          <w:p w:rsidR="00143584" w:rsidRDefault="00143584">
            <w:pPr>
              <w:spacing w:after="0"/>
              <w:ind w:left="66"/>
              <w:rPr>
                <w:rFonts w:cs="Arial"/>
                <w:b/>
                <w:color w:val="373737" w:themeColor="background1" w:themeShade="40"/>
                <w:szCs w:val="18"/>
              </w:rPr>
            </w:pPr>
          </w:p>
        </w:tc>
      </w:tr>
      <w:tr w:rsidR="00143584">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rPr>
                <w:rFonts w:cs="Arial"/>
                <w:b/>
                <w:color w:val="373737" w:themeColor="background1" w:themeShade="40"/>
                <w:szCs w:val="18"/>
              </w:rPr>
            </w:pPr>
            <w:r>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ind w:left="66"/>
              <w:rPr>
                <w:rFonts w:cs="Arial"/>
                <w:b/>
                <w:color w:val="373737" w:themeColor="background1" w:themeShade="40"/>
                <w:szCs w:val="18"/>
              </w:rPr>
            </w:pPr>
            <w:r>
              <w:rPr>
                <w:b/>
                <w:color w:val="373737" w:themeColor="background1" w:themeShade="40"/>
              </w:rPr>
              <w:t>R.1</w:t>
            </w:r>
          </w:p>
        </w:tc>
      </w:tr>
      <w:tr w:rsidR="00143584">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rPr>
                <w:rFonts w:cs="Arial"/>
                <w:b/>
                <w:color w:val="373737" w:themeColor="background1" w:themeShade="40"/>
                <w:szCs w:val="18"/>
              </w:rPr>
            </w:pPr>
            <w:r>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ind w:left="66"/>
              <w:rPr>
                <w:rFonts w:cs="Arial"/>
                <w:b/>
                <w:color w:val="373737" w:themeColor="background1" w:themeShade="40"/>
                <w:szCs w:val="18"/>
              </w:rPr>
            </w:pPr>
            <w:r>
              <w:rPr>
                <w:b/>
                <w:color w:val="373737" w:themeColor="background1" w:themeShade="40"/>
              </w:rPr>
              <w:t>R.2</w:t>
            </w:r>
          </w:p>
        </w:tc>
      </w:tr>
      <w:tr w:rsidR="00143584">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rPr>
                <w:rFonts w:cs="Arial"/>
                <w:b/>
                <w:color w:val="373737" w:themeColor="background1" w:themeShade="40"/>
                <w:szCs w:val="18"/>
              </w:rPr>
            </w:pPr>
            <w:r>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ind w:left="66"/>
              <w:rPr>
                <w:rFonts w:cs="Arial"/>
                <w:b/>
                <w:color w:val="373737" w:themeColor="background1" w:themeShade="40"/>
                <w:szCs w:val="18"/>
              </w:rPr>
            </w:pPr>
            <w:r>
              <w:rPr>
                <w:b/>
                <w:color w:val="373737" w:themeColor="background1" w:themeShade="40"/>
              </w:rPr>
              <w:t>R.3</w:t>
            </w:r>
          </w:p>
        </w:tc>
      </w:tr>
    </w:tbl>
    <w:p w:rsidR="00143584" w:rsidRDefault="00D64125">
      <w:pPr>
        <w:pStyle w:val="HHeadingtables"/>
        <w:rPr>
          <w:rFonts w:cs="Arial"/>
          <w:highlight w:val="yellow"/>
        </w:rPr>
      </w:pPr>
      <w:bookmarkStart w:id="136" w:name="_Toc474937842"/>
      <w:r>
        <w:rPr>
          <w:highlight w:val="yellow"/>
        </w:rPr>
        <w:t>Образец от SFC за точка 7 по отношение на специфичен за програмата въпрос за оценка, свързан със специфична за програмата област с поставен акцент (попълнен пример)</w:t>
      </w:r>
      <w:bookmarkEnd w:id="136"/>
    </w:p>
    <w:tbl>
      <w:tblPr>
        <w:tblW w:w="8887" w:type="dxa"/>
        <w:jc w:val="center"/>
        <w:tblLayout w:type="fixed"/>
        <w:tblCellMar>
          <w:left w:w="10" w:type="dxa"/>
          <w:right w:w="10" w:type="dxa"/>
        </w:tblCellMar>
        <w:tblLook w:val="0000" w:firstRow="0" w:lastRow="0" w:firstColumn="0" w:lastColumn="0" w:noHBand="0" w:noVBand="0"/>
      </w:tblPr>
      <w:tblGrid>
        <w:gridCol w:w="8887"/>
      </w:tblGrid>
      <w:tr w:rsidR="00143584">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H-Heading1"/>
              <w:numPr>
                <w:ilvl w:val="0"/>
                <w:numId w:val="0"/>
              </w:numPr>
              <w:rPr>
                <w:sz w:val="18"/>
                <w:szCs w:val="18"/>
                <w:highlight w:val="yellow"/>
              </w:rPr>
            </w:pPr>
            <w:r>
              <w:rPr>
                <w:rFonts w:ascii="Arial" w:hAnsi="Arial"/>
                <w:caps w:val="0"/>
                <w:snapToGrid w:val="0"/>
                <w:kern w:val="0"/>
                <w:sz w:val="18"/>
                <w:highlight w:val="yellow"/>
              </w:rPr>
              <w:lastRenderedPageBreak/>
              <w:t>Специфична за програмата област с поставен акцент</w:t>
            </w:r>
            <w:r>
              <w:rPr>
                <w:rStyle w:val="FootnoteReference"/>
                <w:highlight w:val="yellow"/>
              </w:rPr>
              <w:footnoteReference w:id="152"/>
            </w:r>
            <w:r>
              <w:t>:</w:t>
            </w:r>
          </w:p>
          <w:p w:rsidR="00143584" w:rsidRDefault="00D64125">
            <w:pPr>
              <w:pStyle w:val="H-Heading2"/>
              <w:spacing w:line="240" w:lineRule="auto"/>
              <w:ind w:left="0" w:firstLine="0"/>
              <w:jc w:val="both"/>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ОПА 2В — Подобряване на икономическите резултати и конкурентоспособността на предприятията в горското стопанство с цел да се увеличи тяхното пазарно участие</w:t>
            </w:r>
          </w:p>
          <w:p w:rsidR="00143584" w:rsidRDefault="00D64125">
            <w:pPr>
              <w:pStyle w:val="H-Heading1"/>
              <w:numPr>
                <w:ilvl w:val="0"/>
                <w:numId w:val="0"/>
              </w:numPr>
              <w:rPr>
                <w:rFonts w:ascii="Arial" w:hAnsi="Arial" w:cs="Arial"/>
                <w:color w:val="DC9045"/>
                <w:sz w:val="18"/>
                <w:szCs w:val="18"/>
                <w:highlight w:val="yellow"/>
              </w:rPr>
            </w:pPr>
            <w:r>
              <w:rPr>
                <w:rFonts w:ascii="Arial" w:hAnsi="Arial"/>
                <w:caps w:val="0"/>
                <w:snapToGrid w:val="0"/>
                <w:kern w:val="0"/>
                <w:sz w:val="18"/>
                <w:highlight w:val="yellow"/>
              </w:rPr>
              <w:t>Специфичен за програмата въпрос за оценка (СПВО) №</w:t>
            </w:r>
            <w:r>
              <w:rPr>
                <w:rStyle w:val="FootnoteReference"/>
                <w:highlight w:val="yellow"/>
              </w:rPr>
              <w:footnoteReference w:id="153"/>
            </w:r>
            <w:r>
              <w:t>:</w:t>
            </w:r>
          </w:p>
          <w:p w:rsidR="00143584" w:rsidRDefault="00D64125">
            <w:pPr>
              <w:pStyle w:val="H-Heading2"/>
              <w:spacing w:line="240" w:lineRule="auto"/>
              <w:ind w:left="0" w:firstLine="0"/>
              <w:jc w:val="both"/>
              <w:rPr>
                <w:rFonts w:ascii="Arial" w:hAnsi="Arial" w:cs="Arial"/>
                <w:b w:val="0"/>
                <w:sz w:val="18"/>
                <w:szCs w:val="18"/>
                <w:highlight w:val="yellow"/>
              </w:rPr>
            </w:pPr>
            <w:r>
              <w:rPr>
                <w:rFonts w:ascii="Arial" w:hAnsi="Arial"/>
                <w:b w:val="0"/>
                <w:color w:val="373737" w:themeColor="background1" w:themeShade="40"/>
                <w:sz w:val="18"/>
                <w:highlight w:val="yellow"/>
              </w:rPr>
              <w:t>До каква степен интервенциите по ПРСР са допринесли за подобряването на икономическите резултати, конкурентоспособността и пазарното участие на предприятията в горското стопанство?</w:t>
            </w:r>
          </w:p>
        </w:tc>
      </w:tr>
      <w:tr w:rsidR="00143584">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t>Обосновка за специфичната за програмата област с поставен акцент</w:t>
            </w:r>
            <w:r>
              <w:rPr>
                <w:rStyle w:val="FootnoteReference"/>
                <w:highlight w:val="yellow"/>
              </w:rPr>
              <w:footnoteReference w:id="154"/>
            </w:r>
          </w:p>
          <w:p w:rsidR="00143584" w:rsidRDefault="00D64125">
            <w:pPr>
              <w:spacing w:before="120" w:after="0"/>
              <w:rPr>
                <w:rFonts w:cs="Arial"/>
                <w:color w:val="373737" w:themeColor="background1" w:themeShade="40"/>
                <w:szCs w:val="18"/>
                <w:highlight w:val="yellow"/>
              </w:rPr>
            </w:pPr>
            <w:r>
              <w:rPr>
                <w:color w:val="373737" w:themeColor="background1" w:themeShade="40"/>
                <w:highlight w:val="yellow"/>
              </w:rPr>
              <w:t xml:space="preserve">SWOT е показал, че макар свързаната с горите промишленост да е важна за програмния район и неговата икономика, в сектора все още липсват задоволителни икономически резултати. Това се дължи главно на трудностите в достъпа до пазара, които са следствие от липсата на организация и високите разходи за транзакции за навлизане на пазара. Оценката на нуждите също потвърди, че ръководителите на предприятия в горското стопанство трябва да подобрят своите управленски умения и да засилят сътрудничеството помежду си, за да се намалят разходите за навлизане и участие на пазара.  Накрая, ОПА 2В (и нейните мерки) перфектно се вписва в останалата част на стратегията, което сериозно подпомага всички свързани отрасли в програмния район. </w:t>
            </w:r>
          </w:p>
          <w:p w:rsidR="00143584" w:rsidRDefault="00D64125">
            <w:pPr>
              <w:spacing w:after="0"/>
              <w:rPr>
                <w:rFonts w:cs="Arial"/>
                <w:i/>
                <w:color w:val="F7A833" w:themeColor="accent5"/>
                <w:szCs w:val="18"/>
                <w:highlight w:val="yellow"/>
              </w:rPr>
            </w:pPr>
            <w:r>
              <w:rPr>
                <w:i/>
                <w:color w:val="F7A833" w:themeColor="accent5"/>
                <w:highlight w:val="yellow"/>
              </w:rPr>
              <w:t>[Максимум 1 000 знака = приблизително ¼ страница — Задължително]</w:t>
            </w:r>
          </w:p>
        </w:tc>
      </w:tr>
      <w:tr w:rsidR="00143584">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 xml:space="preserve">Списък с мерки, допринасящи към специфичните за програмата ОПА </w:t>
            </w:r>
          </w:p>
          <w:p w:rsidR="00143584" w:rsidRDefault="00143584">
            <w:pPr>
              <w:spacing w:after="0"/>
              <w:rPr>
                <w:rFonts w:cs="Arial"/>
                <w:b/>
                <w:szCs w:val="18"/>
                <w:highlight w:val="yellow"/>
              </w:rPr>
            </w:pPr>
          </w:p>
          <w:p w:rsidR="00143584" w:rsidRDefault="00D64125">
            <w:pPr>
              <w:spacing w:after="0"/>
              <w:rPr>
                <w:rFonts w:cs="Arial"/>
                <w:b/>
                <w:color w:val="373737" w:themeColor="background1" w:themeShade="40"/>
                <w:szCs w:val="18"/>
                <w:highlight w:val="yellow"/>
              </w:rPr>
            </w:pPr>
            <w:r>
              <w:rPr>
                <w:b/>
                <w:color w:val="373737" w:themeColor="background1" w:themeShade="40"/>
                <w:highlight w:val="yellow"/>
              </w:rPr>
              <w:t xml:space="preserve">Програмирани мерки/подмерки: </w:t>
            </w:r>
          </w:p>
          <w:p w:rsidR="00143584" w:rsidRDefault="00D64125">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М 2.1 подпомагане за извличане на полза от използването на консултантски услуги, </w:t>
            </w:r>
          </w:p>
          <w:p w:rsidR="00143584" w:rsidRDefault="00D64125">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М 8.6 подпомагане на инвестициите в технологии за горското стопанство и в преработка, мобилизиране и предлагане на пазара на горски продукти, </w:t>
            </w:r>
          </w:p>
          <w:p w:rsidR="00143584" w:rsidRDefault="00D64125">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М16.3 сътрудничество между малките оператори за организиране на съвместни работни процеси и споделяне на съоръжения и ресурси и за разработването и предлагане на пазара на туризма. </w:t>
            </w:r>
          </w:p>
          <w:p w:rsidR="00143584" w:rsidRDefault="00D64125">
            <w:pPr>
              <w:spacing w:after="0"/>
              <w:rPr>
                <w:rFonts w:cs="Arial"/>
                <w:b/>
                <w:color w:val="373737" w:themeColor="background1" w:themeShade="40"/>
                <w:szCs w:val="18"/>
                <w:highlight w:val="yellow"/>
              </w:rPr>
            </w:pPr>
            <w:r>
              <w:rPr>
                <w:b/>
                <w:color w:val="373737" w:themeColor="background1" w:themeShade="40"/>
                <w:highlight w:val="yellow"/>
              </w:rPr>
              <w:t>Мерки/подмерки, програмирани по други ОПА (общи и специфични за програмата), които имат вторичен принос към специфична за програмата ОПА</w:t>
            </w:r>
            <w:r>
              <w:rPr>
                <w:rStyle w:val="FootnoteReference"/>
                <w:highlight w:val="yellow"/>
              </w:rPr>
              <w:footnoteReference w:id="155"/>
            </w:r>
            <w:r>
              <w:rPr>
                <w:b/>
                <w:color w:val="373737" w:themeColor="background1" w:themeShade="40"/>
                <w:highlight w:val="yellow"/>
              </w:rPr>
              <w:t xml:space="preserve">: </w:t>
            </w:r>
          </w:p>
          <w:p w:rsidR="00143584" w:rsidRDefault="00D64125">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М12.2 - Компенсаторни плащания за горски площи в Натура 2000  </w:t>
            </w:r>
          </w:p>
          <w:p w:rsidR="00143584" w:rsidRDefault="00143584">
            <w:pPr>
              <w:spacing w:after="0"/>
              <w:rPr>
                <w:rFonts w:cs="Arial"/>
                <w:szCs w:val="18"/>
                <w:highlight w:val="yellow"/>
              </w:rPr>
            </w:pPr>
          </w:p>
          <w:p w:rsidR="00143584" w:rsidRDefault="00D64125">
            <w:pPr>
              <w:spacing w:after="0"/>
              <w:rPr>
                <w:rFonts w:cs="Arial"/>
                <w:i/>
                <w:color w:val="4BACC6"/>
                <w:szCs w:val="18"/>
              </w:rPr>
            </w:pPr>
            <w:r>
              <w:rPr>
                <w:i/>
                <w:color w:val="4BACC6"/>
                <w:highlight w:val="yellow"/>
              </w:rPr>
              <w:t xml:space="preserve"> </w:t>
            </w:r>
            <w:r>
              <w:rPr>
                <w:i/>
                <w:color w:val="F7A833" w:themeColor="accent5"/>
                <w:highlight w:val="yellow"/>
              </w:rPr>
              <w:t>[Максимум 1 000 знака = приблизително ¼ стр. — Задължително]</w:t>
            </w:r>
          </w:p>
        </w:tc>
      </w:tr>
    </w:tbl>
    <w:p w:rsidR="00143584" w:rsidRDefault="00D64125">
      <w:r>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143584">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lastRenderedPageBreak/>
              <w:t>Връзка между критериите за преценка и общите и/или специфичните за програмата показатели за резултатите,</w:t>
            </w:r>
            <w:r>
              <w:rPr>
                <w:rStyle w:val="FootnoteReference"/>
                <w:highlight w:val="yellow"/>
              </w:rPr>
              <w:footnoteReference w:id="156"/>
            </w:r>
            <w:r>
              <w:rPr>
                <w:rStyle w:val="FootnoteReference"/>
                <w:sz w:val="18"/>
                <w:highlight w:val="yellow"/>
              </w:rPr>
              <w:t xml:space="preserve"> </w:t>
            </w:r>
            <w:r>
              <w:rPr>
                <w:rFonts w:ascii="Arial" w:hAnsi="Arial"/>
                <w:b/>
                <w:color w:val="F07E31"/>
                <w:sz w:val="18"/>
                <w:highlight w:val="yellow"/>
              </w:rPr>
              <w:t>използвани за отговор на СПВО</w:t>
            </w:r>
          </w:p>
          <w:p w:rsidR="00143584" w:rsidRDefault="00143584">
            <w:pPr>
              <w:spacing w:after="0"/>
              <w:rPr>
                <w:rFonts w:cs="Arial"/>
                <w:i/>
                <w:color w:val="4BACC6"/>
                <w:szCs w:val="18"/>
                <w:highlight w:val="yellow"/>
              </w:rPr>
            </w:pPr>
          </w:p>
          <w:p w:rsidR="00143584" w:rsidRDefault="00D64125">
            <w:pPr>
              <w:spacing w:after="0"/>
              <w:rPr>
                <w:rFonts w:cs="Arial"/>
                <w:i/>
                <w:color w:val="4BACC6"/>
                <w:szCs w:val="18"/>
                <w:highlight w:val="yellow"/>
              </w:rPr>
            </w:pPr>
            <w:r>
              <w:rPr>
                <w:i/>
                <w:color w:val="F7A833" w:themeColor="accent5"/>
                <w:highlight w:val="yellow"/>
              </w:rPr>
              <w:t>[Задължително]</w:t>
            </w:r>
          </w:p>
        </w:tc>
      </w:tr>
      <w:tr w:rsidR="00143584">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pStyle w:val="ListParagraph"/>
              <w:tabs>
                <w:tab w:val="clear" w:pos="709"/>
              </w:tabs>
              <w:ind w:left="10" w:hanging="1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Специфични за програмата критерии за преценка</w:t>
            </w:r>
            <w:r>
              <w:rPr>
                <w:rStyle w:val="FootnoteReference"/>
                <w:highlight w:val="yellow"/>
              </w:rPr>
              <w:footnoteReference w:id="157"/>
            </w:r>
          </w:p>
          <w:p w:rsidR="00143584" w:rsidRDefault="00D64125">
            <w:pPr>
              <w:pStyle w:val="ListParagraph"/>
              <w:tabs>
                <w:tab w:val="clear" w:pos="709"/>
              </w:tabs>
              <w:ind w:left="10" w:hanging="10"/>
              <w:jc w:val="center"/>
              <w:rPr>
                <w:rFonts w:ascii="Arial" w:hAnsi="Arial" w:cs="Arial"/>
                <w:i/>
                <w:sz w:val="18"/>
                <w:szCs w:val="18"/>
                <w:highlight w:val="yellow"/>
              </w:rPr>
            </w:pPr>
            <w:r>
              <w:rPr>
                <w:rFonts w:ascii="Arial" w:hAnsi="Arial"/>
                <w:i/>
                <w:color w:val="F7A833" w:themeColor="accent5"/>
                <w:sz w:val="18"/>
                <w:highlight w:val="yellow"/>
              </w:rPr>
              <w:t>[Макс. 255 знака]</w:t>
            </w:r>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pStyle w:val="ListParagraph"/>
              <w:tabs>
                <w:tab w:val="clear" w:pos="709"/>
              </w:tabs>
              <w:ind w:left="23" w:hanging="23"/>
              <w:jc w:val="center"/>
              <w:rPr>
                <w:rFonts w:ascii="Arial" w:hAnsi="Arial" w:cs="Arial"/>
                <w:color w:val="373737" w:themeColor="background1" w:themeShade="40"/>
                <w:sz w:val="18"/>
                <w:szCs w:val="18"/>
                <w:highlight w:val="yellow"/>
              </w:rPr>
            </w:pPr>
            <w:r>
              <w:rPr>
                <w:rFonts w:ascii="Arial" w:hAnsi="Arial"/>
                <w:b/>
                <w:color w:val="373737" w:themeColor="background1" w:themeShade="40"/>
                <w:sz w:val="18"/>
                <w:highlight w:val="yellow"/>
              </w:rPr>
              <w:t>Общи показатели за резултатите</w:t>
            </w:r>
            <w:r>
              <w:rPr>
                <w:rStyle w:val="FootnoteReference"/>
                <w:highlight w:val="yellow"/>
              </w:rPr>
              <w:footnoteReference w:id="158"/>
            </w:r>
          </w:p>
          <w:p w:rsidR="00143584" w:rsidRDefault="00D64125">
            <w:pPr>
              <w:pStyle w:val="ListParagraph"/>
              <w:tabs>
                <w:tab w:val="clear" w:pos="709"/>
              </w:tabs>
              <w:ind w:left="23" w:hanging="23"/>
              <w:jc w:val="center"/>
              <w:rPr>
                <w:rFonts w:ascii="Arial" w:hAnsi="Arial" w:cs="Arial"/>
                <w:i/>
                <w:sz w:val="18"/>
                <w:szCs w:val="18"/>
                <w:highlight w:val="yellow"/>
              </w:rPr>
            </w:pPr>
            <w:r>
              <w:rPr>
                <w:rFonts w:ascii="Arial" w:hAnsi="Arial"/>
                <w:i/>
                <w:color w:val="F7A833" w:themeColor="accent5"/>
                <w:sz w:val="18"/>
                <w:highlight w:val="yellow"/>
              </w:rPr>
              <w:t>[Макс. 255 знака]</w:t>
            </w: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tabs>
                <w:tab w:val="clear" w:pos="709"/>
              </w:tabs>
              <w:ind w:left="0" w:firstLine="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Специфични за програмата показатели за резултатите</w:t>
            </w:r>
            <w:r>
              <w:rPr>
                <w:rStyle w:val="FootnoteReference"/>
                <w:highlight w:val="yellow"/>
              </w:rPr>
              <w:footnoteReference w:id="159"/>
            </w:r>
          </w:p>
          <w:p w:rsidR="00143584" w:rsidRDefault="00D64125">
            <w:pPr>
              <w:pStyle w:val="ListParagraph"/>
              <w:tabs>
                <w:tab w:val="clear" w:pos="709"/>
              </w:tabs>
              <w:ind w:left="0" w:firstLine="0"/>
              <w:jc w:val="center"/>
              <w:rPr>
                <w:rFonts w:ascii="Arial" w:hAnsi="Arial" w:cs="Arial"/>
                <w:i/>
                <w:sz w:val="18"/>
                <w:szCs w:val="18"/>
                <w:highlight w:val="yellow"/>
              </w:rPr>
            </w:pPr>
            <w:r>
              <w:rPr>
                <w:rFonts w:ascii="Arial" w:hAnsi="Arial"/>
                <w:i/>
                <w:color w:val="F7A833" w:themeColor="accent5"/>
                <w:sz w:val="18"/>
                <w:highlight w:val="yellow"/>
              </w:rPr>
              <w:t>[Макс. 255 знака]</w:t>
            </w:r>
          </w:p>
        </w:tc>
      </w:tr>
      <w:tr w:rsidR="00143584">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jc w:val="left"/>
              <w:rPr>
                <w:rFonts w:cs="Arial"/>
                <w:color w:val="373737" w:themeColor="background1" w:themeShade="40"/>
                <w:szCs w:val="18"/>
                <w:highlight w:val="yellow"/>
              </w:rPr>
            </w:pPr>
            <w:r>
              <w:rPr>
                <w:color w:val="373737" w:themeColor="background1" w:themeShade="40"/>
                <w:highlight w:val="yellow"/>
              </w:rPr>
              <w:t>Производителността на труда в подпомаганите предприятия в горското стопанство се е повишила</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jc w:val="left"/>
              <w:rPr>
                <w:rFonts w:cs="Arial"/>
                <w:color w:val="373737" w:themeColor="background1" w:themeShade="40"/>
                <w:szCs w:val="18"/>
                <w:highlight w:val="yellow"/>
              </w:rPr>
            </w:pPr>
            <w:r>
              <w:rPr>
                <w:color w:val="373737" w:themeColor="background1" w:themeShade="40"/>
                <w:highlight w:val="yellow"/>
              </w:rPr>
              <w:t xml:space="preserve">PSRI2C/1 — % от предприятията в горското стопанство с подпомагане от ПРСР за инвестиции в технологии в горското стопанство </w:t>
            </w:r>
          </w:p>
        </w:tc>
      </w:tr>
      <w:tr w:rsidR="00143584">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D64125">
            <w:pPr>
              <w:jc w:val="left"/>
              <w:rPr>
                <w:rFonts w:cs="Arial"/>
                <w:color w:val="373737" w:themeColor="background1" w:themeShade="40"/>
                <w:szCs w:val="18"/>
                <w:highlight w:val="yellow"/>
              </w:rPr>
            </w:pPr>
            <w:r>
              <w:rPr>
                <w:color w:val="373737" w:themeColor="background1" w:themeShade="40"/>
                <w:highlight w:val="yellow"/>
              </w:rPr>
              <w:t>Пазарното участие на предприятията в горското стопанство се е увеличило</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jc w:val="left"/>
              <w:rPr>
                <w:rFonts w:cs="Arial"/>
                <w:color w:val="373737" w:themeColor="background1" w:themeShade="40"/>
                <w:szCs w:val="18"/>
                <w:highlight w:val="yellow"/>
              </w:rPr>
            </w:pPr>
            <w:r>
              <w:rPr>
                <w:color w:val="373737" w:themeColor="background1" w:themeShade="40"/>
                <w:highlight w:val="yellow"/>
              </w:rPr>
              <w:t>PSRI2C/2 — Продажби/обща продукция</w:t>
            </w:r>
          </w:p>
        </w:tc>
      </w:tr>
      <w:tr w:rsidR="00143584">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43584" w:rsidRDefault="00143584">
            <w:pPr>
              <w:pStyle w:val="ListParagraph"/>
              <w:rPr>
                <w:rFonts w:ascii="Arial" w:hAnsi="Arial" w:cs="Arial"/>
                <w:sz w:val="18"/>
                <w:szCs w:val="18"/>
                <w:highlight w:val="yellow"/>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jc w:val="left"/>
              <w:rPr>
                <w:rFonts w:cs="Arial"/>
                <w:color w:val="373737" w:themeColor="background1" w:themeShade="40"/>
                <w:szCs w:val="18"/>
                <w:highlight w:val="yellow"/>
              </w:rPr>
            </w:pPr>
            <w:r>
              <w:rPr>
                <w:color w:val="373737" w:themeColor="background1" w:themeShade="40"/>
                <w:highlight w:val="yellow"/>
              </w:rPr>
              <w:t xml:space="preserve">PSRI2C/3 — Производителност на труда в горското стопанство (също така общ показател за контекста 15 от ОСМО) </w:t>
            </w:r>
          </w:p>
        </w:tc>
      </w:tr>
      <w:tr w:rsidR="00143584">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Прилагани методи</w:t>
            </w:r>
            <w:r>
              <w:rPr>
                <w:rStyle w:val="FootnoteReference"/>
                <w:highlight w:val="yellow"/>
              </w:rPr>
              <w:footnoteReference w:id="160"/>
            </w:r>
          </w:p>
          <w:p w:rsidR="00143584" w:rsidRDefault="00143584">
            <w:pPr>
              <w:spacing w:after="0"/>
              <w:rPr>
                <w:rFonts w:cs="Arial"/>
                <w:b/>
                <w:szCs w:val="18"/>
                <w:highlight w:val="yellow"/>
              </w:rPr>
            </w:pPr>
          </w:p>
          <w:p w:rsidR="00143584" w:rsidRDefault="00D64125">
            <w:pPr>
              <w:pStyle w:val="ListParagraph"/>
              <w:suppressAutoHyphens/>
              <w:autoSpaceDN w:val="0"/>
              <w:spacing w:after="0"/>
              <w:textAlignment w:val="baseline"/>
              <w:rPr>
                <w:rFonts w:ascii="Arial" w:hAnsi="Arial" w:cs="Arial"/>
                <w:b/>
                <w:sz w:val="18"/>
                <w:szCs w:val="18"/>
                <w:highlight w:val="yellow"/>
              </w:rPr>
            </w:pPr>
            <w:r>
              <w:rPr>
                <w:rFonts w:ascii="Arial" w:hAnsi="Arial"/>
                <w:b/>
                <w:color w:val="373737" w:themeColor="background1" w:themeShade="40"/>
                <w:sz w:val="18"/>
                <w:highlight w:val="yellow"/>
              </w:rPr>
              <w:t>Количествени методи</w:t>
            </w:r>
            <w:r>
              <w:rPr>
                <w:rStyle w:val="FootnoteReference"/>
                <w:highlight w:val="yellow"/>
              </w:rPr>
              <w:footnoteReference w:id="161"/>
            </w:r>
            <w:r>
              <w:rPr>
                <w:rFonts w:ascii="Arial" w:hAnsi="Arial"/>
                <w:b/>
                <w:sz w:val="18"/>
                <w:highlight w:val="yellow"/>
              </w:rPr>
              <w:t xml:space="preserve">: </w:t>
            </w:r>
          </w:p>
          <w:p w:rsidR="00143584" w:rsidRDefault="00D64125">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Основания за използване на метода  </w:t>
            </w:r>
          </w:p>
          <w:p w:rsidR="00143584" w:rsidRDefault="00D64125">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Описание на методите за изчисляване на съотношенията, на брутните или нетните (ако е приложимо) стойности на общите и специфичните за програмата показатели</w:t>
            </w:r>
            <w:r>
              <w:rPr>
                <w:rStyle w:val="FootnoteReference"/>
                <w:highlight w:val="yellow"/>
              </w:rPr>
              <w:footnoteReference w:id="162"/>
            </w:r>
          </w:p>
          <w:p w:rsidR="00143584" w:rsidRDefault="00D64125">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Изчислението на показателя PSRI2C/1 (%) и показателя за крайните продукти (използван за изчисляване на PSRI2C/1) беше основано на данните, събрани чрез базата данни на операциите. Изчислението на брутните стойности на PSRI2C/2 и PSRI2C/3 беше базирано на данните за оценка, събрани чрез базата данни на операциите само по отношение на бенефициерите, и на констатациите от проучване.</w:t>
            </w:r>
          </w:p>
          <w:p w:rsidR="00143584" w:rsidRDefault="00D64125">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Стойност на специфичния за програмата показател за контекста: Броят на предприятията в горското стопанство е получен от националната статистика.</w:t>
            </w:r>
          </w:p>
          <w:p w:rsidR="00143584" w:rsidRDefault="00D64125">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За PSRI2C/2 и PSRI2C/3 оценяването е осъществено на 2 етапа:</w:t>
            </w:r>
          </w:p>
          <w:p w:rsidR="00143584" w:rsidRDefault="00D64125">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Етап 1: Определяне на първичния принос на операциите в рамките на мерките по ПРСР, пряко относим към област с поставен акцент 2В (мерки: М2.1, М8.6 и М16.3) </w:t>
            </w:r>
          </w:p>
          <w:p w:rsidR="00143584" w:rsidRDefault="00D64125">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Етап 2: Определяне на вторичния принос на тези операции в рамките на мерките по ПРСР, чиято основна цел е свързана с друга област с поставен акцент (например биологично разнообразие М12.2), но които също така се очаква да имат ефект върху конкурентоспособността на предприятията в горското стопанство и икономическите резултати, а оттам и върху производителността на труда на </w:t>
            </w:r>
            <w:r>
              <w:rPr>
                <w:color w:val="373737" w:themeColor="background1" w:themeShade="40"/>
                <w:highlight w:val="yellow"/>
              </w:rPr>
              <w:lastRenderedPageBreak/>
              <w:t xml:space="preserve">стопанствата. </w:t>
            </w:r>
          </w:p>
          <w:p w:rsidR="00143584" w:rsidRDefault="00D64125">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Предизвикателства при прилагането на описаните методи и намерени решения</w:t>
            </w:r>
          </w:p>
          <w:p w:rsidR="00143584" w:rsidRDefault="00D64125">
            <w:pPr>
              <w:tabs>
                <w:tab w:val="left" w:pos="709"/>
              </w:tabs>
              <w:suppressAutoHyphens/>
              <w:autoSpaceDN w:val="0"/>
              <w:spacing w:after="0"/>
              <w:textAlignment w:val="baseline"/>
              <w:rPr>
                <w:rFonts w:cs="Arial"/>
                <w:color w:val="373737" w:themeColor="background1" w:themeShade="40"/>
                <w:szCs w:val="18"/>
                <w:highlight w:val="yellow"/>
              </w:rPr>
            </w:pPr>
            <w:r>
              <w:rPr>
                <w:color w:val="373737" w:themeColor="background1" w:themeShade="40"/>
                <w:highlight w:val="yellow"/>
              </w:rPr>
              <w:t xml:space="preserve">Всички мерки, които са пряко относими към област с поставен акцент 2В, се очаква, </w:t>
            </w:r>
            <w:r>
              <w:rPr>
                <w:i/>
                <w:color w:val="373737" w:themeColor="background1" w:themeShade="40"/>
                <w:highlight w:val="yellow"/>
              </w:rPr>
              <w:t>inter alia</w:t>
            </w:r>
            <w:r>
              <w:rPr>
                <w:color w:val="373737" w:themeColor="background1" w:themeShade="40"/>
                <w:highlight w:val="yellow"/>
              </w:rPr>
              <w:t xml:space="preserve">, да окажат въздействие върху производителността на труда на стопанствата (показател PSRI2C/3) на бенефициера по програмата. За определянето на горепосочения принос бяха нужни допълнителни данни, например за местоположението на подпомаганите и неподпомаганите стопанства. За ГДИ за 2017 г. показателите PSRI2C/2 и PSRI2C/3 бяха изчислени само като брутни стойности. Поради липсата на достъпни статистически данни за 2016 г. можаха да бъдат взети предвид само бенефициерите по ПРСР.  </w:t>
            </w:r>
          </w:p>
          <w:p w:rsidR="00143584" w:rsidRDefault="00143584">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rPr>
            </w:pPr>
          </w:p>
          <w:p w:rsidR="00143584" w:rsidRDefault="0014358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143584" w:rsidRDefault="0014358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143584" w:rsidRDefault="00D64125">
            <w:pPr>
              <w:pStyle w:val="ListParagraph"/>
              <w:suppressAutoHyphens/>
              <w:autoSpaceDN w:val="0"/>
              <w:spacing w:after="0"/>
              <w:textAlignment w:val="baseline"/>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Качествени методи:  </w:t>
            </w:r>
          </w:p>
          <w:p w:rsidR="00143584" w:rsidRDefault="00D64125">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Причини за използването на метода</w:t>
            </w:r>
            <w:r>
              <w:rPr>
                <w:rStyle w:val="FootnoteReference"/>
                <w:highlight w:val="yellow"/>
              </w:rPr>
              <w:footnoteReference w:id="163"/>
            </w:r>
          </w:p>
          <w:p w:rsidR="00143584" w:rsidRDefault="00D64125">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Описание на използваните методи</w:t>
            </w:r>
            <w:r>
              <w:rPr>
                <w:rStyle w:val="FootnoteReference"/>
                <w:highlight w:val="yellow"/>
              </w:rPr>
              <w:footnoteReference w:id="164"/>
            </w:r>
          </w:p>
          <w:p w:rsidR="00143584" w:rsidRDefault="00D64125">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Предизвикателства при прилагането на описаните методи и намерени решения</w:t>
            </w:r>
          </w:p>
          <w:p w:rsidR="00143584" w:rsidRDefault="00D64125">
            <w:pPr>
              <w:spacing w:after="0"/>
              <w:rPr>
                <w:rFonts w:cs="Arial"/>
                <w:color w:val="373737" w:themeColor="background1" w:themeShade="40"/>
                <w:szCs w:val="18"/>
                <w:highlight w:val="yellow"/>
              </w:rPr>
            </w:pPr>
            <w:r>
              <w:rPr>
                <w:color w:val="373737" w:themeColor="background1" w:themeShade="40"/>
                <w:highlight w:val="yellow"/>
              </w:rPr>
              <w:t xml:space="preserve">Неприложимо </w:t>
            </w:r>
          </w:p>
          <w:p w:rsidR="00143584" w:rsidRDefault="00D64125">
            <w:pPr>
              <w:spacing w:after="0"/>
              <w:rPr>
                <w:rFonts w:cs="Arial"/>
                <w:szCs w:val="18"/>
                <w:highlight w:val="yellow"/>
              </w:rPr>
            </w:pPr>
            <w:r>
              <w:rPr>
                <w:i/>
                <w:color w:val="F7A833" w:themeColor="accent5"/>
                <w:highlight w:val="yellow"/>
              </w:rPr>
              <w:t>[Максимум 7 000 знака = приблизително 2 стр. — Задължително]</w:t>
            </w:r>
          </w:p>
        </w:tc>
      </w:tr>
      <w:tr w:rsidR="00143584">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1"/>
              </w:numPr>
              <w:suppressAutoHyphens/>
              <w:autoSpaceDN w:val="0"/>
              <w:spacing w:after="0"/>
              <w:textAlignment w:val="baseline"/>
              <w:rPr>
                <w:rFonts w:ascii="Arial" w:hAnsi="Arial" w:cs="Arial"/>
                <w:b/>
                <w:color w:val="F07E31"/>
                <w:sz w:val="18"/>
                <w:szCs w:val="18"/>
                <w:highlight w:val="yellow"/>
              </w:rPr>
            </w:pPr>
            <w:r>
              <w:rPr>
                <w:rFonts w:ascii="Arial" w:hAnsi="Arial"/>
                <w:b/>
                <w:color w:val="F07E31"/>
                <w:sz w:val="18"/>
                <w:highlight w:val="yellow"/>
              </w:rPr>
              <w:lastRenderedPageBreak/>
              <w:t>Количествени стойности на показателите</w:t>
            </w:r>
            <w:r>
              <w:rPr>
                <w:rStyle w:val="FootnoteReference"/>
                <w:highlight w:val="yellow"/>
              </w:rPr>
              <w:footnoteReference w:id="165"/>
            </w:r>
            <w:r>
              <w:rPr>
                <w:rFonts w:ascii="Arial" w:hAnsi="Arial"/>
                <w:b/>
                <w:color w:val="F07E31"/>
                <w:sz w:val="18"/>
                <w:highlight w:val="yellow"/>
              </w:rPr>
              <w:t xml:space="preserve"> и източници на данни </w:t>
            </w:r>
          </w:p>
          <w:p w:rsidR="00143584" w:rsidRDefault="00143584">
            <w:pPr>
              <w:spacing w:after="0"/>
              <w:rPr>
                <w:rFonts w:cs="Arial"/>
                <w:b/>
                <w:szCs w:val="18"/>
                <w:highlight w:val="yellow"/>
              </w:rPr>
            </w:pPr>
          </w:p>
          <w:p w:rsidR="00143584" w:rsidRDefault="00D64125">
            <w:pPr>
              <w:spacing w:after="0"/>
              <w:rPr>
                <w:rFonts w:cs="Arial"/>
                <w:i/>
                <w:color w:val="F7A833" w:themeColor="accent5"/>
                <w:szCs w:val="18"/>
                <w:highlight w:val="yellow"/>
              </w:rPr>
            </w:pPr>
            <w:r>
              <w:rPr>
                <w:i/>
                <w:color w:val="F7A833" w:themeColor="accent5"/>
                <w:highlight w:val="yellow"/>
              </w:rPr>
              <w:t>[Задължително]</w:t>
            </w:r>
          </w:p>
          <w:p w:rsidR="00143584" w:rsidRDefault="00143584">
            <w:pPr>
              <w:spacing w:after="0"/>
              <w:rPr>
                <w:rFonts w:cs="Arial"/>
                <w:b/>
                <w:szCs w:val="18"/>
                <w:highlight w:val="yellow"/>
              </w:rPr>
            </w:pPr>
          </w:p>
        </w:tc>
      </w:tr>
      <w:tr w:rsidR="00143584">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jc w:val="left"/>
              <w:rPr>
                <w:rFonts w:cs="Arial"/>
                <w:b/>
                <w:color w:val="373737" w:themeColor="background1" w:themeShade="40"/>
                <w:szCs w:val="18"/>
                <w:highlight w:val="yellow"/>
              </w:rPr>
            </w:pPr>
            <w:r>
              <w:rPr>
                <w:b/>
                <w:color w:val="373737" w:themeColor="background1" w:themeShade="40"/>
                <w:highlight w:val="yellow"/>
              </w:rPr>
              <w:t xml:space="preserve">Показател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D64125">
            <w:pPr>
              <w:spacing w:after="0"/>
              <w:jc w:val="left"/>
              <w:rPr>
                <w:rFonts w:cs="Arial"/>
                <w:b/>
                <w:szCs w:val="18"/>
                <w:highlight w:val="yellow"/>
              </w:rPr>
            </w:pPr>
            <w:r>
              <w:rPr>
                <w:b/>
                <w:color w:val="373737" w:themeColor="background1" w:themeShade="40"/>
                <w:highlight w:val="yellow"/>
              </w:rPr>
              <w:t>Абсолютна стойност</w:t>
            </w:r>
            <w:r>
              <w:rPr>
                <w:rStyle w:val="FootnoteReference"/>
                <w:highlight w:val="yellow"/>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D64125">
            <w:pPr>
              <w:spacing w:after="0"/>
              <w:jc w:val="left"/>
              <w:rPr>
                <w:rFonts w:cs="Arial"/>
                <w:b/>
                <w:szCs w:val="18"/>
                <w:highlight w:val="yellow"/>
              </w:rPr>
            </w:pPr>
            <w:r>
              <w:rPr>
                <w:b/>
                <w:color w:val="373737" w:themeColor="background1" w:themeShade="40"/>
                <w:highlight w:val="yellow"/>
              </w:rPr>
              <w:t>Съотношение</w:t>
            </w:r>
            <w:r>
              <w:rPr>
                <w:rStyle w:val="FootnoteReference"/>
                <w:highlight w:val="yellow"/>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D64125">
            <w:pPr>
              <w:spacing w:after="0"/>
              <w:jc w:val="left"/>
              <w:rPr>
                <w:rFonts w:cs="Arial"/>
                <w:b/>
                <w:szCs w:val="18"/>
                <w:highlight w:val="yellow"/>
              </w:rPr>
            </w:pPr>
            <w:r>
              <w:rPr>
                <w:b/>
                <w:color w:val="373737" w:themeColor="background1" w:themeShade="40"/>
                <w:highlight w:val="yellow"/>
              </w:rPr>
              <w:t>Изчислена брутна стойност</w:t>
            </w:r>
            <w:r>
              <w:rPr>
                <w:rStyle w:val="FootnoteReference"/>
                <w:highlight w:val="yellow"/>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D64125">
            <w:pPr>
              <w:spacing w:after="0"/>
              <w:jc w:val="left"/>
              <w:rPr>
                <w:rFonts w:cs="Arial"/>
                <w:b/>
                <w:szCs w:val="18"/>
                <w:highlight w:val="yellow"/>
              </w:rPr>
            </w:pPr>
            <w:r>
              <w:rPr>
                <w:b/>
                <w:color w:val="373737" w:themeColor="background1" w:themeShade="40"/>
                <w:highlight w:val="yellow"/>
              </w:rPr>
              <w:t>Изчислена нетна стойност</w:t>
            </w:r>
            <w:r>
              <w:rPr>
                <w:rStyle w:val="FootnoteReference"/>
                <w:highlight w:val="yellow"/>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143584" w:rsidRDefault="00D64125">
            <w:pPr>
              <w:jc w:val="left"/>
              <w:rPr>
                <w:rFonts w:cs="Arial"/>
                <w:b/>
                <w:szCs w:val="18"/>
                <w:highlight w:val="yellow"/>
              </w:rPr>
            </w:pPr>
            <w:r>
              <w:rPr>
                <w:b/>
                <w:color w:val="373737" w:themeColor="background1" w:themeShade="40"/>
                <w:highlight w:val="yellow"/>
              </w:rPr>
              <w:t>Източници на данни и информация</w:t>
            </w:r>
            <w:r>
              <w:rPr>
                <w:rStyle w:val="FootnoteReference"/>
                <w:highlight w:val="yellow"/>
              </w:rPr>
              <w:footnoteReference w:id="170"/>
            </w:r>
          </w:p>
        </w:tc>
      </w:tr>
      <w:tr w:rsidR="00143584">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ind w:right="32"/>
              <w:jc w:val="left"/>
              <w:rPr>
                <w:rFonts w:cs="Arial"/>
                <w:b/>
                <w:szCs w:val="18"/>
                <w:highlight w:val="yellow"/>
              </w:rPr>
            </w:pPr>
            <w:r>
              <w:rPr>
                <w:b/>
                <w:color w:val="373737" w:themeColor="background1" w:themeShade="40"/>
                <w:highlight w:val="yellow"/>
              </w:rPr>
              <w:t xml:space="preserve">Общи показатели за крайните продукти </w:t>
            </w:r>
            <w:r>
              <w:rPr>
                <w:rStyle w:val="FootnoteReference"/>
                <w:highlight w:val="yellow"/>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 xml:space="preserve">О3 — Брой на операциите, получаващи подкрепа </w:t>
            </w:r>
            <w:r>
              <w:rPr>
                <w:rFonts w:ascii="Arial" w:hAnsi="Arial"/>
                <w:b w:val="0"/>
                <w:color w:val="6F6F6F" w:themeColor="text1"/>
                <w:sz w:val="18"/>
                <w:highlight w:val="yellow"/>
              </w:rPr>
              <w:lastRenderedPageBreak/>
              <w:t>(ОСМО)</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2160"/>
              <w:jc w:val="center"/>
              <w:rPr>
                <w:rFonts w:ascii="Arial" w:hAnsi="Arial" w:cs="Arial"/>
                <w:b/>
                <w:color w:val="373737" w:themeColor="background1" w:themeShade="40"/>
                <w:sz w:val="18"/>
                <w:szCs w:val="18"/>
                <w:highlight w:val="yellow"/>
              </w:rPr>
            </w:pPr>
          </w:p>
          <w:p w:rsidR="00143584" w:rsidRDefault="00D64125">
            <w:pPr>
              <w:jc w:val="center"/>
              <w:rPr>
                <w:rFonts w:cs="Arial"/>
                <w:color w:val="373737" w:themeColor="background1" w:themeShade="40"/>
                <w:szCs w:val="18"/>
                <w:highlight w:val="yellow"/>
              </w:rPr>
            </w:pPr>
            <w:r>
              <w:rPr>
                <w:color w:val="373737" w:themeColor="background1" w:themeShade="40"/>
                <w:highlight w:val="yellow"/>
              </w:rPr>
              <w:t>3 253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ED7D31"/>
                <w:sz w:val="18"/>
                <w:szCs w:val="18"/>
                <w:highlight w:val="yellow"/>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ED7D31"/>
                <w:sz w:val="18"/>
                <w:szCs w:val="18"/>
                <w:highlight w:val="yellow"/>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ED7D31"/>
                <w:sz w:val="18"/>
                <w:szCs w:val="18"/>
                <w:highlight w:val="yellow"/>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ind w:left="2160"/>
              <w:rPr>
                <w:rFonts w:ascii="Arial" w:hAnsi="Arial" w:cs="Arial"/>
                <w:b/>
                <w:color w:val="ED7D31"/>
                <w:sz w:val="18"/>
                <w:szCs w:val="18"/>
                <w:highlight w:val="yellow"/>
              </w:rPr>
            </w:pPr>
          </w:p>
        </w:tc>
      </w:tr>
      <w:tr w:rsidR="00143584">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О4 — Брой на стопанствата/бенефициерите, получаващи подкрепа (ОСМО)</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2160"/>
              <w:jc w:val="center"/>
              <w:rPr>
                <w:rFonts w:ascii="Arial" w:hAnsi="Arial" w:cs="Arial"/>
                <w:b/>
                <w:color w:val="373737" w:themeColor="background1" w:themeShade="40"/>
                <w:sz w:val="18"/>
                <w:szCs w:val="18"/>
                <w:highlight w:val="yellow"/>
              </w:rPr>
            </w:pPr>
          </w:p>
          <w:p w:rsidR="00143584" w:rsidRDefault="00D64125">
            <w:pPr>
              <w:tabs>
                <w:tab w:val="left" w:pos="628"/>
              </w:tabs>
              <w:jc w:val="center"/>
              <w:rPr>
                <w:rFonts w:cs="Arial"/>
                <w:color w:val="373737" w:themeColor="background1" w:themeShade="40"/>
                <w:szCs w:val="18"/>
                <w:highlight w:val="yellow"/>
              </w:rPr>
            </w:pPr>
            <w:r>
              <w:rPr>
                <w:color w:val="373737" w:themeColor="background1" w:themeShade="40"/>
                <w:highlight w:val="yellow"/>
              </w:rPr>
              <w:t>2 153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ED7D31"/>
                <w:sz w:val="18"/>
                <w:szCs w:val="18"/>
                <w:highlight w:val="yellow"/>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ED7D31"/>
                <w:sz w:val="18"/>
                <w:szCs w:val="18"/>
                <w:highlight w:val="yellow"/>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ED7D31"/>
                <w:sz w:val="18"/>
                <w:szCs w:val="18"/>
                <w:highlight w:val="yellow"/>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ind w:left="2160"/>
              <w:rPr>
                <w:rFonts w:ascii="Arial" w:hAnsi="Arial" w:cs="Arial"/>
                <w:b/>
                <w:color w:val="ED7D31"/>
                <w:sz w:val="18"/>
                <w:szCs w:val="18"/>
                <w:highlight w:val="yellow"/>
              </w:rPr>
            </w:pPr>
          </w:p>
        </w:tc>
      </w:tr>
      <w:tr w:rsidR="00143584">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jc w:val="left"/>
              <w:rPr>
                <w:rFonts w:cs="Arial"/>
                <w:b/>
                <w:szCs w:val="18"/>
                <w:highlight w:val="yellow"/>
              </w:rPr>
            </w:pPr>
            <w:r>
              <w:rPr>
                <w:b/>
                <w:color w:val="373737" w:themeColor="background1" w:themeShade="40"/>
                <w:highlight w:val="yellow"/>
              </w:rPr>
              <w:t xml:space="preserve">Специфични за програмата показатели за крайните продукти </w:t>
            </w:r>
            <w:r>
              <w:rPr>
                <w:rStyle w:val="FootnoteReference"/>
                <w:highlight w:val="yellow"/>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spacing w:after="0"/>
              <w:rPr>
                <w:rFonts w:cs="Arial"/>
                <w:b/>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216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143584" w:rsidRDefault="00143584">
            <w:pPr>
              <w:pStyle w:val="ListParagraph"/>
              <w:spacing w:after="0"/>
              <w:ind w:left="2160"/>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143584">
            <w:pPr>
              <w:pStyle w:val="ListParagraph"/>
              <w:spacing w:after="0"/>
              <w:ind w:left="2160"/>
              <w:rPr>
                <w:rFonts w:ascii="Arial" w:hAnsi="Arial" w:cs="Arial"/>
                <w:b/>
                <w:color w:val="ED7D31"/>
                <w:sz w:val="18"/>
                <w:szCs w:val="18"/>
                <w:highlight w:val="yellow"/>
              </w:rPr>
            </w:pPr>
          </w:p>
        </w:tc>
      </w:tr>
      <w:tr w:rsidR="00143584">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rFonts w:cs="Arial"/>
                <w:b/>
                <w:szCs w:val="18"/>
                <w:highlight w:val="yellow"/>
              </w:rPr>
            </w:pPr>
            <w:r>
              <w:rPr>
                <w:b/>
                <w:color w:val="373737" w:themeColor="background1" w:themeShade="40"/>
                <w:highlight w:val="yellow"/>
              </w:rPr>
              <w:t>Общи показатели</w:t>
            </w:r>
            <w:r>
              <w:rPr>
                <w:rStyle w:val="FootnoteReference"/>
                <w:highlight w:val="yellow"/>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143584">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0"/>
              <w:jc w:val="center"/>
              <w:rPr>
                <w:rFonts w:ascii="Arial" w:hAnsi="Arial" w:cs="Arial"/>
                <w:b/>
                <w:color w:val="ED7D31"/>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0"/>
              <w:jc w:val="center"/>
              <w:rPr>
                <w:rFonts w:ascii="Arial" w:hAnsi="Arial" w:cs="Arial"/>
                <w:b/>
                <w:color w:val="ED7D31"/>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0"/>
              <w:jc w:val="center"/>
              <w:rPr>
                <w:rFonts w:ascii="Arial" w:hAnsi="Arial" w:cs="Arial"/>
                <w:b/>
                <w:color w:val="ED7D31"/>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0"/>
              <w:jc w:val="center"/>
              <w:rPr>
                <w:rFonts w:ascii="Arial" w:hAnsi="Arial" w:cs="Arial"/>
                <w:b/>
                <w:color w:val="ED7D31"/>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143584" w:rsidRDefault="00143584">
            <w:pPr>
              <w:pStyle w:val="ListParagraph"/>
              <w:spacing w:after="0"/>
              <w:ind w:left="0"/>
              <w:jc w:val="center"/>
              <w:rPr>
                <w:rFonts w:ascii="Arial" w:hAnsi="Arial" w:cs="Arial"/>
                <w:color w:val="ED7D31"/>
                <w:sz w:val="18"/>
                <w:szCs w:val="18"/>
                <w:highlight w:val="yellow"/>
              </w:rPr>
            </w:pPr>
          </w:p>
        </w:tc>
      </w:tr>
      <w:tr w:rsidR="00143584">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rPr>
                <w:rFonts w:cs="Arial"/>
                <w:b/>
                <w:szCs w:val="18"/>
                <w:highlight w:val="yellow"/>
              </w:rPr>
            </w:pPr>
            <w:r>
              <w:rPr>
                <w:b/>
                <w:color w:val="373737" w:themeColor="background1" w:themeShade="40"/>
                <w:highlight w:val="yellow"/>
              </w:rPr>
              <w:t>Специфични за програмата показатели</w:t>
            </w:r>
            <w:r>
              <w:rPr>
                <w:rStyle w:val="FootnoteReference"/>
                <w:highlight w:val="yellow"/>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aps/>
                <w:color w:val="373737" w:themeColor="background1" w:themeShade="40"/>
                <w:sz w:val="18"/>
                <w:highlight w:val="yellow"/>
              </w:rPr>
              <w:t xml:space="preserve">PSRI2C/1 — % </w:t>
            </w:r>
            <w:r>
              <w:rPr>
                <w:rFonts w:ascii="Arial" w:hAnsi="Arial"/>
                <w:b w:val="0"/>
                <w:color w:val="373737" w:themeColor="background1" w:themeShade="40"/>
                <w:sz w:val="18"/>
                <w:highlight w:val="yellow"/>
              </w:rPr>
              <w:t xml:space="preserve">от предприятията в горското стопанство с подпомагане по ПРСР за инвестиции в технологии за горското стопанство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0" w:firstLine="0"/>
              <w:jc w:val="center"/>
              <w:rPr>
                <w:rFonts w:cs="Arial"/>
                <w:color w:val="373737" w:themeColor="background1" w:themeShade="40"/>
                <w:sz w:val="18"/>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D64125">
            <w:pPr>
              <w:spacing w:after="0"/>
              <w:jc w:val="center"/>
              <w:rPr>
                <w:rFonts w:cs="Arial"/>
                <w:color w:val="373737" w:themeColor="background1" w:themeShade="40"/>
                <w:szCs w:val="18"/>
                <w:highlight w:val="yellow"/>
              </w:rPr>
            </w:pPr>
            <w:r>
              <w:rPr>
                <w:color w:val="373737" w:themeColor="background1" w:themeShade="40"/>
                <w:highlight w:val="yellow"/>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spacing w:after="0"/>
              <w:jc w:val="center"/>
              <w:rPr>
                <w:rFonts w:cs="Arial"/>
                <w:color w:val="373737" w:themeColor="background1" w:themeShade="40"/>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spacing w:after="0"/>
              <w:jc w:val="center"/>
              <w:rPr>
                <w:rFonts w:cs="Arial"/>
                <w:color w:val="373737" w:themeColor="background1" w:themeShade="40"/>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143584" w:rsidRDefault="00D64125">
            <w:pPr>
              <w:pStyle w:val="ListParagraph"/>
              <w:tabs>
                <w:tab w:val="clear" w:pos="709"/>
              </w:tabs>
              <w:spacing w:after="0"/>
              <w:ind w:left="0" w:right="101" w:firstLine="0"/>
              <w:jc w:val="center"/>
              <w:rPr>
                <w:rFonts w:cs="Arial"/>
                <w:color w:val="373737" w:themeColor="background1" w:themeShade="40"/>
                <w:sz w:val="18"/>
                <w:szCs w:val="18"/>
                <w:highlight w:val="yellow"/>
              </w:rPr>
            </w:pPr>
            <w:r>
              <w:rPr>
                <w:rFonts w:ascii="Arial" w:hAnsi="Arial"/>
                <w:color w:val="373737" w:themeColor="background1" w:themeShade="40"/>
                <w:sz w:val="18"/>
                <w:highlight w:val="yellow"/>
              </w:rPr>
              <w:t>База данни на операциите</w:t>
            </w:r>
          </w:p>
        </w:tc>
      </w:tr>
      <w:tr w:rsidR="00143584">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D64125">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PSRI2C/2 — Продажби/обща продукция</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D64125">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81,4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D64125">
            <w:pPr>
              <w:pStyle w:val="ListParagraph"/>
              <w:spacing w:after="0"/>
              <w:ind w:left="0" w:hanging="5"/>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290 000 / 356 000 EUR</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143584" w:rsidRDefault="00D64125">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База данни на операциите</w:t>
            </w:r>
          </w:p>
          <w:p w:rsidR="00143584" w:rsidRDefault="00D64125">
            <w:pPr>
              <w:pStyle w:val="ListParagraph"/>
              <w:spacing w:after="0"/>
              <w:ind w:left="0" w:right="101" w:firstLine="0"/>
              <w:jc w:val="center"/>
              <w:rPr>
                <w:rFonts w:ascii="Arial" w:hAnsi="Arial" w:cs="Arial"/>
                <w:b/>
                <w:color w:val="373737" w:themeColor="background1" w:themeShade="40"/>
                <w:sz w:val="18"/>
                <w:szCs w:val="18"/>
                <w:highlight w:val="yellow"/>
              </w:rPr>
            </w:pPr>
            <w:r>
              <w:rPr>
                <w:rFonts w:ascii="Arial" w:hAnsi="Arial"/>
                <w:color w:val="373737" w:themeColor="background1" w:themeShade="40"/>
                <w:sz w:val="18"/>
                <w:highlight w:val="yellow"/>
              </w:rPr>
              <w:t>Проучване</w:t>
            </w:r>
          </w:p>
        </w:tc>
      </w:tr>
      <w:tr w:rsidR="00143584">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PSRI2C/3  — Производителност на труда в горското стопанство (ОСМО)</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spacing w:after="0"/>
              <w:jc w:val="center"/>
              <w:rPr>
                <w:rFonts w:cs="Arial"/>
                <w:color w:val="373737" w:themeColor="background1" w:themeShade="40"/>
                <w:szCs w:val="18"/>
                <w:highlight w:val="yellow"/>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0" w:firstLine="0"/>
              <w:jc w:val="center"/>
              <w:rPr>
                <w:rFonts w:ascii="Arial" w:hAnsi="Arial" w:cs="Arial"/>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D64125">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50 000 EUR ГРЕ</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143584" w:rsidRDefault="00D64125">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База данни на операциите</w:t>
            </w:r>
          </w:p>
          <w:p w:rsidR="00143584" w:rsidRDefault="00D64125">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Проучване</w:t>
            </w:r>
          </w:p>
        </w:tc>
      </w:tr>
      <w:tr w:rsidR="00143584">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143584">
            <w:pPr>
              <w:rPr>
                <w:rFonts w:cs="Arial"/>
                <w:b/>
                <w:szCs w:val="18"/>
                <w:highlight w:val="yellow"/>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143584" w:rsidRDefault="00D64125">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 xml:space="preserve">CC — Брой предприятия в горското </w:t>
            </w:r>
            <w:r>
              <w:rPr>
                <w:rFonts w:ascii="Arial" w:hAnsi="Arial"/>
                <w:b w:val="0"/>
                <w:color w:val="373737" w:themeColor="background1" w:themeShade="40"/>
                <w:sz w:val="18"/>
                <w:highlight w:val="yellow"/>
              </w:rPr>
              <w:lastRenderedPageBreak/>
              <w:t>стопанство</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D64125">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lastRenderedPageBreak/>
              <w:t>8 895</w:t>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0" w:firstLine="0"/>
              <w:jc w:val="center"/>
              <w:rPr>
                <w:rFonts w:ascii="Arial" w:hAnsi="Arial" w:cs="Arial"/>
                <w:b/>
                <w:color w:val="373737" w:themeColor="background1" w:themeShade="40"/>
                <w:sz w:val="18"/>
                <w:szCs w:val="18"/>
                <w:highlight w:val="yellow"/>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0" w:hanging="5"/>
              <w:jc w:val="center"/>
              <w:rPr>
                <w:rFonts w:ascii="Arial" w:hAnsi="Arial" w:cs="Arial"/>
                <w:b/>
                <w:color w:val="373737" w:themeColor="background1" w:themeShade="40"/>
                <w:sz w:val="18"/>
                <w:szCs w:val="18"/>
                <w:highlight w:val="yellow"/>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143584" w:rsidRDefault="00143584">
            <w:pPr>
              <w:pStyle w:val="ListParagraph"/>
              <w:spacing w:after="0"/>
              <w:ind w:left="0" w:firstLine="0"/>
              <w:jc w:val="center"/>
              <w:rPr>
                <w:rFonts w:ascii="Arial" w:hAnsi="Arial" w:cs="Arial"/>
                <w:b/>
                <w:color w:val="373737" w:themeColor="background1" w:themeShade="40"/>
                <w:sz w:val="18"/>
                <w:szCs w:val="18"/>
                <w:highlight w:val="yellow"/>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143584" w:rsidRDefault="00D64125">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Национална статистика</w:t>
            </w:r>
          </w:p>
        </w:tc>
      </w:tr>
      <w:tr w:rsidR="00143584">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rPr>
            </w:pPr>
            <w:r>
              <w:rPr>
                <w:rFonts w:ascii="Arial" w:hAnsi="Arial"/>
                <w:b/>
                <w:color w:val="ED7D31"/>
                <w:sz w:val="18"/>
                <w:highlight w:val="yellow"/>
              </w:rPr>
              <w:t>Идентифицирани проблеми, които влияят върху действителността и надеждността на констатациите от оценката</w:t>
            </w:r>
            <w:r>
              <w:rPr>
                <w:rStyle w:val="FootnoteReference"/>
                <w:highlight w:val="yellow"/>
              </w:rPr>
              <w:footnoteReference w:id="175"/>
            </w:r>
            <w:r>
              <w:rPr>
                <w:rFonts w:ascii="Arial" w:hAnsi="Arial"/>
                <w:color w:val="ED7D31"/>
                <w:sz w:val="18"/>
                <w:highlight w:val="yellow"/>
              </w:rPr>
              <w:t xml:space="preserve"> </w:t>
            </w:r>
          </w:p>
          <w:p w:rsidR="00143584" w:rsidRDefault="00143584">
            <w:pPr>
              <w:spacing w:after="0"/>
              <w:rPr>
                <w:rFonts w:cs="Arial"/>
                <w:szCs w:val="18"/>
                <w:highlight w:val="yellow"/>
              </w:rPr>
            </w:pPr>
          </w:p>
          <w:p w:rsidR="00143584" w:rsidRDefault="00D64125">
            <w:pPr>
              <w:spacing w:after="0"/>
              <w:rPr>
                <w:rFonts w:cs="Arial"/>
                <w:i/>
                <w:color w:val="F7A833" w:themeColor="accent5"/>
                <w:szCs w:val="18"/>
                <w:highlight w:val="yellow"/>
              </w:rPr>
            </w:pPr>
            <w:r>
              <w:rPr>
                <w:i/>
                <w:color w:val="F7A833" w:themeColor="accent5"/>
                <w:highlight w:val="yellow"/>
              </w:rPr>
              <w:t>[Максимум 1 750 знака = приблизително ½ стр. — Незадължително]</w:t>
            </w:r>
          </w:p>
          <w:p w:rsidR="00143584" w:rsidRDefault="00D64125">
            <w:pPr>
              <w:spacing w:before="120" w:after="0"/>
              <w:rPr>
                <w:rFonts w:cs="Arial"/>
                <w:color w:val="373737" w:themeColor="background1" w:themeShade="40"/>
                <w:szCs w:val="18"/>
                <w:highlight w:val="yellow"/>
              </w:rPr>
            </w:pPr>
            <w:r>
              <w:rPr>
                <w:color w:val="373737" w:themeColor="background1" w:themeShade="40"/>
                <w:highlight w:val="yellow"/>
              </w:rPr>
              <w:t xml:space="preserve">Изчисляването на PSRI2C/2 и общия показател за контекста 15 беше основано единствено на операции в рамките на мерки/подмерки по ОПА 2В, по които е имало усвояване — М8.6 и М16.3. Останалата част от програмираните мерки/подмерки — М2.1, по които не е имало усвояване към 31.12.2016 г., не са взети предвид. Усвояването на М8.6 и М16.3 даде възможност да се изчислят брутните стойности на двата показателя. Освен първичния принос е взет предвид и вторичен принос, а именно мярка М12.2, програмирана в ОПА 4А, по която имаше усвояване към момента на оценката. За целите на </w:t>
            </w:r>
            <w:r>
              <w:rPr>
                <w:color w:val="373737" w:themeColor="background1" w:themeShade="40"/>
                <w:highlight w:val="yellow"/>
                <w:lang w:val="en-GB"/>
              </w:rPr>
              <w:t>PSRI</w:t>
            </w:r>
            <w:r>
              <w:rPr>
                <w:color w:val="373737" w:themeColor="background1" w:themeShade="40"/>
                <w:highlight w:val="yellow"/>
              </w:rPr>
              <w:t>2</w:t>
            </w:r>
            <w:r>
              <w:rPr>
                <w:color w:val="373737" w:themeColor="background1" w:themeShade="40"/>
                <w:highlight w:val="yellow"/>
                <w:lang w:val="en-GB"/>
              </w:rPr>
              <w:t>C</w:t>
            </w:r>
            <w:r>
              <w:rPr>
                <w:color w:val="373737" w:themeColor="background1" w:themeShade="40"/>
                <w:highlight w:val="yellow"/>
              </w:rPr>
              <w:t xml:space="preserve">/3 беше направено проучване на представителна извадка от съвкупността на бенефициерите по тази мярка (онези, които не са изпълнявали проекти по ОПА 2В). </w:t>
            </w:r>
          </w:p>
          <w:p w:rsidR="00143584" w:rsidRDefault="00D64125">
            <w:pPr>
              <w:spacing w:before="120" w:after="0"/>
              <w:rPr>
                <w:rFonts w:cs="Arial"/>
                <w:color w:val="373737" w:themeColor="background1" w:themeShade="40"/>
                <w:szCs w:val="18"/>
                <w:highlight w:val="yellow"/>
              </w:rPr>
            </w:pPr>
            <w:r>
              <w:rPr>
                <w:color w:val="373737" w:themeColor="background1" w:themeShade="40"/>
                <w:highlight w:val="yellow"/>
              </w:rPr>
              <w:t xml:space="preserve">Не беше възможно да се изчислят нетните стойности на тези показатели, тъй като към момента на оценката не бяха на разположение съответните статистически данни за сформиране на контролни групи и нетиране на стойностите на показателите. Въпреки това оценителите успяха да създадат система за изчисляване на нетните стойности на PSRI2C/3 и PSRI2C/2 или за оценяването им на по-късни етапи (2019 г.), благодарение на което се гарантира набора от данни в хронологичен порядък, свързващи данните от мониторинга със статистическите данни, за да може да се приложи квази-експериментален проект на оценка на по-късни етапи от изпълнението на ПРСР. </w:t>
            </w:r>
          </w:p>
          <w:p w:rsidR="00143584" w:rsidRDefault="00D64125">
            <w:pPr>
              <w:spacing w:before="120" w:after="0"/>
              <w:rPr>
                <w:rFonts w:cs="Arial"/>
                <w:color w:val="373737" w:themeColor="background1" w:themeShade="40"/>
                <w:szCs w:val="18"/>
                <w:highlight w:val="yellow"/>
              </w:rPr>
            </w:pPr>
            <w:r>
              <w:rPr>
                <w:color w:val="373737" w:themeColor="background1" w:themeShade="40"/>
                <w:highlight w:val="yellow"/>
              </w:rPr>
              <w:t>PSRI2C/1 беше изчислен като съотношение (%) на подпомаганите стопанства (данни за О4 от базата данни на операциите към 31.12.2016 г.) спрямо общия брой стопанства (национална статистика от 2015 г.).</w:t>
            </w:r>
          </w:p>
          <w:p w:rsidR="00143584" w:rsidRDefault="00D64125">
            <w:pPr>
              <w:spacing w:before="120" w:after="0"/>
              <w:rPr>
                <w:rFonts w:cs="Arial"/>
                <w:szCs w:val="18"/>
                <w:highlight w:val="yellow"/>
              </w:rPr>
            </w:pPr>
            <w:r>
              <w:rPr>
                <w:color w:val="373737" w:themeColor="background1" w:themeShade="40"/>
                <w:highlight w:val="yellow"/>
              </w:rPr>
              <w:t>Събраните данни дадоха възможност за отговор на СПВО.</w:t>
            </w:r>
          </w:p>
        </w:tc>
      </w:tr>
      <w:tr w:rsidR="00143584">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r>
              <w:rPr>
                <w:rFonts w:ascii="Arial" w:hAnsi="Arial"/>
                <w:b/>
                <w:color w:val="F07E31" w:themeColor="background2"/>
                <w:sz w:val="18"/>
                <w:highlight w:val="yellow"/>
              </w:rPr>
              <w:t>Отговор на въпрос за оценка</w:t>
            </w:r>
            <w:r>
              <w:rPr>
                <w:rStyle w:val="FootnoteReference"/>
                <w:color w:val="373737" w:themeColor="background1" w:themeShade="40"/>
                <w:highlight w:val="yellow"/>
              </w:rPr>
              <w:footnoteReference w:id="176"/>
            </w:r>
            <w:r>
              <w:rPr>
                <w:rFonts w:ascii="Arial" w:hAnsi="Arial"/>
                <w:b/>
                <w:color w:val="373737" w:themeColor="background1" w:themeShade="40"/>
                <w:sz w:val="18"/>
                <w:highlight w:val="yellow"/>
              </w:rPr>
              <w:t xml:space="preserve"> </w:t>
            </w:r>
          </w:p>
          <w:p w:rsidR="00143584" w:rsidRDefault="00143584">
            <w:pPr>
              <w:spacing w:after="0"/>
              <w:rPr>
                <w:rFonts w:cs="Arial"/>
                <w:b/>
                <w:color w:val="373737" w:themeColor="background1" w:themeShade="40"/>
                <w:szCs w:val="18"/>
                <w:highlight w:val="yellow"/>
              </w:rPr>
            </w:pPr>
          </w:p>
          <w:p w:rsidR="00143584" w:rsidRDefault="00D64125">
            <w:pPr>
              <w:spacing w:after="0"/>
              <w:rPr>
                <w:rFonts w:cs="Arial"/>
                <w:i/>
                <w:color w:val="F7A833" w:themeColor="accent5"/>
                <w:szCs w:val="18"/>
                <w:highlight w:val="yellow"/>
              </w:rPr>
            </w:pPr>
            <w:r>
              <w:rPr>
                <w:i/>
                <w:color w:val="F7A833" w:themeColor="accent5"/>
                <w:highlight w:val="yellow"/>
              </w:rPr>
              <w:t>[Максимум 10 500 знака = приблизително 3 стр. — Задължително]</w:t>
            </w:r>
          </w:p>
          <w:p w:rsidR="00143584" w:rsidRDefault="00D64125">
            <w:pPr>
              <w:spacing w:after="0"/>
              <w:rPr>
                <w:rFonts w:cs="Arial"/>
                <w:bCs/>
                <w:color w:val="373737" w:themeColor="background1" w:themeShade="40"/>
                <w:szCs w:val="18"/>
                <w:highlight w:val="yellow"/>
              </w:rPr>
            </w:pPr>
            <w:r>
              <w:rPr>
                <w:color w:val="373737" w:themeColor="background1" w:themeShade="40"/>
                <w:highlight w:val="yellow"/>
              </w:rPr>
              <w:t>В „програмния район“ има 8 895 допустими предприятия в горското стопанство. От тях 2 153 са получили подпомагане за инвестиции в технологии за горското стопанство и в преработката, мобилизирането и предлагането на пазара на горски продукти (М8.6) и/или сътрудничество между малките оператори за организиране на съвместни работни процеси и споделяне на съоръжения и ресурси (М16.3) в рамките на област с поставен акцент 2В. Общият брой на изпълнените проекти преди 31.12.2016 г. беше 3 253. Всички проекти са били приключени. Това означава, че общо 24 % от допустимите предприятия в горското стопанство са получили подкрепа за инвестиции и са допринесли за постигането на целите на ОПА 2В: повишаване на икономическите резултати, конкурентоспособността и засилване на предлагането на пазара на горски продукти.</w:t>
            </w:r>
          </w:p>
          <w:p w:rsidR="00143584" w:rsidRDefault="00D64125">
            <w:pPr>
              <w:spacing w:after="0"/>
              <w:rPr>
                <w:rFonts w:cs="Arial"/>
                <w:color w:val="373737" w:themeColor="background1" w:themeShade="40"/>
                <w:szCs w:val="18"/>
                <w:highlight w:val="yellow"/>
              </w:rPr>
            </w:pPr>
            <w:r>
              <w:rPr>
                <w:color w:val="373737" w:themeColor="background1" w:themeShade="40"/>
                <w:highlight w:val="yellow"/>
              </w:rPr>
              <w:t>Освен този първичен принос към ОПА 2В, имаше очаквания, че и операциите по ОПА 4А ще допринесат за постигането на целите на ОПА 2В, главно вследствие на М12.2, по която общият брой на изпълнените проекти преди 31.12.2016 г. беше 850.</w:t>
            </w:r>
          </w:p>
          <w:p w:rsidR="00143584" w:rsidRDefault="00D64125">
            <w:pPr>
              <w:spacing w:after="0"/>
              <w:rPr>
                <w:rFonts w:cs="Arial"/>
                <w:bCs/>
                <w:color w:val="373737" w:themeColor="background1" w:themeShade="40"/>
                <w:szCs w:val="18"/>
                <w:highlight w:val="yellow"/>
              </w:rPr>
            </w:pPr>
            <w:r>
              <w:rPr>
                <w:color w:val="373737" w:themeColor="background1" w:themeShade="40"/>
                <w:highlight w:val="yellow"/>
              </w:rPr>
              <w:t xml:space="preserve">Горепосоченото подпомагане по ПРСР е повишило производителността на труда в подпомаганите предприятия в горското стопанство от 41 000 EUR/ГРЕ на 50 000 EUR/ГРЕ (в брутни стойности), което означава увеличение от 18 %.  Операциите по подмярка М12.2, осъществени в рамките на ОПА 4А, са допринесли за увеличение на производителността на труда с 8 %. Това означава, че икономическите резултати на подпомаганите стопанства са се повишили главно в резултат на инвестиционните мерки в ОПА 2В и само отчасти чрез базираната на площ мярка М12.2 от ОПА 4А. </w:t>
            </w:r>
          </w:p>
          <w:p w:rsidR="00143584" w:rsidRDefault="00D64125">
            <w:pPr>
              <w:spacing w:after="0"/>
              <w:rPr>
                <w:rFonts w:cs="Arial"/>
                <w:color w:val="373737" w:themeColor="background1" w:themeShade="40"/>
                <w:szCs w:val="18"/>
                <w:highlight w:val="yellow"/>
              </w:rPr>
            </w:pPr>
            <w:r>
              <w:rPr>
                <w:color w:val="373737" w:themeColor="background1" w:themeShade="40"/>
                <w:highlight w:val="yellow"/>
              </w:rPr>
              <w:t xml:space="preserve">Що се отнася до предлагането на пазара на горски продукти, подпомагането от ПРСР не беше толкова ефективно. Бенефициерите са увеличили своите продажби спрямо общата продукция само с 4,1 % (от 77 % на 81,4 %), след като са получили подпомагането от ПРСР (в брутни стойности). Бенефициерите по подмярка М12.2 са допринесли за това увеличение съвсем малко (0,5 %).  </w:t>
            </w:r>
          </w:p>
        </w:tc>
      </w:tr>
      <w:tr w:rsidR="00143584">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43584" w:rsidRDefault="00D64125">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rPr>
            </w:pPr>
            <w:r>
              <w:rPr>
                <w:rFonts w:ascii="Arial" w:hAnsi="Arial"/>
                <w:b/>
                <w:color w:val="ED7D31"/>
                <w:sz w:val="18"/>
                <w:highlight w:val="yellow"/>
              </w:rPr>
              <w:t>Заключения и препоръки</w:t>
            </w:r>
            <w:r>
              <w:rPr>
                <w:rStyle w:val="FootnoteReference"/>
                <w:highlight w:val="yellow"/>
              </w:rPr>
              <w:footnoteReference w:id="177"/>
            </w:r>
          </w:p>
          <w:p w:rsidR="00143584" w:rsidRDefault="00143584">
            <w:pPr>
              <w:spacing w:after="0"/>
              <w:rPr>
                <w:rFonts w:cs="Arial"/>
                <w:b/>
                <w:color w:val="ED7D31"/>
                <w:szCs w:val="18"/>
                <w:highlight w:val="yellow"/>
              </w:rPr>
            </w:pPr>
          </w:p>
          <w:p w:rsidR="00143584" w:rsidRDefault="00143584">
            <w:pPr>
              <w:spacing w:after="0"/>
              <w:rPr>
                <w:rFonts w:cs="Arial"/>
                <w:b/>
                <w:szCs w:val="18"/>
                <w:highlight w:val="yellow"/>
              </w:rPr>
            </w:pPr>
          </w:p>
        </w:tc>
      </w:tr>
      <w:tr w:rsidR="00143584">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rPr>
                <w:rFonts w:cs="Arial"/>
                <w:b/>
                <w:color w:val="373737" w:themeColor="background1" w:themeShade="40"/>
                <w:szCs w:val="18"/>
                <w:highlight w:val="yellow"/>
              </w:rPr>
            </w:pPr>
            <w:r>
              <w:rPr>
                <w:b/>
                <w:color w:val="373737" w:themeColor="background1" w:themeShade="40"/>
                <w:highlight w:val="yellow"/>
              </w:rPr>
              <w:lastRenderedPageBreak/>
              <w:t>Заключение</w:t>
            </w:r>
          </w:p>
          <w:p w:rsidR="00143584" w:rsidRDefault="00143584">
            <w:pPr>
              <w:spacing w:after="0"/>
              <w:rPr>
                <w:rFonts w:cs="Arial"/>
                <w:b/>
                <w:szCs w:val="18"/>
                <w:highlight w:val="yellow"/>
              </w:rPr>
            </w:pPr>
          </w:p>
          <w:p w:rsidR="00143584" w:rsidRDefault="00D64125">
            <w:pPr>
              <w:spacing w:after="0"/>
              <w:rPr>
                <w:rFonts w:cs="Arial"/>
                <w:i/>
                <w:color w:val="F7A833" w:themeColor="accent5"/>
                <w:szCs w:val="18"/>
                <w:highlight w:val="yellow"/>
              </w:rPr>
            </w:pPr>
            <w:r>
              <w:rPr>
                <w:i/>
                <w:color w:val="F7A833" w:themeColor="accent5"/>
                <w:highlight w:val="yellow"/>
              </w:rPr>
              <w:t>[Приблизително 1 000 знака — Задължително]</w:t>
            </w:r>
          </w:p>
          <w:p w:rsidR="00143584" w:rsidRDefault="00143584">
            <w:pPr>
              <w:spacing w:after="0"/>
              <w:rPr>
                <w:rFonts w:cs="Arial"/>
                <w:b/>
                <w:szCs w:val="18"/>
                <w:highlight w:val="yellow"/>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ind w:left="66" w:right="101"/>
              <w:rPr>
                <w:rFonts w:cs="Arial"/>
                <w:b/>
                <w:color w:val="373737" w:themeColor="background1" w:themeShade="40"/>
                <w:szCs w:val="18"/>
                <w:highlight w:val="yellow"/>
              </w:rPr>
            </w:pPr>
            <w:r>
              <w:rPr>
                <w:b/>
                <w:color w:val="373737" w:themeColor="background1" w:themeShade="40"/>
                <w:highlight w:val="yellow"/>
              </w:rPr>
              <w:t>Препоръка</w:t>
            </w:r>
          </w:p>
          <w:p w:rsidR="00143584" w:rsidRDefault="00143584">
            <w:pPr>
              <w:spacing w:after="0"/>
              <w:ind w:left="66" w:right="101"/>
              <w:rPr>
                <w:rFonts w:cs="Arial"/>
                <w:b/>
                <w:color w:val="373737" w:themeColor="background1" w:themeShade="40"/>
                <w:szCs w:val="18"/>
                <w:highlight w:val="yellow"/>
              </w:rPr>
            </w:pPr>
          </w:p>
          <w:p w:rsidR="00143584" w:rsidRDefault="00D64125">
            <w:pPr>
              <w:spacing w:after="0"/>
              <w:ind w:left="66" w:right="101"/>
              <w:rPr>
                <w:rFonts w:cs="Arial"/>
                <w:i/>
                <w:color w:val="F7A833" w:themeColor="accent5"/>
                <w:szCs w:val="18"/>
                <w:highlight w:val="yellow"/>
              </w:rPr>
            </w:pPr>
            <w:r>
              <w:rPr>
                <w:i/>
                <w:color w:val="F7A833" w:themeColor="accent5"/>
                <w:highlight w:val="yellow"/>
              </w:rPr>
              <w:t>[Приблизително 1 000 знака — Незадължително]</w:t>
            </w:r>
          </w:p>
          <w:p w:rsidR="00143584" w:rsidRDefault="00143584">
            <w:pPr>
              <w:spacing w:after="0"/>
              <w:ind w:left="66" w:right="101"/>
              <w:rPr>
                <w:rFonts w:cs="Arial"/>
                <w:b/>
                <w:szCs w:val="18"/>
                <w:highlight w:val="yellow"/>
              </w:rPr>
            </w:pPr>
          </w:p>
        </w:tc>
      </w:tr>
      <w:tr w:rsidR="00143584">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143584" w:rsidRDefault="00D64125">
            <w:pPr>
              <w:spacing w:after="0"/>
              <w:rPr>
                <w:rFonts w:cs="Arial"/>
                <w:b/>
                <w:color w:val="373737" w:themeColor="background1" w:themeShade="40"/>
                <w:szCs w:val="18"/>
                <w:highlight w:val="yellow"/>
              </w:rPr>
            </w:pPr>
            <w:r>
              <w:rPr>
                <w:b/>
                <w:color w:val="373737" w:themeColor="background1" w:themeShade="40"/>
                <w:highlight w:val="yellow"/>
              </w:rPr>
              <w:t xml:space="preserve">З.1 </w:t>
            </w:r>
          </w:p>
          <w:p w:rsidR="00143584" w:rsidRDefault="00D64125">
            <w:pPr>
              <w:spacing w:after="0"/>
              <w:rPr>
                <w:rFonts w:cs="Arial"/>
                <w:color w:val="373737" w:themeColor="background1" w:themeShade="40"/>
                <w:szCs w:val="18"/>
                <w:highlight w:val="yellow"/>
              </w:rPr>
            </w:pPr>
            <w:r>
              <w:rPr>
                <w:color w:val="373737" w:themeColor="background1" w:themeShade="40"/>
                <w:highlight w:val="yellow"/>
              </w:rPr>
              <w:t>Подпомагането по ПРСР е повишило икономическите резултати на предприятията в горското стопанство главно от гледна точка на ефективността и ефикасността на производството в горското стопанство. То не е било толкова ефективно от гледна точка на предлагането на пазара на горските продукти.</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143584" w:rsidRDefault="00D64125">
            <w:pPr>
              <w:spacing w:after="0"/>
              <w:ind w:left="66" w:right="101"/>
              <w:rPr>
                <w:rFonts w:cs="Arial"/>
                <w:b/>
                <w:color w:val="373737" w:themeColor="background1" w:themeShade="40"/>
                <w:szCs w:val="18"/>
                <w:highlight w:val="yellow"/>
              </w:rPr>
            </w:pPr>
            <w:r>
              <w:rPr>
                <w:b/>
                <w:color w:val="373737" w:themeColor="background1" w:themeShade="40"/>
                <w:highlight w:val="yellow"/>
              </w:rPr>
              <w:t>П.1</w:t>
            </w:r>
          </w:p>
          <w:p w:rsidR="00143584" w:rsidRDefault="00D64125">
            <w:pPr>
              <w:spacing w:after="0"/>
              <w:ind w:left="66" w:right="101"/>
              <w:rPr>
                <w:rFonts w:cs="Arial"/>
                <w:color w:val="373737" w:themeColor="background1" w:themeShade="40"/>
                <w:szCs w:val="18"/>
                <w:highlight w:val="yellow"/>
              </w:rPr>
            </w:pPr>
            <w:r>
              <w:rPr>
                <w:color w:val="373737" w:themeColor="background1" w:themeShade="40"/>
                <w:highlight w:val="yellow"/>
              </w:rPr>
              <w:t>За да се подобрят пазарните резултати на предприятията в горското стопанство, следва да бъдат въведени допълнителни мерки по ОПА 2В, например М9 за насърчаване на сътрудничеството между производителите при предлагането на пазара.</w:t>
            </w:r>
          </w:p>
        </w:tc>
      </w:tr>
    </w:tbl>
    <w:p w:rsidR="00143584" w:rsidRDefault="00143584">
      <w:pPr>
        <w:pStyle w:val="Releasable"/>
        <w:ind w:left="840"/>
        <w:rPr>
          <w:rFonts w:ascii="Arial" w:hAnsi="Arial" w:cs="Arial"/>
          <w:sz w:val="20"/>
        </w:rPr>
      </w:pPr>
    </w:p>
    <w:p w:rsidR="00143584" w:rsidRDefault="00143584">
      <w:pPr>
        <w:rPr>
          <w:rFonts w:cs="Arial"/>
          <w:b/>
          <w:sz w:val="20"/>
          <w:szCs w:val="20"/>
        </w:rPr>
      </w:pPr>
    </w:p>
    <w:p w:rsidR="00143584" w:rsidRDefault="00D64125">
      <w:pPr>
        <w:pStyle w:val="Autor"/>
        <w:tabs>
          <w:tab w:val="left" w:pos="1236"/>
        </w:tabs>
        <w:sectPr w:rsidR="00143584">
          <w:pgSz w:w="11907" w:h="16840" w:code="9"/>
          <w:pgMar w:top="1418" w:right="1418" w:bottom="1418" w:left="1418" w:header="737" w:footer="709" w:gutter="0"/>
          <w:cols w:space="708"/>
          <w:titlePg/>
          <w:docGrid w:linePitch="435"/>
        </w:sectPr>
      </w:pPr>
      <w:r>
        <w:tab/>
      </w:r>
    </w:p>
    <w:p w:rsidR="00143584" w:rsidRDefault="00D64125">
      <w:pPr>
        <w:pStyle w:val="HHeading1"/>
        <w:numPr>
          <w:ilvl w:val="0"/>
          <w:numId w:val="0"/>
        </w:numPr>
      </w:pPr>
      <w:bookmarkStart w:id="137" w:name="_Toc456012908"/>
      <w:bookmarkStart w:id="138" w:name="_Toc460936127"/>
      <w:bookmarkStart w:id="139" w:name="_Toc474938251"/>
      <w:r>
        <w:lastRenderedPageBreak/>
        <w:t>Annex 2 - Elements of the CMES and their use in evaluation</w:t>
      </w:r>
      <w:bookmarkEnd w:id="137"/>
      <w:bookmarkEnd w:id="138"/>
      <w:bookmarkEnd w:id="139"/>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143584">
        <w:trPr>
          <w:tblHeader/>
        </w:trPr>
        <w:tc>
          <w:tcPr>
            <w:tcW w:w="2263" w:type="dxa"/>
            <w:shd w:val="clear" w:color="auto" w:fill="F07E31"/>
          </w:tcPr>
          <w:p w:rsidR="00143584" w:rsidRDefault="00D64125">
            <w:pPr>
              <w:suppressAutoHyphens/>
              <w:spacing w:before="40" w:after="40" w:line="240" w:lineRule="auto"/>
              <w:jc w:val="center"/>
              <w:rPr>
                <w:rFonts w:cs="Arial"/>
                <w:b/>
                <w:color w:val="FFFFFF" w:themeColor="accent1"/>
                <w:szCs w:val="18"/>
              </w:rPr>
            </w:pPr>
            <w:r>
              <w:rPr>
                <w:b/>
                <w:color w:val="FFFFFF" w:themeColor="accent1"/>
              </w:rPr>
              <w:t>CMES element</w:t>
            </w:r>
          </w:p>
          <w:p w:rsidR="00143584" w:rsidRDefault="00D64125">
            <w:pPr>
              <w:suppressAutoHyphens/>
              <w:spacing w:before="40" w:after="40" w:line="240" w:lineRule="auto"/>
              <w:jc w:val="center"/>
              <w:rPr>
                <w:rFonts w:cs="Arial"/>
                <w:b/>
                <w:color w:val="FFFFFF" w:themeColor="accent1"/>
                <w:szCs w:val="18"/>
              </w:rPr>
            </w:pPr>
            <w:r>
              <w:rPr>
                <w:b/>
                <w:color w:val="FFFFFF" w:themeColor="accent1"/>
              </w:rPr>
              <w:t xml:space="preserve">(Art.14 of 808/2014, </w:t>
            </w:r>
            <w:r>
              <w:rPr>
                <w:rFonts w:cs="Arial"/>
                <w:b/>
                <w:color w:val="FFFFFF" w:themeColor="accent1"/>
                <w:szCs w:val="18"/>
              </w:rPr>
              <w:br/>
            </w:r>
            <w:r>
              <w:rPr>
                <w:b/>
                <w:color w:val="FFFFFF" w:themeColor="accent1"/>
              </w:rPr>
              <w:t>point 1)</w:t>
            </w:r>
          </w:p>
        </w:tc>
        <w:tc>
          <w:tcPr>
            <w:tcW w:w="5670" w:type="dxa"/>
            <w:shd w:val="clear" w:color="auto" w:fill="F07E31"/>
          </w:tcPr>
          <w:p w:rsidR="00143584" w:rsidRDefault="00D64125">
            <w:pPr>
              <w:suppressAutoHyphens/>
              <w:spacing w:before="40" w:after="40" w:line="240" w:lineRule="auto"/>
              <w:jc w:val="center"/>
              <w:rPr>
                <w:rFonts w:cs="Arial"/>
                <w:b/>
                <w:color w:val="FFFFFF" w:themeColor="accent1"/>
                <w:szCs w:val="18"/>
              </w:rPr>
            </w:pPr>
            <w:r>
              <w:rPr>
                <w:b/>
                <w:color w:val="FFFFFF" w:themeColor="accent1"/>
              </w:rPr>
              <w:t>Short description</w:t>
            </w:r>
          </w:p>
        </w:tc>
        <w:tc>
          <w:tcPr>
            <w:tcW w:w="6379" w:type="dxa"/>
            <w:shd w:val="clear" w:color="auto" w:fill="F07E31"/>
          </w:tcPr>
          <w:p w:rsidR="00143584" w:rsidRDefault="00D64125">
            <w:pPr>
              <w:suppressAutoHyphens/>
              <w:spacing w:before="40" w:after="40" w:line="240" w:lineRule="auto"/>
              <w:jc w:val="center"/>
              <w:rPr>
                <w:rFonts w:cs="Arial"/>
                <w:b/>
                <w:color w:val="FFFFFF" w:themeColor="accent1"/>
                <w:szCs w:val="18"/>
              </w:rPr>
            </w:pPr>
            <w:r>
              <w:rPr>
                <w:b/>
                <w:color w:val="FFFFFF" w:themeColor="accent1"/>
              </w:rPr>
              <w:t>Use in the RDP assessment</w:t>
            </w:r>
          </w:p>
        </w:tc>
      </w:tr>
      <w:tr w:rsidR="00143584">
        <w:tc>
          <w:tcPr>
            <w:tcW w:w="2263" w:type="dxa"/>
          </w:tcPr>
          <w:p w:rsidR="00143584" w:rsidRDefault="00D64125">
            <w:pPr>
              <w:jc w:val="left"/>
              <w:rPr>
                <w:rFonts w:cs="Arial"/>
                <w:b/>
                <w:color w:val="373737" w:themeColor="background1" w:themeShade="40"/>
                <w:szCs w:val="18"/>
              </w:rPr>
            </w:pPr>
            <w:r>
              <w:rPr>
                <w:b/>
                <w:color w:val="373737" w:themeColor="background1" w:themeShade="40"/>
              </w:rPr>
              <w:t>Intervention logic</w:t>
            </w:r>
          </w:p>
        </w:tc>
        <w:tc>
          <w:tcPr>
            <w:tcW w:w="5670" w:type="dxa"/>
          </w:tcPr>
          <w:p w:rsidR="00143584" w:rsidRDefault="00D64125">
            <w:pPr>
              <w:rPr>
                <w:rFonts w:cs="Arial"/>
                <w:color w:val="373737" w:themeColor="background1" w:themeShade="40"/>
                <w:szCs w:val="18"/>
              </w:rPr>
            </w:pPr>
            <w:r>
              <w:rPr>
                <w:color w:val="373737" w:themeColor="background1" w:themeShade="40"/>
              </w:rPr>
              <w:t xml:space="preserve">RDP intervention logic is composed of common EU and RDP specific policy objectives, which relate to RD </w:t>
            </w:r>
            <w:r>
              <w:rPr>
                <w:b/>
                <w:color w:val="373737" w:themeColor="background1" w:themeShade="40"/>
              </w:rPr>
              <w:t>priorities, focus areas and measures/activities, inputs (financial allocations) and expected outputs, results and impacts</w:t>
            </w:r>
            <w:r>
              <w:rPr>
                <w:rStyle w:val="FootnoteReference"/>
                <w:color w:val="373737" w:themeColor="background1" w:themeShade="40"/>
              </w:rPr>
              <w:footnoteReference w:id="178"/>
            </w:r>
            <w:r>
              <w:rPr>
                <w:i/>
                <w:color w:val="373737" w:themeColor="background1" w:themeShade="40"/>
                <w:position w:val="6"/>
              </w:rPr>
              <w:t>.</w:t>
            </w:r>
            <w:r>
              <w:rPr>
                <w:color w:val="373737" w:themeColor="background1" w:themeShade="40"/>
              </w:rPr>
              <w:t xml:space="preserve"> The composition of the intervention logic should be </w:t>
            </w:r>
            <w:r>
              <w:rPr>
                <w:b/>
                <w:color w:val="373737" w:themeColor="background1" w:themeShade="40"/>
              </w:rPr>
              <w:t>coherent and relevant,</w:t>
            </w:r>
            <w:r>
              <w:rPr>
                <w:color w:val="373737" w:themeColor="background1" w:themeShade="40"/>
              </w:rPr>
              <w:t xml:space="preserve"> reflecting the analysis of the territory (SWOT) and needs assessment. </w:t>
            </w:r>
          </w:p>
        </w:tc>
        <w:tc>
          <w:tcPr>
            <w:tcW w:w="6379" w:type="dxa"/>
          </w:tcPr>
          <w:p w:rsidR="00143584" w:rsidRDefault="00D64125">
            <w:pPr>
              <w:rPr>
                <w:rFonts w:cs="Arial"/>
                <w:color w:val="373737" w:themeColor="background1" w:themeShade="40"/>
                <w:szCs w:val="18"/>
              </w:rPr>
            </w:pPr>
            <w:r>
              <w:rPr>
                <w:color w:val="373737" w:themeColor="background1" w:themeShade="40"/>
              </w:rPr>
              <w:t xml:space="preserve">The </w:t>
            </w:r>
            <w:r>
              <w:rPr>
                <w:b/>
                <w:color w:val="373737" w:themeColor="background1" w:themeShade="40"/>
              </w:rPr>
              <w:t>RDP specific intervention logic</w:t>
            </w:r>
            <w:r>
              <w:rPr>
                <w:color w:val="373737" w:themeColor="background1" w:themeShade="40"/>
              </w:rPr>
              <w:t xml:space="preserve"> is the basis for setting up the evaluation framework (common and programme specific evaluation questions and indicators) and for the assessment of the effectiveness, efficiency, and the RDP´s results, impacts and relevance. </w:t>
            </w:r>
          </w:p>
          <w:p w:rsidR="00143584" w:rsidRDefault="00D64125">
            <w:pPr>
              <w:rPr>
                <w:rFonts w:cs="Arial"/>
                <w:color w:val="373737" w:themeColor="background1" w:themeShade="40"/>
                <w:szCs w:val="18"/>
              </w:rPr>
            </w:pPr>
            <w:r>
              <w:rPr>
                <w:color w:val="373737" w:themeColor="background1" w:themeShade="40"/>
              </w:rPr>
              <w:t xml:space="preserve">The intervention logic is also the basis for the application of the theory of change as one of the evaluation approaches. </w:t>
            </w:r>
          </w:p>
        </w:tc>
      </w:tr>
      <w:tr w:rsidR="00143584">
        <w:tc>
          <w:tcPr>
            <w:tcW w:w="2263" w:type="dxa"/>
          </w:tcPr>
          <w:p w:rsidR="00143584" w:rsidRDefault="00D64125">
            <w:pPr>
              <w:jc w:val="left"/>
              <w:rPr>
                <w:rFonts w:cs="Arial"/>
                <w:b/>
                <w:color w:val="373737" w:themeColor="background1" w:themeShade="40"/>
                <w:szCs w:val="18"/>
              </w:rPr>
            </w:pPr>
            <w:r>
              <w:rPr>
                <w:b/>
                <w:color w:val="373737" w:themeColor="background1" w:themeShade="40"/>
              </w:rPr>
              <w:t xml:space="preserve">Set of common context, result and output indicators </w:t>
            </w:r>
          </w:p>
        </w:tc>
        <w:tc>
          <w:tcPr>
            <w:tcW w:w="5670" w:type="dxa"/>
          </w:tcPr>
          <w:p w:rsidR="00143584" w:rsidRDefault="00D64125">
            <w:pPr>
              <w:rPr>
                <w:rFonts w:cs="Arial"/>
                <w:color w:val="373737" w:themeColor="background1" w:themeShade="40"/>
                <w:szCs w:val="18"/>
              </w:rPr>
            </w:pPr>
            <w:r>
              <w:rPr>
                <w:color w:val="373737" w:themeColor="background1" w:themeShade="40"/>
              </w:rPr>
              <w:t xml:space="preserve">Common </w:t>
            </w:r>
            <w:r>
              <w:rPr>
                <w:b/>
                <w:color w:val="373737" w:themeColor="background1" w:themeShade="40"/>
              </w:rPr>
              <w:t>indicators</w:t>
            </w:r>
            <w:r>
              <w:rPr>
                <w:rStyle w:val="FootnoteReference"/>
                <w:color w:val="373737" w:themeColor="background1" w:themeShade="40"/>
              </w:rPr>
              <w:footnoteReference w:id="179"/>
            </w:r>
            <w:r>
              <w:rPr>
                <w:i/>
                <w:color w:val="373737" w:themeColor="background1" w:themeShade="40"/>
                <w:position w:val="6"/>
              </w:rPr>
              <w:t xml:space="preserve"> </w:t>
            </w:r>
            <w:r>
              <w:rPr>
                <w:color w:val="373737" w:themeColor="background1" w:themeShade="40"/>
              </w:rPr>
              <w:t xml:space="preserve">for rural development are tools, set up at the EU level to describe and analyse the programme´s territory or to measure rural policy effects. They relate to policy objectives. The common indicators set contains context (and impact), output and result indicators.  </w:t>
            </w:r>
          </w:p>
          <w:p w:rsidR="00143584" w:rsidRDefault="00D64125">
            <w:pPr>
              <w:rPr>
                <w:rFonts w:cs="Arial"/>
                <w:color w:val="373737" w:themeColor="background1" w:themeShade="40"/>
                <w:szCs w:val="18"/>
              </w:rPr>
            </w:pPr>
            <w:r>
              <w:rPr>
                <w:b/>
                <w:color w:val="373737" w:themeColor="background1" w:themeShade="40"/>
              </w:rPr>
              <w:t>Performance framework (PF) indicators</w:t>
            </w:r>
            <w:r>
              <w:rPr>
                <w:rStyle w:val="FootnoteReference"/>
                <w:color w:val="373737" w:themeColor="background1" w:themeShade="40"/>
              </w:rPr>
              <w:footnoteReference w:id="180"/>
            </w:r>
            <w:r>
              <w:rPr>
                <w:i/>
                <w:color w:val="373737" w:themeColor="background1" w:themeShade="40"/>
                <w:position w:val="6"/>
              </w:rPr>
              <w:t xml:space="preserve"> </w:t>
            </w:r>
            <w:r>
              <w:rPr>
                <w:color w:val="373737" w:themeColor="background1" w:themeShade="40"/>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143584" w:rsidRDefault="00D64125">
            <w:pPr>
              <w:rPr>
                <w:rFonts w:cs="Arial"/>
                <w:color w:val="373737" w:themeColor="background1" w:themeShade="40"/>
                <w:szCs w:val="18"/>
              </w:rPr>
            </w:pPr>
            <w:r>
              <w:rPr>
                <w:color w:val="373737" w:themeColor="background1" w:themeShade="40"/>
              </w:rPr>
              <w:t xml:space="preserve">Common </w:t>
            </w:r>
            <w:r>
              <w:rPr>
                <w:b/>
                <w:color w:val="373737" w:themeColor="background1" w:themeShade="40"/>
              </w:rPr>
              <w:t>contexts indicators</w:t>
            </w:r>
            <w:r>
              <w:rPr>
                <w:color w:val="373737" w:themeColor="background1" w:themeShade="40"/>
              </w:rPr>
              <w:t xml:space="preserve"> are applied to describe and analyse the programme´s territory. Their values are used in the SWOT analysis and as justification in the needs assessment. </w:t>
            </w:r>
          </w:p>
          <w:p w:rsidR="00143584" w:rsidRDefault="00D64125">
            <w:pPr>
              <w:rPr>
                <w:rFonts w:cs="Arial"/>
                <w:color w:val="373737" w:themeColor="background1" w:themeShade="40"/>
                <w:szCs w:val="18"/>
              </w:rPr>
            </w:pPr>
            <w:r>
              <w:rPr>
                <w:color w:val="373737" w:themeColor="background1" w:themeShade="40"/>
              </w:rPr>
              <w:t xml:space="preserve">Programme authorities might decide to develop and use programme specific context indicators, if the common ones are not sufficient to describe the RDP territory. </w:t>
            </w:r>
          </w:p>
          <w:p w:rsidR="00143584" w:rsidRDefault="00D64125">
            <w:pPr>
              <w:rPr>
                <w:rFonts w:cs="Arial"/>
                <w:color w:val="373737" w:themeColor="background1" w:themeShade="40"/>
                <w:szCs w:val="18"/>
              </w:rPr>
            </w:pPr>
            <w:r>
              <w:rPr>
                <w:color w:val="373737" w:themeColor="background1" w:themeShade="40"/>
              </w:rPr>
              <w:t xml:space="preserve">Common context indicators also contain the RD related </w:t>
            </w:r>
            <w:r>
              <w:rPr>
                <w:b/>
                <w:color w:val="373737" w:themeColor="background1" w:themeShade="40"/>
              </w:rPr>
              <w:t>impact indicators</w:t>
            </w:r>
            <w:r>
              <w:rPr>
                <w:color w:val="373737" w:themeColor="background1" w:themeShade="40"/>
              </w:rPr>
              <w:t>, which are used to measure the RDP’s effects at the level of the programme.</w:t>
            </w:r>
          </w:p>
          <w:p w:rsidR="00143584" w:rsidRDefault="00D64125">
            <w:pPr>
              <w:rPr>
                <w:rFonts w:cs="Arial"/>
                <w:color w:val="373737" w:themeColor="background1" w:themeShade="40"/>
                <w:szCs w:val="18"/>
              </w:rPr>
            </w:pPr>
            <w:r>
              <w:rPr>
                <w:color w:val="373737" w:themeColor="background1" w:themeShade="40"/>
              </w:rPr>
              <w:t xml:space="preserve">Common </w:t>
            </w:r>
            <w:r>
              <w:rPr>
                <w:b/>
                <w:color w:val="373737" w:themeColor="background1" w:themeShade="40"/>
              </w:rPr>
              <w:t>result indicators</w:t>
            </w:r>
            <w:r>
              <w:rPr>
                <w:color w:val="373737" w:themeColor="background1" w:themeShade="40"/>
              </w:rPr>
              <w:t xml:space="preserve"> are used to measure the RDP’s results within the programme´s beneficiaries.</w:t>
            </w:r>
          </w:p>
          <w:p w:rsidR="00143584" w:rsidRDefault="00D64125">
            <w:pPr>
              <w:rPr>
                <w:rFonts w:cs="Arial"/>
                <w:color w:val="373737" w:themeColor="background1" w:themeShade="40"/>
                <w:szCs w:val="18"/>
              </w:rPr>
            </w:pPr>
            <w:r>
              <w:rPr>
                <w:color w:val="373737" w:themeColor="background1" w:themeShade="40"/>
              </w:rPr>
              <w:t xml:space="preserve">Common </w:t>
            </w:r>
            <w:r>
              <w:rPr>
                <w:b/>
                <w:color w:val="373737" w:themeColor="background1" w:themeShade="40"/>
              </w:rPr>
              <w:t>output indicators</w:t>
            </w:r>
            <w:r>
              <w:rPr>
                <w:color w:val="373737" w:themeColor="background1" w:themeShade="40"/>
              </w:rPr>
              <w:t xml:space="preserve"> are used to measure direct policy outputs at the measure level.</w:t>
            </w:r>
          </w:p>
          <w:p w:rsidR="00143584" w:rsidRDefault="00D64125">
            <w:pPr>
              <w:rPr>
                <w:rFonts w:cs="Arial"/>
                <w:color w:val="373737" w:themeColor="background1" w:themeShade="40"/>
                <w:szCs w:val="18"/>
              </w:rPr>
            </w:pPr>
            <w:r>
              <w:rPr>
                <w:color w:val="373737" w:themeColor="background1" w:themeShade="40"/>
              </w:rPr>
              <w:t xml:space="preserve">Programme authorities might decide to develop and use programme specific output, result and impact indicators, if the common set does not capture all programme effects. </w:t>
            </w:r>
          </w:p>
          <w:p w:rsidR="00143584" w:rsidRDefault="00D64125">
            <w:pPr>
              <w:rPr>
                <w:rFonts w:cs="Arial"/>
                <w:b/>
                <w:color w:val="373737" w:themeColor="background1" w:themeShade="40"/>
                <w:szCs w:val="18"/>
              </w:rPr>
            </w:pPr>
            <w:r>
              <w:rPr>
                <w:color w:val="373737" w:themeColor="background1" w:themeShade="40"/>
              </w:rPr>
              <w:t>As for the performance framework (PF), Member State can use the pre-</w:t>
            </w:r>
            <w:r>
              <w:rPr>
                <w:color w:val="373737" w:themeColor="background1" w:themeShade="40"/>
              </w:rPr>
              <w:lastRenderedPageBreak/>
              <w:t xml:space="preserve">defined PF indicators, or decide to define their own set. </w:t>
            </w:r>
          </w:p>
        </w:tc>
      </w:tr>
      <w:tr w:rsidR="00143584">
        <w:tc>
          <w:tcPr>
            <w:tcW w:w="2263" w:type="dxa"/>
          </w:tcPr>
          <w:p w:rsidR="00143584" w:rsidRDefault="00D64125">
            <w:pPr>
              <w:jc w:val="left"/>
              <w:rPr>
                <w:rFonts w:cs="Arial"/>
                <w:b/>
                <w:color w:val="373737" w:themeColor="background1" w:themeShade="40"/>
                <w:szCs w:val="18"/>
              </w:rPr>
            </w:pPr>
            <w:r>
              <w:rPr>
                <w:b/>
                <w:color w:val="373737" w:themeColor="background1" w:themeShade="40"/>
              </w:rPr>
              <w:lastRenderedPageBreak/>
              <w:t xml:space="preserve">Common evaluation questions </w:t>
            </w:r>
          </w:p>
        </w:tc>
        <w:tc>
          <w:tcPr>
            <w:tcW w:w="5670" w:type="dxa"/>
          </w:tcPr>
          <w:p w:rsidR="00143584" w:rsidRDefault="00D64125">
            <w:pPr>
              <w:rPr>
                <w:rFonts w:cs="Arial"/>
                <w:color w:val="373737" w:themeColor="background1" w:themeShade="40"/>
                <w:szCs w:val="18"/>
              </w:rPr>
            </w:pPr>
            <w:r>
              <w:rPr>
                <w:b/>
                <w:color w:val="373737" w:themeColor="background1" w:themeShade="40"/>
              </w:rPr>
              <w:t>Common evaluation questions</w:t>
            </w:r>
            <w:r>
              <w:rPr>
                <w:rStyle w:val="FootnoteReference"/>
                <w:color w:val="373737" w:themeColor="background1" w:themeShade="40"/>
              </w:rPr>
              <w:footnoteReference w:id="181"/>
            </w:r>
            <w:r>
              <w:rPr>
                <w:rStyle w:val="FootnoteReference"/>
                <w:color w:val="373737" w:themeColor="background1" w:themeShade="40"/>
              </w:rPr>
              <w:t xml:space="preserve"> </w:t>
            </w:r>
            <w:r>
              <w:rPr>
                <w:color w:val="373737" w:themeColor="background1" w:themeShade="40"/>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143584" w:rsidRDefault="00D64125">
            <w:pPr>
              <w:rPr>
                <w:rFonts w:cs="Arial"/>
                <w:color w:val="373737" w:themeColor="background1" w:themeShade="40"/>
                <w:szCs w:val="18"/>
              </w:rPr>
            </w:pPr>
            <w:r>
              <w:rPr>
                <w:color w:val="373737" w:themeColor="background1" w:themeShade="40"/>
              </w:rPr>
              <w:t>CEQs define the focus of evaluations in relation to policy objectives and help to demonstrate the progress, impact, achievements, effectiveness, efficiency, and relevance of rural development policy.</w:t>
            </w:r>
          </w:p>
          <w:p w:rsidR="00143584" w:rsidRDefault="00D64125">
            <w:pPr>
              <w:rPr>
                <w:rFonts w:cs="Arial"/>
                <w:color w:val="373737" w:themeColor="background1" w:themeShade="40"/>
                <w:szCs w:val="18"/>
              </w:rPr>
            </w:pPr>
            <w:r>
              <w:rPr>
                <w:color w:val="373737" w:themeColor="background1" w:themeShade="40"/>
              </w:rPr>
              <w:t xml:space="preserve">CEQs are answered with the help of indicators, which should be consistent with the CEQs´ judgement criteria and allow for evidence based answers. </w:t>
            </w:r>
          </w:p>
        </w:tc>
      </w:tr>
      <w:tr w:rsidR="00143584">
        <w:tc>
          <w:tcPr>
            <w:tcW w:w="2263" w:type="dxa"/>
          </w:tcPr>
          <w:p w:rsidR="00143584" w:rsidRDefault="00D64125">
            <w:pPr>
              <w:jc w:val="left"/>
              <w:rPr>
                <w:rFonts w:cs="Arial"/>
                <w:b/>
                <w:color w:val="373737" w:themeColor="background1" w:themeShade="40"/>
                <w:szCs w:val="18"/>
              </w:rPr>
            </w:pPr>
            <w:r>
              <w:rPr>
                <w:b/>
                <w:color w:val="373737" w:themeColor="background1" w:themeShade="40"/>
              </w:rPr>
              <w:t>Data collection, storage and transmission</w:t>
            </w:r>
          </w:p>
        </w:tc>
        <w:tc>
          <w:tcPr>
            <w:tcW w:w="5670" w:type="dxa"/>
          </w:tcPr>
          <w:p w:rsidR="00143584" w:rsidRDefault="00D64125">
            <w:pPr>
              <w:rPr>
                <w:rFonts w:cs="Arial"/>
                <w:color w:val="373737" w:themeColor="background1" w:themeShade="40"/>
                <w:szCs w:val="18"/>
              </w:rPr>
            </w:pPr>
            <w:r>
              <w:rPr>
                <w:b/>
                <w:color w:val="373737" w:themeColor="background1" w:themeShade="40"/>
              </w:rPr>
              <w:t>Data</w:t>
            </w:r>
            <w:r>
              <w:rPr>
                <w:rStyle w:val="FootnoteReference"/>
                <w:color w:val="373737" w:themeColor="background1" w:themeShade="40"/>
              </w:rPr>
              <w:footnoteReference w:id="182"/>
            </w:r>
            <w:r>
              <w:rPr>
                <w:rStyle w:val="FootnoteReference"/>
                <w:color w:val="373737" w:themeColor="background1" w:themeShade="40"/>
              </w:rPr>
              <w:t xml:space="preserve"> </w:t>
            </w:r>
            <w:r>
              <w:rPr>
                <w:color w:val="373737" w:themeColor="background1" w:themeShade="40"/>
              </w:rPr>
              <w:t xml:space="preserve">is at the core of the evaluation. There is primary data collected at the single holding level and secondary date providing the aggregated information. </w:t>
            </w:r>
          </w:p>
          <w:p w:rsidR="00143584" w:rsidRDefault="00D64125">
            <w:pPr>
              <w:rPr>
                <w:rFonts w:cs="Arial"/>
                <w:color w:val="373737" w:themeColor="background1" w:themeShade="40"/>
                <w:szCs w:val="18"/>
              </w:rPr>
            </w:pPr>
            <w:r>
              <w:rPr>
                <w:color w:val="373737" w:themeColor="background1" w:themeShade="40"/>
              </w:rPr>
              <w:t>RDP beneficiaries shall provide the MA and evaluators with all information important to conduct monitoring and evaluation</w:t>
            </w:r>
            <w:r>
              <w:rPr>
                <w:rStyle w:val="FootnoteReference"/>
                <w:color w:val="373737" w:themeColor="background1" w:themeShade="40"/>
              </w:rPr>
              <w:footnoteReference w:id="183"/>
            </w:r>
            <w:r>
              <w:t>.</w:t>
            </w:r>
            <w:r>
              <w:rPr>
                <w:color w:val="373737" w:themeColor="background1" w:themeShade="40"/>
              </w:rPr>
              <w:t xml:space="preserve"> Data on RDP´s beneficiaries is collected via the monitoring system.</w:t>
            </w:r>
          </w:p>
          <w:p w:rsidR="00143584" w:rsidRDefault="00D64125">
            <w:pPr>
              <w:rPr>
                <w:rFonts w:cs="Arial"/>
                <w:color w:val="373737" w:themeColor="background1" w:themeShade="40"/>
                <w:szCs w:val="18"/>
              </w:rPr>
            </w:pPr>
            <w:r>
              <w:rPr>
                <w:color w:val="373737" w:themeColor="background1" w:themeShade="40"/>
              </w:rPr>
              <w:t>Data shall be collected, stored and transmitted electronically</w:t>
            </w:r>
            <w:r>
              <w:rPr>
                <w:rStyle w:val="FootnoteReference"/>
                <w:color w:val="373737" w:themeColor="background1" w:themeShade="40"/>
              </w:rPr>
              <w:footnoteReference w:id="184"/>
            </w:r>
            <w:r>
              <w:rPr>
                <w:color w:val="373737" w:themeColor="background1" w:themeShade="40"/>
              </w:rPr>
              <w:t xml:space="preserve">. </w:t>
            </w:r>
          </w:p>
        </w:tc>
        <w:tc>
          <w:tcPr>
            <w:tcW w:w="6379" w:type="dxa"/>
          </w:tcPr>
          <w:p w:rsidR="00143584" w:rsidRDefault="00D64125">
            <w:pPr>
              <w:rPr>
                <w:rFonts w:cs="Arial"/>
                <w:b/>
                <w:color w:val="373737" w:themeColor="background1" w:themeShade="40"/>
                <w:szCs w:val="18"/>
              </w:rPr>
            </w:pPr>
            <w:r>
              <w:rPr>
                <w:color w:val="373737" w:themeColor="background1" w:themeShade="40"/>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143584">
        <w:tc>
          <w:tcPr>
            <w:tcW w:w="2263" w:type="dxa"/>
          </w:tcPr>
          <w:p w:rsidR="00143584" w:rsidRDefault="00D64125">
            <w:pPr>
              <w:jc w:val="left"/>
              <w:rPr>
                <w:rFonts w:cs="Arial"/>
                <w:b/>
                <w:color w:val="373737" w:themeColor="background1" w:themeShade="40"/>
                <w:szCs w:val="18"/>
              </w:rPr>
            </w:pPr>
            <w:r>
              <w:rPr>
                <w:b/>
                <w:color w:val="373737" w:themeColor="background1" w:themeShade="40"/>
              </w:rPr>
              <w:t xml:space="preserve">Regular reporting on the M&amp;E activities </w:t>
            </w:r>
          </w:p>
        </w:tc>
        <w:tc>
          <w:tcPr>
            <w:tcW w:w="5670" w:type="dxa"/>
          </w:tcPr>
          <w:p w:rsidR="00143584" w:rsidRDefault="00D64125">
            <w:pPr>
              <w:rPr>
                <w:rFonts w:cs="Arial"/>
                <w:b/>
                <w:color w:val="373737" w:themeColor="background1" w:themeShade="40"/>
                <w:szCs w:val="18"/>
              </w:rPr>
            </w:pPr>
            <w:r>
              <w:rPr>
                <w:b/>
                <w:color w:val="373737" w:themeColor="background1" w:themeShade="40"/>
              </w:rPr>
              <w:t>MS shall report on M&amp;E in the Annual Implementation Reports (AIRs)</w:t>
            </w:r>
            <w:r>
              <w:rPr>
                <w:rStyle w:val="FootnoteReference"/>
              </w:rPr>
              <w:footnoteReference w:id="185"/>
            </w:r>
            <w:r>
              <w:rPr>
                <w:b/>
                <w:color w:val="373737" w:themeColor="background1" w:themeShade="40"/>
              </w:rPr>
              <w:t xml:space="preserve"> </w:t>
            </w:r>
            <w:r>
              <w:rPr>
                <w:color w:val="373737" w:themeColor="background1" w:themeShade="40"/>
              </w:rPr>
              <w:t xml:space="preserve">each year, starting in 2016 until 2024.  </w:t>
            </w:r>
          </w:p>
        </w:tc>
        <w:tc>
          <w:tcPr>
            <w:tcW w:w="6379" w:type="dxa"/>
          </w:tcPr>
          <w:p w:rsidR="00143584" w:rsidRDefault="00D64125">
            <w:pPr>
              <w:rPr>
                <w:rFonts w:cs="Arial"/>
                <w:color w:val="373737" w:themeColor="background1" w:themeShade="40"/>
                <w:szCs w:val="18"/>
              </w:rPr>
            </w:pPr>
            <w:r>
              <w:rPr>
                <w:color w:val="373737" w:themeColor="background1" w:themeShade="40"/>
              </w:rPr>
              <w:t>The regular AIR reports on M&amp;E activities in chapter 2, which also relates to other chapters, mainly 1 and 3. In the enhanced AIR submitted in 2017 and 2019, additional chapters 6, 7, 8, 9 and 10 relate to reporting on M&amp;E activities.</w:t>
            </w:r>
          </w:p>
          <w:p w:rsidR="00143584" w:rsidRDefault="00D64125">
            <w:pPr>
              <w:rPr>
                <w:rFonts w:cs="Arial"/>
                <w:color w:val="373737" w:themeColor="background1" w:themeShade="40"/>
                <w:szCs w:val="18"/>
              </w:rPr>
            </w:pPr>
            <w:r>
              <w:rPr>
                <w:color w:val="373737" w:themeColor="background1" w:themeShade="40"/>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143584">
        <w:tc>
          <w:tcPr>
            <w:tcW w:w="2263" w:type="dxa"/>
          </w:tcPr>
          <w:p w:rsidR="00143584" w:rsidRDefault="00D64125">
            <w:pPr>
              <w:jc w:val="left"/>
              <w:rPr>
                <w:rFonts w:cs="Arial"/>
                <w:b/>
                <w:color w:val="373737" w:themeColor="background1" w:themeShade="40"/>
                <w:szCs w:val="18"/>
              </w:rPr>
            </w:pPr>
            <w:r>
              <w:rPr>
                <w:b/>
                <w:color w:val="373737" w:themeColor="background1" w:themeShade="40"/>
              </w:rPr>
              <w:t xml:space="preserve">Evaluation plan </w:t>
            </w:r>
          </w:p>
        </w:tc>
        <w:tc>
          <w:tcPr>
            <w:tcW w:w="5670" w:type="dxa"/>
          </w:tcPr>
          <w:p w:rsidR="00143584" w:rsidRDefault="00D64125">
            <w:pPr>
              <w:rPr>
                <w:rFonts w:cs="Arial"/>
                <w:color w:val="373737" w:themeColor="background1" w:themeShade="40"/>
                <w:szCs w:val="18"/>
              </w:rPr>
            </w:pPr>
            <w:r>
              <w:rPr>
                <w:b/>
                <w:color w:val="373737" w:themeColor="background1" w:themeShade="40"/>
              </w:rPr>
              <w:t xml:space="preserve">The evaluation plan (EP) </w:t>
            </w:r>
            <w:r>
              <w:rPr>
                <w:color w:val="373737" w:themeColor="background1" w:themeShade="40"/>
              </w:rPr>
              <w:t xml:space="preserve">is the document, which helps to prepare the programme´s evaluation for the entire programming period. </w:t>
            </w:r>
            <w:r>
              <w:rPr>
                <w:color w:val="373737" w:themeColor="background1" w:themeShade="40"/>
              </w:rPr>
              <w:lastRenderedPageBreak/>
              <w:t>Since it is part of the RDP, any changes must be the subject of formal modification procedures</w:t>
            </w:r>
            <w:r>
              <w:rPr>
                <w:rStyle w:val="FootnoteReference"/>
              </w:rPr>
              <w:footnoteReference w:id="186"/>
            </w:r>
            <w:r>
              <w:t>.</w:t>
            </w:r>
            <w:r>
              <w:rPr>
                <w:color w:val="373737" w:themeColor="background1" w:themeShade="40"/>
              </w:rPr>
              <w:t xml:space="preserve"> The implementation of the EP is regularly reported in the Annual Implementation Reports</w:t>
            </w:r>
            <w:r>
              <w:rPr>
                <w:rStyle w:val="FootnoteReference"/>
              </w:rPr>
              <w:footnoteReference w:id="187"/>
            </w:r>
            <w:r>
              <w:t>.</w:t>
            </w:r>
          </w:p>
        </w:tc>
        <w:tc>
          <w:tcPr>
            <w:tcW w:w="6379" w:type="dxa"/>
          </w:tcPr>
          <w:p w:rsidR="00143584" w:rsidRDefault="00D64125">
            <w:pPr>
              <w:rPr>
                <w:rFonts w:cs="Arial"/>
                <w:color w:val="373737" w:themeColor="background1" w:themeShade="40"/>
                <w:szCs w:val="18"/>
              </w:rPr>
            </w:pPr>
            <w:r>
              <w:rPr>
                <w:color w:val="373737" w:themeColor="background1" w:themeShade="40"/>
              </w:rPr>
              <w:lastRenderedPageBreak/>
              <w:t xml:space="preserve">The EP outlines the objectives of the evaluation, sets up the framework for the management and governance of the evaluation, and includes </w:t>
            </w:r>
            <w:r>
              <w:rPr>
                <w:color w:val="373737" w:themeColor="background1" w:themeShade="40"/>
              </w:rPr>
              <w:lastRenderedPageBreak/>
              <w:t xml:space="preserve">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143584">
        <w:trPr>
          <w:trHeight w:val="135"/>
        </w:trPr>
        <w:tc>
          <w:tcPr>
            <w:tcW w:w="2263" w:type="dxa"/>
          </w:tcPr>
          <w:p w:rsidR="00143584" w:rsidRDefault="00D64125">
            <w:pPr>
              <w:jc w:val="left"/>
              <w:rPr>
                <w:rFonts w:cs="Arial"/>
                <w:b/>
                <w:color w:val="373737" w:themeColor="background1" w:themeShade="40"/>
                <w:szCs w:val="18"/>
              </w:rPr>
            </w:pPr>
            <w:r>
              <w:rPr>
                <w:b/>
                <w:color w:val="373737" w:themeColor="background1" w:themeShade="40"/>
              </w:rPr>
              <w:lastRenderedPageBreak/>
              <w:t xml:space="preserve">Ex ante and ex post evaluation </w:t>
            </w:r>
          </w:p>
        </w:tc>
        <w:tc>
          <w:tcPr>
            <w:tcW w:w="5670" w:type="dxa"/>
          </w:tcPr>
          <w:p w:rsidR="00143584" w:rsidRDefault="00D64125">
            <w:pPr>
              <w:rPr>
                <w:rFonts w:cs="Arial"/>
                <w:color w:val="373737" w:themeColor="background1" w:themeShade="40"/>
                <w:szCs w:val="18"/>
              </w:rPr>
            </w:pPr>
            <w:r>
              <w:rPr>
                <w:b/>
                <w:color w:val="373737" w:themeColor="background1" w:themeShade="40"/>
              </w:rPr>
              <w:t>The Ex ante evaluation (EAE)</w:t>
            </w:r>
            <w:r>
              <w:rPr>
                <w:rStyle w:val="FootnoteReference"/>
              </w:rPr>
              <w:footnoteReference w:id="188"/>
            </w:r>
            <w:r>
              <w:rPr>
                <w:b/>
                <w:color w:val="373737" w:themeColor="background1" w:themeShade="40"/>
              </w:rPr>
              <w:t xml:space="preserve"> </w:t>
            </w:r>
            <w:r>
              <w:rPr>
                <w:color w:val="373737" w:themeColor="background1" w:themeShade="40"/>
              </w:rPr>
              <w:t xml:space="preserve">accompanies the RDP design since the beginning.  </w:t>
            </w:r>
          </w:p>
          <w:p w:rsidR="00143584" w:rsidRDefault="00D64125">
            <w:pPr>
              <w:rPr>
                <w:rFonts w:cs="Arial"/>
                <w:b/>
                <w:color w:val="373737" w:themeColor="background1" w:themeShade="40"/>
                <w:szCs w:val="18"/>
              </w:rPr>
            </w:pPr>
            <w:r>
              <w:rPr>
                <w:b/>
                <w:color w:val="373737" w:themeColor="background1" w:themeShade="40"/>
              </w:rPr>
              <w:t>The Ex post evaluation (EPE)</w:t>
            </w:r>
            <w:r>
              <w:rPr>
                <w:rStyle w:val="FootnoteReference"/>
              </w:rPr>
              <w:footnoteReference w:id="189"/>
            </w:r>
            <w:r>
              <w:rPr>
                <w:b/>
                <w:color w:val="373737" w:themeColor="background1" w:themeShade="40"/>
              </w:rPr>
              <w:t xml:space="preserve"> </w:t>
            </w:r>
            <w:r>
              <w:rPr>
                <w:color w:val="373737" w:themeColor="background1" w:themeShade="40"/>
              </w:rPr>
              <w:t>is conducted after accomplishment of all RDP operations and provides a learning opportunity for the development and implementation of rural policy interventions.</w:t>
            </w:r>
            <w:r>
              <w:rPr>
                <w:b/>
                <w:color w:val="373737" w:themeColor="background1" w:themeShade="40"/>
              </w:rPr>
              <w:t xml:space="preserve"> </w:t>
            </w:r>
          </w:p>
        </w:tc>
        <w:tc>
          <w:tcPr>
            <w:tcW w:w="6379" w:type="dxa"/>
          </w:tcPr>
          <w:p w:rsidR="00143584" w:rsidRDefault="00D64125">
            <w:pPr>
              <w:rPr>
                <w:rFonts w:cs="Arial"/>
                <w:color w:val="373737" w:themeColor="background1" w:themeShade="40"/>
                <w:szCs w:val="18"/>
              </w:rPr>
            </w:pPr>
            <w:r>
              <w:rPr>
                <w:color w:val="373737" w:themeColor="background1" w:themeShade="40"/>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143584" w:rsidRDefault="00D64125">
            <w:pPr>
              <w:rPr>
                <w:rFonts w:cs="Arial"/>
                <w:color w:val="373737" w:themeColor="background1" w:themeShade="40"/>
                <w:szCs w:val="18"/>
              </w:rPr>
            </w:pPr>
            <w:r>
              <w:rPr>
                <w:color w:val="373737" w:themeColor="background1" w:themeShade="40"/>
              </w:rPr>
              <w:t>The EPE shall examine the effectiveness, efficiency and impacts of the RDP and its contribution to the EU2020 Strategy as well as to CAP policy objectives.</w:t>
            </w:r>
          </w:p>
        </w:tc>
      </w:tr>
      <w:tr w:rsidR="00143584">
        <w:trPr>
          <w:trHeight w:val="150"/>
        </w:trPr>
        <w:tc>
          <w:tcPr>
            <w:tcW w:w="2263" w:type="dxa"/>
          </w:tcPr>
          <w:p w:rsidR="00143584" w:rsidRDefault="00D64125">
            <w:pPr>
              <w:jc w:val="left"/>
              <w:rPr>
                <w:rFonts w:cs="Arial"/>
                <w:b/>
                <w:color w:val="373737" w:themeColor="background1" w:themeShade="40"/>
                <w:szCs w:val="18"/>
              </w:rPr>
            </w:pPr>
            <w:r>
              <w:rPr>
                <w:b/>
                <w:color w:val="373737" w:themeColor="background1" w:themeShade="40"/>
              </w:rPr>
              <w:t xml:space="preserve">Support to enable all actors responsible for M&amp;E to fulfil their obligations </w:t>
            </w:r>
          </w:p>
        </w:tc>
        <w:tc>
          <w:tcPr>
            <w:tcW w:w="5670" w:type="dxa"/>
          </w:tcPr>
          <w:p w:rsidR="00143584" w:rsidRDefault="00D64125">
            <w:pPr>
              <w:rPr>
                <w:rFonts w:cs="Arial"/>
                <w:color w:val="373737" w:themeColor="background1" w:themeShade="40"/>
                <w:szCs w:val="18"/>
              </w:rPr>
            </w:pPr>
            <w:r>
              <w:rPr>
                <w:b/>
                <w:color w:val="373737" w:themeColor="background1" w:themeShade="40"/>
              </w:rPr>
              <w:t>Support to stakeholders</w:t>
            </w:r>
            <w:r>
              <w:rPr>
                <w:color w:val="373737" w:themeColor="background1" w:themeShade="40"/>
              </w:rPr>
              <w:t xml:space="preserve"> active in the evaluation of rural policy is provided via legal and implementing acts, which outline evaluation tasks, and various working and guidance documents.  </w:t>
            </w:r>
          </w:p>
        </w:tc>
        <w:tc>
          <w:tcPr>
            <w:tcW w:w="6379" w:type="dxa"/>
          </w:tcPr>
          <w:p w:rsidR="00143584" w:rsidRDefault="00D64125">
            <w:pPr>
              <w:rPr>
                <w:rFonts w:cs="Arial"/>
                <w:color w:val="373737" w:themeColor="background1" w:themeShade="40"/>
                <w:szCs w:val="18"/>
              </w:rPr>
            </w:pPr>
            <w:r>
              <w:rPr>
                <w:color w:val="373737" w:themeColor="background1" w:themeShade="40"/>
              </w:rPr>
              <w:t xml:space="preserve">To complete the evaluation tasks, stakeholders may use various working and guidance documents. </w:t>
            </w:r>
          </w:p>
        </w:tc>
      </w:tr>
    </w:tbl>
    <w:p w:rsidR="00143584" w:rsidRDefault="00D64125">
      <w:pPr>
        <w:pStyle w:val="HHeading1"/>
        <w:numPr>
          <w:ilvl w:val="0"/>
          <w:numId w:val="0"/>
        </w:numPr>
      </w:pPr>
      <w:bookmarkStart w:id="140" w:name="_Toc456012909"/>
      <w:bookmarkStart w:id="141" w:name="_Toc460936128"/>
      <w:bookmarkStart w:id="142" w:name="_Toc474938252"/>
      <w:r>
        <w:lastRenderedPageBreak/>
        <w:t>Annex 3 - Overview of reporting requirements for the RDP implementation and the evaluation in the programming period 2014-2020</w:t>
      </w:r>
      <w:bookmarkEnd w:id="140"/>
      <w:bookmarkEnd w:id="141"/>
      <w:bookmarkEnd w:id="142"/>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143584">
        <w:trPr>
          <w:trHeight w:val="150"/>
          <w:tblHeader/>
          <w:jc w:val="center"/>
        </w:trPr>
        <w:tc>
          <w:tcPr>
            <w:tcW w:w="7087" w:type="dxa"/>
            <w:gridSpan w:val="2"/>
            <w:vMerge w:val="restart"/>
            <w:shd w:val="clear" w:color="auto" w:fill="F07E31"/>
          </w:tcPr>
          <w:p w:rsidR="00143584" w:rsidRDefault="00D64125">
            <w:pPr>
              <w:suppressAutoHyphens/>
              <w:spacing w:before="40" w:after="40" w:line="240" w:lineRule="auto"/>
              <w:rPr>
                <w:rFonts w:cs="Arial"/>
                <w:b/>
                <w:color w:val="FFFFFF"/>
                <w:szCs w:val="18"/>
              </w:rPr>
            </w:pPr>
            <w:bookmarkStart w:id="143" w:name="_Toc447787432"/>
            <w:r>
              <w:rPr>
                <w:b/>
                <w:color w:val="FFFFFF"/>
              </w:rPr>
              <w:t>Reporting requirement (No. in Annex VII of 808/2014</w:t>
            </w:r>
            <w:r>
              <w:rPr>
                <w:rStyle w:val="FootnoteReference"/>
                <w:b/>
                <w:color w:val="FFFFFF"/>
              </w:rPr>
              <w:footnoteReference w:id="190"/>
            </w:r>
            <w:r>
              <w:rPr>
                <w:b/>
                <w:color w:val="FFFFFF"/>
              </w:rPr>
              <w:t>)</w:t>
            </w:r>
          </w:p>
        </w:tc>
        <w:tc>
          <w:tcPr>
            <w:tcW w:w="2694" w:type="dxa"/>
            <w:vMerge w:val="restart"/>
            <w:shd w:val="clear" w:color="auto" w:fill="F07E31"/>
          </w:tcPr>
          <w:p w:rsidR="00143584" w:rsidRDefault="00D64125">
            <w:pPr>
              <w:suppressAutoHyphens/>
              <w:spacing w:before="40" w:after="40" w:line="240" w:lineRule="auto"/>
              <w:rPr>
                <w:rFonts w:cs="Arial"/>
                <w:b/>
                <w:color w:val="FFFFFF"/>
                <w:szCs w:val="18"/>
              </w:rPr>
            </w:pPr>
            <w:r>
              <w:rPr>
                <w:b/>
                <w:color w:val="FFFFFF"/>
              </w:rPr>
              <w:t>Additional legal reference</w:t>
            </w:r>
          </w:p>
        </w:tc>
        <w:tc>
          <w:tcPr>
            <w:tcW w:w="3397" w:type="dxa"/>
            <w:gridSpan w:val="3"/>
            <w:shd w:val="clear" w:color="auto" w:fill="F07E31"/>
          </w:tcPr>
          <w:p w:rsidR="00143584" w:rsidRDefault="00D64125">
            <w:pPr>
              <w:suppressAutoHyphens/>
              <w:spacing w:before="40" w:after="40" w:line="240" w:lineRule="auto"/>
              <w:jc w:val="center"/>
              <w:rPr>
                <w:rFonts w:cs="Arial"/>
                <w:b/>
                <w:color w:val="FFFFFF"/>
                <w:szCs w:val="18"/>
              </w:rPr>
            </w:pPr>
            <w:r>
              <w:rPr>
                <w:b/>
                <w:color w:val="FFFFFF"/>
              </w:rPr>
              <w:t>Reporting requirements</w:t>
            </w:r>
          </w:p>
        </w:tc>
      </w:tr>
      <w:tr w:rsidR="00143584">
        <w:trPr>
          <w:trHeight w:val="150"/>
          <w:tblHeader/>
          <w:jc w:val="center"/>
        </w:trPr>
        <w:tc>
          <w:tcPr>
            <w:tcW w:w="7087" w:type="dxa"/>
            <w:gridSpan w:val="2"/>
            <w:vMerge/>
            <w:shd w:val="clear" w:color="auto" w:fill="F07E31"/>
          </w:tcPr>
          <w:p w:rsidR="00143584" w:rsidRDefault="00143584">
            <w:pPr>
              <w:suppressAutoHyphens/>
              <w:spacing w:before="40" w:after="40" w:line="240" w:lineRule="auto"/>
              <w:rPr>
                <w:rFonts w:cs="Arial"/>
                <w:b/>
                <w:color w:val="FFFFFF"/>
                <w:szCs w:val="18"/>
              </w:rPr>
            </w:pPr>
          </w:p>
        </w:tc>
        <w:tc>
          <w:tcPr>
            <w:tcW w:w="2694" w:type="dxa"/>
            <w:vMerge/>
            <w:shd w:val="clear" w:color="auto" w:fill="F07E31"/>
          </w:tcPr>
          <w:p w:rsidR="00143584" w:rsidRDefault="00143584">
            <w:pPr>
              <w:suppressAutoHyphens/>
              <w:spacing w:before="40" w:after="40" w:line="240" w:lineRule="auto"/>
              <w:rPr>
                <w:rFonts w:cs="Arial"/>
                <w:b/>
                <w:color w:val="FFFFFF"/>
                <w:szCs w:val="18"/>
              </w:rPr>
            </w:pPr>
          </w:p>
        </w:tc>
        <w:tc>
          <w:tcPr>
            <w:tcW w:w="1129" w:type="dxa"/>
            <w:shd w:val="clear" w:color="auto" w:fill="F07E31"/>
          </w:tcPr>
          <w:p w:rsidR="00143584" w:rsidRDefault="00D64125">
            <w:pPr>
              <w:suppressAutoHyphens/>
              <w:spacing w:before="40" w:after="40" w:line="240" w:lineRule="auto"/>
              <w:rPr>
                <w:rFonts w:cs="Arial"/>
                <w:b/>
                <w:color w:val="FFFFFF"/>
                <w:szCs w:val="18"/>
              </w:rPr>
            </w:pPr>
            <w:r>
              <w:rPr>
                <w:b/>
                <w:color w:val="FFFFFF"/>
              </w:rPr>
              <w:t>Standard AIR (from 2016)</w:t>
            </w:r>
          </w:p>
        </w:tc>
        <w:tc>
          <w:tcPr>
            <w:tcW w:w="1134" w:type="dxa"/>
            <w:shd w:val="clear" w:color="auto" w:fill="F07E31"/>
          </w:tcPr>
          <w:p w:rsidR="00143584" w:rsidRDefault="00D64125">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2017</w:t>
            </w:r>
          </w:p>
        </w:tc>
        <w:tc>
          <w:tcPr>
            <w:tcW w:w="1134" w:type="dxa"/>
            <w:shd w:val="clear" w:color="auto" w:fill="F07E31"/>
          </w:tcPr>
          <w:p w:rsidR="00143584" w:rsidRDefault="00D64125">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2019</w:t>
            </w:r>
          </w:p>
        </w:tc>
      </w:tr>
      <w:tr w:rsidR="00143584">
        <w:trPr>
          <w:trHeight w:val="15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Key information on the implementation of the programme and its priorities:</w:t>
            </w:r>
          </w:p>
        </w:tc>
        <w:tc>
          <w:tcPr>
            <w:tcW w:w="269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Financial data: Financial implementation data for each measure and FA, a statement on expenditures incurred and declared in the declaration of expenditures.  </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w:t>
            </w:r>
            <w:r>
              <w:rPr>
                <w:rStyle w:val="FootnoteReference"/>
                <w:color w:val="373737" w:themeColor="background1" w:themeShade="40"/>
              </w:rPr>
              <w:footnoteReference w:id="191"/>
            </w:r>
            <w:r>
              <w:rPr>
                <w:color w:val="373737" w:themeColor="background1" w:themeShade="40"/>
              </w:rPr>
              <w:t xml:space="preserve">, Art. 50.2, </w:t>
            </w:r>
          </w:p>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1305/2013</w:t>
            </w:r>
            <w:r>
              <w:rPr>
                <w:rStyle w:val="FootnoteReference"/>
                <w:color w:val="373737" w:themeColor="background1" w:themeShade="40"/>
              </w:rPr>
              <w:footnoteReference w:id="192"/>
            </w:r>
            <w:r>
              <w:rPr>
                <w:color w:val="373737" w:themeColor="background1" w:themeShade="40"/>
              </w:rPr>
              <w:t>, Art. 75.2</w:t>
            </w: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 50.2, and 54.2</w:t>
            </w:r>
          </w:p>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1305/2013, Art.69</w:t>
            </w:r>
          </w:p>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808/2014, Art. 14.1b), Annex IV</w:t>
            </w: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2</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Progress in implementing the evaluation plan:</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 56.1</w:t>
            </w:r>
          </w:p>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808/2014, Art.14.1f), Art.1</w:t>
            </w:r>
            <w:r>
              <w:tab/>
            </w: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Description of any modifications made to the evaluation plan</w:t>
            </w:r>
          </w:p>
        </w:tc>
        <w:tc>
          <w:tcPr>
            <w:tcW w:w="269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Description of the evaluation activities undertaken during the year</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1305/2014, Art. 75.2</w:t>
            </w: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383"/>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activities undertaken in relation to the provision and management of data </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1305/2014, Art. 70</w:t>
            </w: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d)</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List of completed evaluations, incl. references to where they have been published on-line</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1305/2014, Art. 76.3</w:t>
            </w: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e)</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A summary of completed evaluations, focusing on the evaluation’s findings </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 50.2,</w:t>
            </w: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f)</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communication activities to publicise the evaluation findings </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 50.9</w:t>
            </w: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g)</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follow-up given to evaluation results </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 56.3</w:t>
            </w: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lastRenderedPageBreak/>
              <w:t>3</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Issues which affect the performance (quality and effectiveness of the RDP’s implementation) of the programme and the measures taken </w:t>
            </w:r>
          </w:p>
        </w:tc>
        <w:tc>
          <w:tcPr>
            <w:tcW w:w="269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4</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Steps taken to implement technical assistance (including the establishment of the NRN) and programme publicity requirements</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1305/2014, Art. 54.1</w:t>
            </w:r>
          </w:p>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808/2014, Art. 13,  </w:t>
            </w: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1305/2014, Art. 54.3</w:t>
            </w: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Steps taken to ensure that the programme is publicised</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1305/2014, Art. 8.1m) iii),</w:t>
            </w: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509"/>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5</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Actions taken to fulfil ex ante conditionalities (where relevant), description by priority/focus area/measure.   </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 19.1, Art 50.2</w:t>
            </w:r>
          </w:p>
          <w:p w:rsidR="00143584" w:rsidRDefault="00143584">
            <w:pPr>
              <w:suppressAutoHyphens/>
              <w:spacing w:before="40" w:after="40" w:line="240" w:lineRule="auto"/>
              <w:rPr>
                <w:rFonts w:cs="Arial"/>
                <w:color w:val="373737" w:themeColor="background1" w:themeShade="40"/>
                <w:szCs w:val="18"/>
              </w:rPr>
            </w:pP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6</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1305/2013</w:t>
            </w:r>
          </w:p>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Art.7.1, 75.3 </w:t>
            </w: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7</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Assessment of the information and progress towards achieving objectives of the programme:</w:t>
            </w:r>
          </w:p>
        </w:tc>
        <w:tc>
          <w:tcPr>
            <w:tcW w:w="269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r>
      <w:tr w:rsidR="00143584">
        <w:trPr>
          <w:trHeight w:val="180"/>
          <w:jc w:val="center"/>
        </w:trPr>
        <w:tc>
          <w:tcPr>
            <w:tcW w:w="425"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Reporting and quantification of programme achievements, in particular through the assessment of the complementary result indicators and relevant evaluation questions  </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 54.1</w:t>
            </w:r>
          </w:p>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8</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Implementation of actions to take into account principles set out in Articles 5, 7 and 8 of Regulation (EU) No 1303/2013</w:t>
            </w:r>
          </w:p>
        </w:tc>
        <w:tc>
          <w:tcPr>
            <w:tcW w:w="269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r>
      <w:tr w:rsidR="00143584">
        <w:trPr>
          <w:trHeight w:val="287"/>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Promotion of equality between men and women and non-discrimination, </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Art.7</w:t>
            </w: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Sustainable development</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Art.8</w:t>
            </w: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Role of partners</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Art.5</w:t>
            </w: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9</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Progress made in ensuring an integrated approach to support the territorial </w:t>
            </w:r>
            <w:r>
              <w:rPr>
                <w:color w:val="373737" w:themeColor="background1" w:themeShade="40"/>
              </w:rPr>
              <w:lastRenderedPageBreak/>
              <w:t xml:space="preserve">development of rural areas, including through local development strategies </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lastRenderedPageBreak/>
              <w:t>1303/2013 Art. 32-36</w:t>
            </w:r>
          </w:p>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lastRenderedPageBreak/>
              <w:t>1305/2014, Art.42-44</w:t>
            </w: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180"/>
          <w:jc w:val="center"/>
        </w:trPr>
        <w:tc>
          <w:tcPr>
            <w:tcW w:w="425"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10</w:t>
            </w: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Report on implementation of financial instruments (as annex to AIR)</w:t>
            </w:r>
          </w:p>
        </w:tc>
        <w:tc>
          <w:tcPr>
            <w:tcW w:w="269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143584">
            <w:pPr>
              <w:suppressAutoHyphens/>
              <w:spacing w:before="40" w:after="40" w:line="240" w:lineRule="auto"/>
              <w:rPr>
                <w:rFonts w:cs="Arial"/>
                <w:color w:val="373737" w:themeColor="background1" w:themeShade="40"/>
                <w:szCs w:val="18"/>
              </w:rPr>
            </w:pPr>
          </w:p>
        </w:tc>
      </w:tr>
      <w:tr w:rsidR="00143584">
        <w:trPr>
          <w:trHeight w:val="180"/>
          <w:jc w:val="center"/>
        </w:trPr>
        <w:tc>
          <w:tcPr>
            <w:tcW w:w="425" w:type="dxa"/>
            <w:shd w:val="clear" w:color="auto" w:fill="auto"/>
          </w:tcPr>
          <w:p w:rsidR="00143584" w:rsidRDefault="00143584">
            <w:pPr>
              <w:suppressAutoHyphens/>
              <w:spacing w:before="40" w:after="40" w:line="240" w:lineRule="auto"/>
              <w:rPr>
                <w:rFonts w:cs="Arial"/>
                <w:szCs w:val="18"/>
              </w:rPr>
            </w:pP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including for each financial instrument the information contained in Article 46.2 points a) to g) and i) of Reg. 1303/2013</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 46.2, points a) – g) and i)</w:t>
            </w:r>
          </w:p>
        </w:tc>
        <w:tc>
          <w:tcPr>
            <w:tcW w:w="1129"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143584">
        <w:trPr>
          <w:trHeight w:val="718"/>
          <w:jc w:val="center"/>
        </w:trPr>
        <w:tc>
          <w:tcPr>
            <w:tcW w:w="425" w:type="dxa"/>
            <w:shd w:val="clear" w:color="auto" w:fill="auto"/>
          </w:tcPr>
          <w:p w:rsidR="00143584" w:rsidRDefault="00143584">
            <w:pPr>
              <w:suppressAutoHyphens/>
              <w:spacing w:before="40" w:after="40" w:line="240" w:lineRule="auto"/>
              <w:rPr>
                <w:rFonts w:cs="Arial"/>
                <w:szCs w:val="18"/>
              </w:rPr>
            </w:pPr>
          </w:p>
        </w:tc>
        <w:tc>
          <w:tcPr>
            <w:tcW w:w="6662"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Including the information contained in Article 46.2 points h) and j) of Reg. 1303/2013</w:t>
            </w:r>
          </w:p>
        </w:tc>
        <w:tc>
          <w:tcPr>
            <w:tcW w:w="269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1303/2013 Art. 46.2, points h) and j)</w:t>
            </w:r>
          </w:p>
        </w:tc>
        <w:tc>
          <w:tcPr>
            <w:tcW w:w="1129"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143584" w:rsidRDefault="00D64125">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bl>
    <w:p w:rsidR="00143584" w:rsidRDefault="00143584">
      <w:pPr>
        <w:pStyle w:val="H-Heading2"/>
        <w:ind w:left="792" w:hanging="432"/>
        <w:rPr>
          <w:rFonts w:ascii="Arial" w:hAnsi="Arial" w:cs="Arial"/>
        </w:rPr>
        <w:sectPr w:rsidR="00143584">
          <w:pgSz w:w="16840" w:h="11907" w:orient="landscape" w:code="9"/>
          <w:pgMar w:top="1418" w:right="1418" w:bottom="1418" w:left="1418" w:header="737" w:footer="709" w:gutter="0"/>
          <w:cols w:space="708"/>
          <w:titlePg/>
          <w:docGrid w:linePitch="435"/>
        </w:sectPr>
      </w:pPr>
    </w:p>
    <w:p w:rsidR="00143584" w:rsidRDefault="00D64125">
      <w:pPr>
        <w:pStyle w:val="HHeading1"/>
        <w:numPr>
          <w:ilvl w:val="0"/>
          <w:numId w:val="0"/>
        </w:numPr>
      </w:pPr>
      <w:bookmarkStart w:id="144" w:name="_Toc460936129"/>
      <w:bookmarkStart w:id="145" w:name="_Toc474938253"/>
      <w:bookmarkStart w:id="146" w:name="_Toc456012910"/>
      <w:r>
        <w:lastRenderedPageBreak/>
        <w:t>Annex 4 – Working Steps in Setting up the System to Answer the evaluation questions in 2017</w:t>
      </w:r>
      <w:bookmarkEnd w:id="144"/>
      <w:bookmarkEnd w:id="145"/>
      <w:r>
        <w:t xml:space="preserve">  </w:t>
      </w:r>
      <w:bookmarkEnd w:id="146"/>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143584">
        <w:trPr>
          <w:trHeight w:val="300"/>
          <w:tblHeader/>
        </w:trPr>
        <w:tc>
          <w:tcPr>
            <w:tcW w:w="1975" w:type="dxa"/>
            <w:vMerge w:val="restart"/>
            <w:shd w:val="clear" w:color="auto" w:fill="F07E31"/>
          </w:tcPr>
          <w:p w:rsidR="00143584" w:rsidRDefault="00D64125">
            <w:pPr>
              <w:rPr>
                <w:rFonts w:cs="Arial"/>
                <w:b/>
                <w:color w:val="FFFFFF" w:themeColor="accent1"/>
                <w:szCs w:val="18"/>
              </w:rPr>
            </w:pPr>
            <w:r>
              <w:rPr>
                <w:b/>
                <w:color w:val="FFFFFF" w:themeColor="accent1"/>
              </w:rPr>
              <w:t xml:space="preserve">Major steps </w:t>
            </w:r>
          </w:p>
        </w:tc>
        <w:tc>
          <w:tcPr>
            <w:tcW w:w="2160" w:type="dxa"/>
            <w:vMerge w:val="restart"/>
            <w:shd w:val="clear" w:color="auto" w:fill="F07E31"/>
          </w:tcPr>
          <w:p w:rsidR="00143584" w:rsidRDefault="00D64125">
            <w:pPr>
              <w:rPr>
                <w:rFonts w:cs="Arial"/>
                <w:b/>
                <w:color w:val="FFFFFF" w:themeColor="accent1"/>
                <w:szCs w:val="18"/>
              </w:rPr>
            </w:pPr>
            <w:r>
              <w:rPr>
                <w:b/>
                <w:color w:val="FFFFFF" w:themeColor="accent1"/>
              </w:rPr>
              <w:t>Steps</w:t>
            </w:r>
          </w:p>
        </w:tc>
        <w:tc>
          <w:tcPr>
            <w:tcW w:w="2905" w:type="dxa"/>
            <w:vMerge w:val="restart"/>
            <w:shd w:val="clear" w:color="auto" w:fill="F07E31"/>
          </w:tcPr>
          <w:p w:rsidR="00143584" w:rsidRDefault="00D64125">
            <w:pPr>
              <w:rPr>
                <w:rFonts w:cs="Arial"/>
                <w:b/>
                <w:color w:val="FFFFFF" w:themeColor="accent1"/>
                <w:szCs w:val="18"/>
              </w:rPr>
            </w:pPr>
            <w:r>
              <w:rPr>
                <w:b/>
                <w:color w:val="FFFFFF" w:themeColor="accent1"/>
              </w:rPr>
              <w:t xml:space="preserve">Responsibilities </w:t>
            </w:r>
          </w:p>
        </w:tc>
        <w:tc>
          <w:tcPr>
            <w:tcW w:w="6635" w:type="dxa"/>
            <w:gridSpan w:val="2"/>
            <w:shd w:val="clear" w:color="auto" w:fill="F07E31"/>
          </w:tcPr>
          <w:p w:rsidR="00143584" w:rsidRDefault="00D64125">
            <w:pPr>
              <w:rPr>
                <w:rFonts w:cs="Arial"/>
                <w:b/>
                <w:color w:val="FFFFFF" w:themeColor="accent1"/>
                <w:szCs w:val="18"/>
              </w:rPr>
            </w:pPr>
            <w:r>
              <w:rPr>
                <w:b/>
                <w:color w:val="FFFFFF" w:themeColor="accent1"/>
              </w:rPr>
              <w:t>Relevance for the Terms of Reference</w:t>
            </w:r>
          </w:p>
        </w:tc>
      </w:tr>
      <w:tr w:rsidR="00143584">
        <w:trPr>
          <w:trHeight w:val="285"/>
          <w:tblHeader/>
        </w:trPr>
        <w:tc>
          <w:tcPr>
            <w:tcW w:w="1975" w:type="dxa"/>
            <w:vMerge/>
            <w:shd w:val="clear" w:color="auto" w:fill="F07E31"/>
          </w:tcPr>
          <w:p w:rsidR="00143584" w:rsidRDefault="00143584">
            <w:pPr>
              <w:rPr>
                <w:rFonts w:cs="Arial"/>
                <w:b/>
                <w:color w:val="FFFFFF" w:themeColor="accent1"/>
                <w:szCs w:val="18"/>
              </w:rPr>
            </w:pPr>
          </w:p>
        </w:tc>
        <w:tc>
          <w:tcPr>
            <w:tcW w:w="2160" w:type="dxa"/>
            <w:vMerge/>
            <w:shd w:val="clear" w:color="auto" w:fill="F07E31"/>
          </w:tcPr>
          <w:p w:rsidR="00143584" w:rsidRDefault="00143584">
            <w:pPr>
              <w:rPr>
                <w:rFonts w:cs="Arial"/>
                <w:b/>
                <w:color w:val="FFFFFF" w:themeColor="accent1"/>
                <w:szCs w:val="18"/>
              </w:rPr>
            </w:pPr>
          </w:p>
        </w:tc>
        <w:tc>
          <w:tcPr>
            <w:tcW w:w="2905" w:type="dxa"/>
            <w:vMerge/>
            <w:shd w:val="clear" w:color="auto" w:fill="F07E31"/>
          </w:tcPr>
          <w:p w:rsidR="00143584" w:rsidRDefault="00143584">
            <w:pPr>
              <w:rPr>
                <w:rFonts w:cs="Arial"/>
                <w:b/>
                <w:color w:val="FFFFFF" w:themeColor="accent1"/>
                <w:szCs w:val="18"/>
              </w:rPr>
            </w:pPr>
          </w:p>
        </w:tc>
        <w:tc>
          <w:tcPr>
            <w:tcW w:w="3317" w:type="dxa"/>
            <w:shd w:val="clear" w:color="auto" w:fill="F07E31"/>
          </w:tcPr>
          <w:p w:rsidR="00143584" w:rsidRDefault="00D64125">
            <w:pPr>
              <w:rPr>
                <w:rFonts w:cs="Arial"/>
                <w:b/>
                <w:color w:val="FFFFFF" w:themeColor="accent1"/>
                <w:szCs w:val="18"/>
              </w:rPr>
            </w:pPr>
            <w:r>
              <w:rPr>
                <w:b/>
                <w:color w:val="FFFFFF" w:themeColor="accent1"/>
              </w:rPr>
              <w:t>When the step is not part of the ToR</w:t>
            </w:r>
          </w:p>
        </w:tc>
        <w:tc>
          <w:tcPr>
            <w:tcW w:w="3318" w:type="dxa"/>
            <w:shd w:val="clear" w:color="auto" w:fill="F07E31"/>
          </w:tcPr>
          <w:p w:rsidR="00143584" w:rsidRDefault="00D64125">
            <w:pPr>
              <w:rPr>
                <w:rFonts w:cs="Arial"/>
                <w:b/>
                <w:color w:val="FFFFFF" w:themeColor="accent1"/>
                <w:szCs w:val="18"/>
              </w:rPr>
            </w:pPr>
            <w:r>
              <w:rPr>
                <w:b/>
                <w:color w:val="FFFFFF" w:themeColor="accent1"/>
              </w:rPr>
              <w:t>When the step is part of the ToR</w:t>
            </w:r>
          </w:p>
        </w:tc>
      </w:tr>
      <w:tr w:rsidR="00143584">
        <w:trPr>
          <w:trHeight w:val="2888"/>
        </w:trPr>
        <w:tc>
          <w:tcPr>
            <w:tcW w:w="1975" w:type="dxa"/>
            <w:vMerge w:val="restart"/>
          </w:tcPr>
          <w:p w:rsidR="00143584" w:rsidRDefault="00D64125">
            <w:pPr>
              <w:jc w:val="left"/>
              <w:rPr>
                <w:rFonts w:cs="Arial"/>
                <w:color w:val="373737" w:themeColor="background1" w:themeShade="40"/>
                <w:szCs w:val="18"/>
              </w:rPr>
            </w:pPr>
            <w:r>
              <w:rPr>
                <w:color w:val="373737" w:themeColor="background1" w:themeShade="40"/>
              </w:rPr>
              <w:t xml:space="preserve">Preparing the evaluation </w:t>
            </w:r>
          </w:p>
        </w:tc>
        <w:tc>
          <w:tcPr>
            <w:tcW w:w="2160" w:type="dxa"/>
          </w:tcPr>
          <w:p w:rsidR="00143584" w:rsidRDefault="00D64125">
            <w:pPr>
              <w:jc w:val="left"/>
              <w:rPr>
                <w:rFonts w:cs="Arial"/>
                <w:color w:val="373737" w:themeColor="background1" w:themeShade="40"/>
                <w:szCs w:val="18"/>
              </w:rPr>
            </w:pPr>
            <w:r>
              <w:rPr>
                <w:color w:val="373737" w:themeColor="background1" w:themeShade="40"/>
              </w:rPr>
              <w:t xml:space="preserve">Revisit the RDP intervention logic </w:t>
            </w:r>
          </w:p>
        </w:tc>
        <w:tc>
          <w:tcPr>
            <w:tcW w:w="2905" w:type="dxa"/>
          </w:tcPr>
          <w:p w:rsidR="00143584" w:rsidRDefault="00D64125">
            <w:pPr>
              <w:pStyle w:val="Hlistbullet2"/>
              <w:numPr>
                <w:ilvl w:val="0"/>
                <w:numId w:val="0"/>
              </w:numPr>
              <w:jc w:val="left"/>
              <w:rPr>
                <w:rFonts w:cs="Arial"/>
                <w:sz w:val="18"/>
                <w:szCs w:val="18"/>
              </w:rPr>
            </w:pPr>
            <w:r>
              <w:rPr>
                <w:b/>
                <w:sz w:val="18"/>
              </w:rPr>
              <w:t>Evaluation experts</w:t>
            </w:r>
            <w:r>
              <w:rPr>
                <w:sz w:val="18"/>
              </w:rPr>
              <w:t xml:space="preserve"> within the Ministry of Agriculture (e.g. Evaluation Unit) and/or evaluators.</w:t>
            </w:r>
          </w:p>
          <w:p w:rsidR="00143584" w:rsidRDefault="00143584">
            <w:pPr>
              <w:rPr>
                <w:rFonts w:cs="Arial"/>
                <w:color w:val="373737" w:themeColor="background1" w:themeShade="40"/>
                <w:szCs w:val="18"/>
              </w:rPr>
            </w:pPr>
          </w:p>
        </w:tc>
        <w:tc>
          <w:tcPr>
            <w:tcW w:w="3317" w:type="dxa"/>
          </w:tcPr>
          <w:p w:rsidR="00143584" w:rsidRDefault="00D64125">
            <w:pPr>
              <w:pStyle w:val="Hlistbullet"/>
              <w:numPr>
                <w:ilvl w:val="0"/>
                <w:numId w:val="0"/>
              </w:numPr>
              <w:jc w:val="left"/>
              <w:rPr>
                <w:rFonts w:cs="Arial"/>
                <w:sz w:val="18"/>
                <w:szCs w:val="18"/>
              </w:rPr>
            </w:pPr>
            <w:r>
              <w:rPr>
                <w:sz w:val="18"/>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143584" w:rsidRDefault="00D64125">
            <w:pPr>
              <w:pStyle w:val="Hlistbullet2"/>
              <w:numPr>
                <w:ilvl w:val="0"/>
                <w:numId w:val="0"/>
              </w:numPr>
              <w:jc w:val="left"/>
              <w:rPr>
                <w:rFonts w:cs="Arial"/>
                <w:sz w:val="18"/>
                <w:szCs w:val="18"/>
              </w:rPr>
            </w:pPr>
            <w:r>
              <w:rPr>
                <w:sz w:val="18"/>
              </w:rPr>
              <w:t>This step is part of the Terms of Reference if the “in house” evaluation experts/NSUs do not have internal capacity to conduct this step.</w:t>
            </w:r>
          </w:p>
          <w:p w:rsidR="00143584" w:rsidRDefault="00143584">
            <w:pPr>
              <w:pStyle w:val="Hlistbullet"/>
              <w:numPr>
                <w:ilvl w:val="0"/>
                <w:numId w:val="0"/>
              </w:numPr>
              <w:ind w:hanging="360"/>
              <w:jc w:val="left"/>
              <w:rPr>
                <w:rFonts w:cs="Arial"/>
                <w:sz w:val="18"/>
                <w:szCs w:val="18"/>
              </w:rPr>
            </w:pPr>
          </w:p>
        </w:tc>
      </w:tr>
      <w:tr w:rsidR="00143584">
        <w:tc>
          <w:tcPr>
            <w:tcW w:w="1975" w:type="dxa"/>
            <w:vMerge/>
          </w:tcPr>
          <w:p w:rsidR="00143584" w:rsidRDefault="00143584">
            <w:pPr>
              <w:rPr>
                <w:rFonts w:cs="Arial"/>
                <w:color w:val="373737" w:themeColor="background1" w:themeShade="40"/>
                <w:szCs w:val="18"/>
              </w:rPr>
            </w:pPr>
          </w:p>
        </w:tc>
        <w:tc>
          <w:tcPr>
            <w:tcW w:w="2160" w:type="dxa"/>
          </w:tcPr>
          <w:p w:rsidR="00143584" w:rsidRDefault="00D64125">
            <w:pPr>
              <w:jc w:val="left"/>
              <w:rPr>
                <w:rFonts w:cs="Arial"/>
                <w:color w:val="373737" w:themeColor="background1" w:themeShade="40"/>
                <w:szCs w:val="18"/>
              </w:rPr>
            </w:pPr>
            <w:r>
              <w:rPr>
                <w:color w:val="373737" w:themeColor="background1" w:themeShade="40"/>
              </w:rPr>
              <w:t xml:space="preserve">Link intervention logic to the evaluation elements </w:t>
            </w:r>
          </w:p>
        </w:tc>
        <w:tc>
          <w:tcPr>
            <w:tcW w:w="2905" w:type="dxa"/>
          </w:tcPr>
          <w:p w:rsidR="00143584" w:rsidRDefault="00D64125">
            <w:pPr>
              <w:pStyle w:val="Hlistbullet"/>
              <w:numPr>
                <w:ilvl w:val="0"/>
                <w:numId w:val="0"/>
              </w:numPr>
              <w:rPr>
                <w:rFonts w:cs="Arial"/>
                <w:sz w:val="18"/>
                <w:szCs w:val="18"/>
              </w:rPr>
            </w:pPr>
            <w:r>
              <w:rPr>
                <w:b/>
                <w:sz w:val="18"/>
              </w:rPr>
              <w:t>Managing authorities</w:t>
            </w:r>
            <w:r>
              <w:rPr>
                <w:sz w:val="18"/>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143584" w:rsidRDefault="00D64125">
            <w:pPr>
              <w:pStyle w:val="Hlistbullet"/>
              <w:numPr>
                <w:ilvl w:val="0"/>
                <w:numId w:val="0"/>
              </w:numPr>
              <w:rPr>
                <w:rFonts w:cs="Arial"/>
                <w:sz w:val="18"/>
                <w:szCs w:val="18"/>
              </w:rPr>
            </w:pPr>
            <w:r>
              <w:rPr>
                <w:b/>
                <w:sz w:val="18"/>
              </w:rPr>
              <w:t>Evaluation experts/evaluators</w:t>
            </w:r>
            <w:r>
              <w:rPr>
                <w:sz w:val="18"/>
              </w:rPr>
              <w:t xml:space="preserve"> can define the PSEQs and programme-specific indicators and discuss them with the Managing Authorities. New programme-specific evaluation </w:t>
            </w:r>
            <w:r>
              <w:rPr>
                <w:sz w:val="18"/>
              </w:rPr>
              <w:lastRenderedPageBreak/>
              <w:t xml:space="preserve">elements are designed when those presented in the RDP are not sufficient to capture all programme effects or assess all evaluation topics.   </w:t>
            </w:r>
          </w:p>
        </w:tc>
        <w:tc>
          <w:tcPr>
            <w:tcW w:w="3317" w:type="dxa"/>
          </w:tcPr>
          <w:p w:rsidR="00143584" w:rsidRDefault="00D64125">
            <w:pPr>
              <w:pStyle w:val="Hlistbullet"/>
              <w:numPr>
                <w:ilvl w:val="0"/>
                <w:numId w:val="0"/>
              </w:numPr>
              <w:rPr>
                <w:rFonts w:cs="Arial"/>
                <w:sz w:val="18"/>
                <w:szCs w:val="18"/>
              </w:rPr>
            </w:pPr>
            <w:r>
              <w:rPr>
                <w:sz w:val="18"/>
              </w:rPr>
              <w:lastRenderedPageBreak/>
              <w:t xml:space="preserve">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  </w:t>
            </w:r>
          </w:p>
          <w:p w:rsidR="00143584" w:rsidRDefault="00143584">
            <w:pPr>
              <w:rPr>
                <w:rFonts w:cs="Arial"/>
                <w:color w:val="373737" w:themeColor="background1" w:themeShade="40"/>
                <w:szCs w:val="18"/>
              </w:rPr>
            </w:pPr>
          </w:p>
        </w:tc>
        <w:tc>
          <w:tcPr>
            <w:tcW w:w="3318" w:type="dxa"/>
          </w:tcPr>
          <w:p w:rsidR="00143584" w:rsidRDefault="00D64125">
            <w:pPr>
              <w:pStyle w:val="Hlistbullet2"/>
              <w:numPr>
                <w:ilvl w:val="0"/>
                <w:numId w:val="0"/>
              </w:numPr>
              <w:rPr>
                <w:rFonts w:cs="Arial"/>
                <w:sz w:val="18"/>
                <w:szCs w:val="18"/>
              </w:rPr>
            </w:pPr>
            <w:r>
              <w:rPr>
                <w:sz w:val="18"/>
              </w:rPr>
              <w:t>This step is part of the Terms of Reference if the evaluation elements have to be completed and defined after the intervention logic appraisal (additional programme specific elements).</w:t>
            </w:r>
          </w:p>
          <w:p w:rsidR="00143584" w:rsidRDefault="00143584">
            <w:pPr>
              <w:rPr>
                <w:rFonts w:cs="Arial"/>
                <w:color w:val="373737" w:themeColor="background1" w:themeShade="40"/>
                <w:szCs w:val="18"/>
              </w:rPr>
            </w:pPr>
          </w:p>
        </w:tc>
      </w:tr>
      <w:tr w:rsidR="00143584">
        <w:tc>
          <w:tcPr>
            <w:tcW w:w="1975" w:type="dxa"/>
            <w:vMerge w:val="restart"/>
          </w:tcPr>
          <w:p w:rsidR="00143584" w:rsidRDefault="00143584">
            <w:pPr>
              <w:rPr>
                <w:rFonts w:cs="Arial"/>
                <w:szCs w:val="18"/>
              </w:rPr>
            </w:pPr>
          </w:p>
        </w:tc>
        <w:tc>
          <w:tcPr>
            <w:tcW w:w="2160" w:type="dxa"/>
          </w:tcPr>
          <w:p w:rsidR="00143584" w:rsidRDefault="00D64125">
            <w:pPr>
              <w:jc w:val="left"/>
              <w:rPr>
                <w:rFonts w:cs="Arial"/>
                <w:color w:val="373737" w:themeColor="background1" w:themeShade="40"/>
                <w:szCs w:val="18"/>
              </w:rPr>
            </w:pPr>
            <w:r>
              <w:rPr>
                <w:color w:val="373737" w:themeColor="background1" w:themeShade="40"/>
              </w:rPr>
              <w:t>Check the consistency of the evaluation questions and indicators with RDP intervention logic</w:t>
            </w:r>
          </w:p>
        </w:tc>
        <w:tc>
          <w:tcPr>
            <w:tcW w:w="2905" w:type="dxa"/>
          </w:tcPr>
          <w:p w:rsidR="00143584" w:rsidRDefault="00D64125">
            <w:pPr>
              <w:pStyle w:val="Hlistbullet"/>
              <w:numPr>
                <w:ilvl w:val="0"/>
                <w:numId w:val="0"/>
              </w:numPr>
              <w:rPr>
                <w:rFonts w:cs="Arial"/>
                <w:sz w:val="18"/>
                <w:szCs w:val="18"/>
              </w:rPr>
            </w:pPr>
            <w:r>
              <w:rPr>
                <w:b/>
                <w:sz w:val="18"/>
              </w:rPr>
              <w:t>Evaluation experts</w:t>
            </w:r>
            <w:r>
              <w:rPr>
                <w:sz w:val="18"/>
              </w:rPr>
              <w:t xml:space="preserve"> within the Ministry of Agriculture (e.g. Evaluation Unit) and/or</w:t>
            </w:r>
          </w:p>
          <w:p w:rsidR="00143584" w:rsidRDefault="00D64125">
            <w:pPr>
              <w:pStyle w:val="Hlistbullet2"/>
              <w:numPr>
                <w:ilvl w:val="0"/>
                <w:numId w:val="0"/>
              </w:numPr>
              <w:ind w:left="360" w:hanging="360"/>
              <w:rPr>
                <w:rFonts w:cs="Arial"/>
                <w:b/>
                <w:sz w:val="18"/>
                <w:szCs w:val="18"/>
              </w:rPr>
            </w:pPr>
            <w:r>
              <w:rPr>
                <w:b/>
                <w:sz w:val="18"/>
              </w:rPr>
              <w:t xml:space="preserve">Evaluators </w:t>
            </w:r>
          </w:p>
        </w:tc>
        <w:tc>
          <w:tcPr>
            <w:tcW w:w="3317" w:type="dxa"/>
          </w:tcPr>
          <w:p w:rsidR="00143584" w:rsidRDefault="00D64125">
            <w:pPr>
              <w:pStyle w:val="Hlistbullet"/>
              <w:numPr>
                <w:ilvl w:val="0"/>
                <w:numId w:val="0"/>
              </w:numPr>
              <w:rPr>
                <w:rFonts w:cs="Arial"/>
                <w:sz w:val="18"/>
                <w:szCs w:val="18"/>
              </w:rPr>
            </w:pPr>
            <w:r>
              <w:rPr>
                <w:sz w:val="18"/>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143584" w:rsidRDefault="00D64125">
            <w:pPr>
              <w:rPr>
                <w:rFonts w:cs="Arial"/>
                <w:color w:val="373737" w:themeColor="background1" w:themeShade="40"/>
                <w:szCs w:val="18"/>
              </w:rPr>
            </w:pPr>
            <w:r>
              <w:rPr>
                <w:color w:val="373737" w:themeColor="background1" w:themeShade="40"/>
              </w:rPr>
              <w:t xml:space="preserve">This step is part of the Terms of Reference in case the programme-specific evaluation elements are not properly developed or defined, or if the “in house” evaluation experts do not have the necessary capacity to conduct this step and define programme specific elements if needed.  </w:t>
            </w:r>
          </w:p>
        </w:tc>
      </w:tr>
      <w:tr w:rsidR="00143584">
        <w:trPr>
          <w:trHeight w:val="3320"/>
        </w:trPr>
        <w:tc>
          <w:tcPr>
            <w:tcW w:w="1975" w:type="dxa"/>
            <w:vMerge/>
          </w:tcPr>
          <w:p w:rsidR="00143584" w:rsidRDefault="00143584">
            <w:pPr>
              <w:rPr>
                <w:rFonts w:cs="Arial"/>
                <w:szCs w:val="18"/>
              </w:rPr>
            </w:pPr>
          </w:p>
        </w:tc>
        <w:tc>
          <w:tcPr>
            <w:tcW w:w="2160" w:type="dxa"/>
          </w:tcPr>
          <w:p w:rsidR="00143584" w:rsidRDefault="00D64125">
            <w:pPr>
              <w:jc w:val="left"/>
              <w:rPr>
                <w:rFonts w:cs="Arial"/>
                <w:color w:val="373737" w:themeColor="background1" w:themeShade="40"/>
                <w:szCs w:val="18"/>
              </w:rPr>
            </w:pPr>
            <w:r>
              <w:rPr>
                <w:color w:val="373737" w:themeColor="background1" w:themeShade="40"/>
              </w:rPr>
              <w:t xml:space="preserve">Develop RDP specific evaluation elements </w:t>
            </w:r>
          </w:p>
        </w:tc>
        <w:tc>
          <w:tcPr>
            <w:tcW w:w="2905" w:type="dxa"/>
          </w:tcPr>
          <w:p w:rsidR="00143584" w:rsidRDefault="00D64125">
            <w:pPr>
              <w:pStyle w:val="Hlistbullet"/>
              <w:numPr>
                <w:ilvl w:val="0"/>
                <w:numId w:val="0"/>
              </w:numPr>
              <w:rPr>
                <w:rFonts w:cs="Arial"/>
                <w:sz w:val="18"/>
                <w:szCs w:val="18"/>
              </w:rPr>
            </w:pPr>
            <w:r>
              <w:rPr>
                <w:b/>
                <w:sz w:val="18"/>
              </w:rPr>
              <w:t>Managing authorities with the support of “in house” evaluation experts</w:t>
            </w:r>
            <w:r>
              <w:rPr>
                <w:sz w:val="18"/>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143584" w:rsidRDefault="00D64125">
            <w:pPr>
              <w:pStyle w:val="Hlistbullet"/>
              <w:tabs>
                <w:tab w:val="left" w:pos="567"/>
              </w:tabs>
              <w:ind w:left="0"/>
              <w:jc w:val="left"/>
              <w:rPr>
                <w:rFonts w:cs="Arial"/>
                <w:sz w:val="18"/>
                <w:szCs w:val="18"/>
              </w:rPr>
            </w:pPr>
            <w:r>
              <w:rPr>
                <w:b/>
                <w:sz w:val="18"/>
              </w:rPr>
              <w:t>Evaluators</w:t>
            </w:r>
            <w:r>
              <w:rPr>
                <w:sz w:val="18"/>
              </w:rPr>
              <w:t xml:space="preserve"> may define other </w:t>
            </w:r>
            <w:r>
              <w:rPr>
                <w:sz w:val="18"/>
              </w:rPr>
              <w:lastRenderedPageBreak/>
              <w:t>PSEQs and indicators, if there is:</w:t>
            </w:r>
          </w:p>
          <w:p w:rsidR="00143584" w:rsidRDefault="00D64125">
            <w:pPr>
              <w:pStyle w:val="Hlistbullet"/>
              <w:numPr>
                <w:ilvl w:val="0"/>
                <w:numId w:val="49"/>
              </w:numPr>
              <w:tabs>
                <w:tab w:val="left" w:pos="851"/>
              </w:tabs>
              <w:ind w:left="432" w:hanging="288"/>
              <w:jc w:val="left"/>
              <w:rPr>
                <w:rFonts w:cs="Arial"/>
                <w:sz w:val="18"/>
                <w:szCs w:val="18"/>
              </w:rPr>
            </w:pPr>
            <w:r>
              <w:rPr>
                <w:sz w:val="18"/>
              </w:rPr>
              <w:t>Inconsistency between the RDP intervention logic and common and programme-specific elements, or</w:t>
            </w:r>
          </w:p>
          <w:p w:rsidR="00143584" w:rsidRDefault="00D64125">
            <w:pPr>
              <w:pStyle w:val="Hlistbullet"/>
              <w:numPr>
                <w:ilvl w:val="0"/>
                <w:numId w:val="49"/>
              </w:numPr>
              <w:tabs>
                <w:tab w:val="left" w:pos="851"/>
              </w:tabs>
              <w:ind w:left="432" w:hanging="288"/>
              <w:jc w:val="left"/>
              <w:rPr>
                <w:rFonts w:cs="Arial"/>
                <w:sz w:val="18"/>
                <w:szCs w:val="18"/>
              </w:rPr>
            </w:pPr>
            <w:r>
              <w:rPr>
                <w:sz w:val="18"/>
              </w:rPr>
              <w:t xml:space="preserve">Inconsistency between the RDP intervention logic and the territorial and SWOT analysis, and the needs assessment, or </w:t>
            </w:r>
          </w:p>
          <w:p w:rsidR="00143584" w:rsidRDefault="00D64125">
            <w:pPr>
              <w:pStyle w:val="Hlistbullet"/>
              <w:numPr>
                <w:ilvl w:val="0"/>
                <w:numId w:val="49"/>
              </w:numPr>
              <w:tabs>
                <w:tab w:val="left" w:pos="851"/>
              </w:tabs>
              <w:ind w:left="432" w:hanging="288"/>
              <w:jc w:val="left"/>
              <w:rPr>
                <w:rFonts w:cs="Arial"/>
                <w:sz w:val="18"/>
                <w:szCs w:val="18"/>
              </w:rPr>
            </w:pPr>
            <w:r>
              <w:rPr>
                <w:sz w:val="18"/>
              </w:rPr>
              <w:t xml:space="preserve">Failure by common and programme-specific evaluation elements to fully capture RDP-specific effects, or </w:t>
            </w:r>
          </w:p>
          <w:p w:rsidR="00143584" w:rsidRDefault="00D64125">
            <w:pPr>
              <w:pStyle w:val="Hlistbullet"/>
              <w:numPr>
                <w:ilvl w:val="0"/>
                <w:numId w:val="49"/>
              </w:numPr>
              <w:tabs>
                <w:tab w:val="left" w:pos="851"/>
              </w:tabs>
              <w:ind w:left="432" w:hanging="288"/>
              <w:jc w:val="left"/>
              <w:rPr>
                <w:rFonts w:cs="Arial"/>
                <w:sz w:val="18"/>
                <w:szCs w:val="18"/>
              </w:rPr>
            </w:pPr>
            <w:r>
              <w:rPr>
                <w:sz w:val="18"/>
              </w:rPr>
              <w:t>Identified significant unintended effects of intervention logic, which are not covered by existing PSEQs and indicators.</w:t>
            </w:r>
          </w:p>
        </w:tc>
        <w:tc>
          <w:tcPr>
            <w:tcW w:w="3317" w:type="dxa"/>
          </w:tcPr>
          <w:p w:rsidR="00143584" w:rsidRDefault="00143584">
            <w:pPr>
              <w:rPr>
                <w:rFonts w:cs="Arial"/>
                <w:color w:val="373737" w:themeColor="background1" w:themeShade="40"/>
                <w:szCs w:val="18"/>
              </w:rPr>
            </w:pPr>
          </w:p>
        </w:tc>
        <w:tc>
          <w:tcPr>
            <w:tcW w:w="3318" w:type="dxa"/>
          </w:tcPr>
          <w:p w:rsidR="00143584" w:rsidRDefault="00D64125">
            <w:pPr>
              <w:rPr>
                <w:rFonts w:cs="Arial"/>
                <w:color w:val="373737" w:themeColor="background1" w:themeShade="40"/>
                <w:szCs w:val="18"/>
              </w:rPr>
            </w:pPr>
            <w:r>
              <w:rPr>
                <w:color w:val="373737" w:themeColor="background1" w:themeShade="40"/>
              </w:rPr>
              <w:t xml:space="preserve">This step is always part of the Terms of Reference </w:t>
            </w:r>
          </w:p>
        </w:tc>
      </w:tr>
      <w:tr w:rsidR="00143584">
        <w:trPr>
          <w:trHeight w:val="3113"/>
        </w:trPr>
        <w:tc>
          <w:tcPr>
            <w:tcW w:w="1975" w:type="dxa"/>
            <w:vMerge w:val="restart"/>
          </w:tcPr>
          <w:p w:rsidR="00143584" w:rsidRDefault="00D64125">
            <w:pPr>
              <w:jc w:val="left"/>
              <w:rPr>
                <w:rFonts w:cs="Arial"/>
                <w:color w:val="373737" w:themeColor="background1" w:themeShade="40"/>
                <w:szCs w:val="18"/>
              </w:rPr>
            </w:pPr>
            <w:r>
              <w:rPr>
                <w:color w:val="373737" w:themeColor="background1" w:themeShade="40"/>
              </w:rPr>
              <w:lastRenderedPageBreak/>
              <w:t xml:space="preserve">Structuring the evaluation </w:t>
            </w:r>
          </w:p>
        </w:tc>
        <w:tc>
          <w:tcPr>
            <w:tcW w:w="2160" w:type="dxa"/>
          </w:tcPr>
          <w:p w:rsidR="00143584" w:rsidRDefault="00D64125">
            <w:pPr>
              <w:jc w:val="left"/>
              <w:rPr>
                <w:rFonts w:cs="Arial"/>
                <w:color w:val="373737" w:themeColor="background1" w:themeShade="40"/>
                <w:szCs w:val="18"/>
              </w:rPr>
            </w:pPr>
            <w:r>
              <w:rPr>
                <w:color w:val="373737" w:themeColor="background1" w:themeShade="40"/>
              </w:rPr>
              <w:t>Set up a consistent evaluation approach</w:t>
            </w:r>
          </w:p>
        </w:tc>
        <w:tc>
          <w:tcPr>
            <w:tcW w:w="2905" w:type="dxa"/>
          </w:tcPr>
          <w:p w:rsidR="00143584" w:rsidRDefault="00D64125">
            <w:pPr>
              <w:pStyle w:val="Hlistbullet"/>
              <w:numPr>
                <w:ilvl w:val="0"/>
                <w:numId w:val="0"/>
              </w:numPr>
              <w:rPr>
                <w:rFonts w:cs="Arial"/>
                <w:sz w:val="18"/>
                <w:szCs w:val="18"/>
              </w:rPr>
            </w:pPr>
            <w:r>
              <w:rPr>
                <w:b/>
                <w:sz w:val="18"/>
              </w:rPr>
              <w:t>Managing Authority</w:t>
            </w:r>
            <w:r>
              <w:rPr>
                <w:sz w:val="18"/>
              </w:rPr>
              <w:t xml:space="preserve"> (e.g. in collaboration with the evaluation experts within the Ministry) will propose the evaluation approach for the assessment of the RDP. If programme authorities have relevant capacity, they can also propose evaluation methods.</w:t>
            </w:r>
          </w:p>
          <w:p w:rsidR="00143584" w:rsidRDefault="00D64125">
            <w:pPr>
              <w:pStyle w:val="Hlistbullet2"/>
              <w:numPr>
                <w:ilvl w:val="0"/>
                <w:numId w:val="0"/>
              </w:numPr>
              <w:rPr>
                <w:rFonts w:cs="Arial"/>
                <w:sz w:val="18"/>
                <w:szCs w:val="18"/>
              </w:rPr>
            </w:pPr>
            <w:r>
              <w:rPr>
                <w:b/>
                <w:sz w:val="18"/>
              </w:rPr>
              <w:t>Evaluators</w:t>
            </w:r>
            <w:r>
              <w:rPr>
                <w:sz w:val="18"/>
              </w:rPr>
              <w:t xml:space="preserve"> elaborate further on the evaluation approach and evaluation methods used to accomplish the evaluation tasks. </w:t>
            </w:r>
          </w:p>
        </w:tc>
        <w:tc>
          <w:tcPr>
            <w:tcW w:w="3317" w:type="dxa"/>
          </w:tcPr>
          <w:p w:rsidR="00143584" w:rsidRDefault="00143584">
            <w:pPr>
              <w:rPr>
                <w:rFonts w:cs="Arial"/>
                <w:color w:val="373737" w:themeColor="background1" w:themeShade="40"/>
                <w:szCs w:val="18"/>
              </w:rPr>
            </w:pPr>
          </w:p>
        </w:tc>
        <w:tc>
          <w:tcPr>
            <w:tcW w:w="3318" w:type="dxa"/>
          </w:tcPr>
          <w:p w:rsidR="00143584" w:rsidRDefault="00D64125">
            <w:pPr>
              <w:pStyle w:val="Hlistbullet2"/>
              <w:numPr>
                <w:ilvl w:val="0"/>
                <w:numId w:val="0"/>
              </w:numPr>
              <w:rPr>
                <w:rFonts w:cs="Arial"/>
                <w:sz w:val="18"/>
                <w:szCs w:val="18"/>
              </w:rPr>
            </w:pPr>
            <w:r>
              <w:rPr>
                <w:sz w:val="18"/>
              </w:rPr>
              <w:t xml:space="preserve">This step is always part of the Terms of Reference: evaluators must elaborate on the proposed evaluation approach, select and apply the most suitable evaluation methods. </w:t>
            </w:r>
          </w:p>
          <w:p w:rsidR="00143584" w:rsidRDefault="00143584">
            <w:pPr>
              <w:rPr>
                <w:rFonts w:cs="Arial"/>
                <w:color w:val="373737" w:themeColor="background1" w:themeShade="40"/>
                <w:szCs w:val="18"/>
              </w:rPr>
            </w:pPr>
          </w:p>
        </w:tc>
      </w:tr>
      <w:tr w:rsidR="00143584">
        <w:tc>
          <w:tcPr>
            <w:tcW w:w="1975" w:type="dxa"/>
            <w:vMerge/>
          </w:tcPr>
          <w:p w:rsidR="00143584" w:rsidRDefault="00143584">
            <w:pPr>
              <w:jc w:val="left"/>
              <w:rPr>
                <w:rFonts w:cs="Arial"/>
                <w:color w:val="373737" w:themeColor="background1" w:themeShade="40"/>
                <w:szCs w:val="18"/>
              </w:rPr>
            </w:pPr>
          </w:p>
        </w:tc>
        <w:tc>
          <w:tcPr>
            <w:tcW w:w="2160" w:type="dxa"/>
          </w:tcPr>
          <w:p w:rsidR="00143584" w:rsidRDefault="00D64125">
            <w:pPr>
              <w:jc w:val="left"/>
              <w:rPr>
                <w:rFonts w:cs="Arial"/>
                <w:color w:val="373737" w:themeColor="background1" w:themeShade="40"/>
                <w:szCs w:val="18"/>
              </w:rPr>
            </w:pPr>
            <w:r>
              <w:rPr>
                <w:color w:val="373737" w:themeColor="background1" w:themeShade="40"/>
              </w:rPr>
              <w:t xml:space="preserve">Select evaluation methods and their combination </w:t>
            </w:r>
          </w:p>
        </w:tc>
        <w:tc>
          <w:tcPr>
            <w:tcW w:w="2905" w:type="dxa"/>
          </w:tcPr>
          <w:p w:rsidR="00143584" w:rsidRDefault="00D64125">
            <w:pPr>
              <w:pStyle w:val="Hlistbullet2"/>
              <w:numPr>
                <w:ilvl w:val="0"/>
                <w:numId w:val="0"/>
              </w:numPr>
              <w:rPr>
                <w:rFonts w:cs="Arial"/>
                <w:sz w:val="18"/>
                <w:szCs w:val="18"/>
              </w:rPr>
            </w:pPr>
            <w:r>
              <w:rPr>
                <w:b/>
                <w:sz w:val="18"/>
              </w:rPr>
              <w:t>Managing authorities</w:t>
            </w:r>
            <w:r>
              <w:rPr>
                <w:sz w:val="18"/>
              </w:rPr>
              <w:t xml:space="preserve"> with the help of evaluation experts within the Ministry of Agriculture may express their preference for certain evaluation methods, which they may specify in the Terms of Reference.</w:t>
            </w:r>
          </w:p>
          <w:p w:rsidR="00143584" w:rsidRDefault="00D64125">
            <w:pPr>
              <w:rPr>
                <w:rFonts w:cs="Arial"/>
                <w:color w:val="373737" w:themeColor="background1" w:themeShade="40"/>
                <w:szCs w:val="18"/>
              </w:rPr>
            </w:pPr>
            <w:r>
              <w:rPr>
                <w:b/>
                <w:color w:val="373737" w:themeColor="background1" w:themeShade="40"/>
              </w:rPr>
              <w:t>Evaluators</w:t>
            </w:r>
            <w:r>
              <w:rPr>
                <w:color w:val="373737" w:themeColor="background1" w:themeShade="40"/>
              </w:rPr>
              <w:t xml:space="preserve"> select the evaluation methods </w:t>
            </w:r>
          </w:p>
        </w:tc>
        <w:tc>
          <w:tcPr>
            <w:tcW w:w="3317" w:type="dxa"/>
          </w:tcPr>
          <w:p w:rsidR="00143584" w:rsidRDefault="00143584">
            <w:pPr>
              <w:rPr>
                <w:rFonts w:cs="Arial"/>
                <w:color w:val="373737" w:themeColor="background1" w:themeShade="40"/>
                <w:szCs w:val="18"/>
              </w:rPr>
            </w:pPr>
          </w:p>
        </w:tc>
        <w:tc>
          <w:tcPr>
            <w:tcW w:w="3318" w:type="dxa"/>
          </w:tcPr>
          <w:p w:rsidR="00143584" w:rsidRDefault="00D64125">
            <w:pPr>
              <w:rPr>
                <w:rFonts w:cs="Arial"/>
                <w:color w:val="373737" w:themeColor="background1" w:themeShade="40"/>
                <w:szCs w:val="18"/>
              </w:rPr>
            </w:pPr>
            <w:r>
              <w:rPr>
                <w:color w:val="373737" w:themeColor="background1" w:themeShade="40"/>
              </w:rPr>
              <w:t>This step is always part of the Terms of Reference</w:t>
            </w:r>
          </w:p>
        </w:tc>
      </w:tr>
      <w:tr w:rsidR="00143584">
        <w:trPr>
          <w:trHeight w:val="825"/>
        </w:trPr>
        <w:tc>
          <w:tcPr>
            <w:tcW w:w="1975" w:type="dxa"/>
            <w:vMerge/>
          </w:tcPr>
          <w:p w:rsidR="00143584" w:rsidRDefault="00143584">
            <w:pPr>
              <w:jc w:val="left"/>
              <w:rPr>
                <w:rFonts w:cs="Arial"/>
                <w:color w:val="373737" w:themeColor="background1" w:themeShade="40"/>
                <w:szCs w:val="18"/>
              </w:rPr>
            </w:pPr>
          </w:p>
        </w:tc>
        <w:tc>
          <w:tcPr>
            <w:tcW w:w="2160" w:type="dxa"/>
          </w:tcPr>
          <w:p w:rsidR="00143584" w:rsidRDefault="00D64125">
            <w:pPr>
              <w:jc w:val="left"/>
              <w:rPr>
                <w:rFonts w:cs="Arial"/>
                <w:color w:val="373737" w:themeColor="background1" w:themeShade="40"/>
                <w:szCs w:val="18"/>
              </w:rPr>
            </w:pPr>
            <w:r>
              <w:rPr>
                <w:color w:val="373737" w:themeColor="background1" w:themeShade="40"/>
              </w:rPr>
              <w:t>Establish the evidence for evaluation</w:t>
            </w:r>
          </w:p>
        </w:tc>
        <w:tc>
          <w:tcPr>
            <w:tcW w:w="2905" w:type="dxa"/>
          </w:tcPr>
          <w:p w:rsidR="00143584" w:rsidRDefault="00D64125">
            <w:pPr>
              <w:rPr>
                <w:rFonts w:cs="Arial"/>
                <w:color w:val="373737" w:themeColor="background1" w:themeShade="40"/>
                <w:szCs w:val="18"/>
              </w:rPr>
            </w:pPr>
            <w:r>
              <w:rPr>
                <w:color w:val="373737" w:themeColor="background1" w:themeShade="40"/>
              </w:rPr>
              <w:t>Responsibilities for establishing the evidence for evaluation are described in detail in Chapter 6.2.</w:t>
            </w:r>
          </w:p>
        </w:tc>
        <w:tc>
          <w:tcPr>
            <w:tcW w:w="3317" w:type="dxa"/>
          </w:tcPr>
          <w:p w:rsidR="00143584" w:rsidRDefault="00143584">
            <w:pPr>
              <w:rPr>
                <w:rFonts w:cs="Arial"/>
                <w:color w:val="373737" w:themeColor="background1" w:themeShade="40"/>
                <w:szCs w:val="18"/>
              </w:rPr>
            </w:pPr>
          </w:p>
        </w:tc>
        <w:tc>
          <w:tcPr>
            <w:tcW w:w="3318" w:type="dxa"/>
          </w:tcPr>
          <w:p w:rsidR="00143584" w:rsidRDefault="00D64125">
            <w:pPr>
              <w:pStyle w:val="Hlistbullet2"/>
              <w:numPr>
                <w:ilvl w:val="0"/>
                <w:numId w:val="0"/>
              </w:numPr>
              <w:jc w:val="left"/>
              <w:rPr>
                <w:rFonts w:cs="Arial"/>
                <w:sz w:val="18"/>
                <w:szCs w:val="18"/>
              </w:rPr>
            </w:pPr>
            <w:r>
              <w:rPr>
                <w:sz w:val="18"/>
              </w:rPr>
              <w:t>This step is part of the Terms of Reference and reflects the responsibilities of evaluators in bridging the gaps in existing data sources and/or ensuring additional data &amp; information collection.</w:t>
            </w:r>
          </w:p>
        </w:tc>
      </w:tr>
      <w:tr w:rsidR="00143584">
        <w:trPr>
          <w:trHeight w:val="105"/>
        </w:trPr>
        <w:tc>
          <w:tcPr>
            <w:tcW w:w="1975" w:type="dxa"/>
            <w:vMerge/>
          </w:tcPr>
          <w:p w:rsidR="00143584" w:rsidRDefault="00143584">
            <w:pPr>
              <w:rPr>
                <w:rFonts w:cs="Arial"/>
                <w:szCs w:val="18"/>
              </w:rPr>
            </w:pPr>
          </w:p>
        </w:tc>
        <w:tc>
          <w:tcPr>
            <w:tcW w:w="2160" w:type="dxa"/>
          </w:tcPr>
          <w:p w:rsidR="00143584" w:rsidRDefault="00D64125">
            <w:pPr>
              <w:jc w:val="left"/>
              <w:rPr>
                <w:rFonts w:cs="Arial"/>
                <w:szCs w:val="18"/>
              </w:rPr>
            </w:pPr>
            <w:r>
              <w:t xml:space="preserve">Manage and collect data for evaluation </w:t>
            </w:r>
          </w:p>
        </w:tc>
        <w:tc>
          <w:tcPr>
            <w:tcW w:w="2905" w:type="dxa"/>
          </w:tcPr>
          <w:p w:rsidR="00143584" w:rsidRDefault="00D64125">
            <w:pPr>
              <w:rPr>
                <w:rFonts w:cs="Arial"/>
                <w:color w:val="373737" w:themeColor="background1" w:themeShade="40"/>
                <w:szCs w:val="18"/>
              </w:rPr>
            </w:pPr>
            <w:r>
              <w:rPr>
                <w:color w:val="373737" w:themeColor="background1" w:themeShade="40"/>
              </w:rPr>
              <w:t>Responsibilities for establishing the evidence for evaluation are described in detail in Chapter 6.2.</w:t>
            </w:r>
          </w:p>
        </w:tc>
        <w:tc>
          <w:tcPr>
            <w:tcW w:w="3317" w:type="dxa"/>
          </w:tcPr>
          <w:p w:rsidR="00143584" w:rsidRDefault="00143584">
            <w:pPr>
              <w:rPr>
                <w:rFonts w:cs="Arial"/>
                <w:color w:val="373737" w:themeColor="background1" w:themeShade="40"/>
                <w:szCs w:val="18"/>
              </w:rPr>
            </w:pPr>
          </w:p>
        </w:tc>
        <w:tc>
          <w:tcPr>
            <w:tcW w:w="3318" w:type="dxa"/>
          </w:tcPr>
          <w:p w:rsidR="00143584" w:rsidRDefault="00D64125">
            <w:pPr>
              <w:rPr>
                <w:rFonts w:cs="Arial"/>
                <w:color w:val="373737" w:themeColor="background1" w:themeShade="40"/>
                <w:szCs w:val="18"/>
              </w:rPr>
            </w:pPr>
            <w:r>
              <w:rPr>
                <w:color w:val="373737" w:themeColor="background1" w:themeShade="40"/>
              </w:rPr>
              <w:t xml:space="preserve">This step is part of the Terms of Reference and reflects the responsibilities of evaluators in bridging the gaps in existing data </w:t>
            </w:r>
            <w:r>
              <w:rPr>
                <w:color w:val="373737" w:themeColor="background1" w:themeShade="40"/>
              </w:rPr>
              <w:lastRenderedPageBreak/>
              <w:t>sources and/or ensuring additional data &amp; information collection.</w:t>
            </w:r>
          </w:p>
        </w:tc>
      </w:tr>
      <w:tr w:rsidR="00143584">
        <w:trPr>
          <w:trHeight w:val="150"/>
        </w:trPr>
        <w:tc>
          <w:tcPr>
            <w:tcW w:w="1975" w:type="dxa"/>
          </w:tcPr>
          <w:p w:rsidR="00143584" w:rsidRDefault="00D64125">
            <w:pPr>
              <w:jc w:val="left"/>
              <w:rPr>
                <w:rFonts w:cs="Arial"/>
                <w:color w:val="373737" w:themeColor="background1" w:themeShade="40"/>
                <w:szCs w:val="18"/>
              </w:rPr>
            </w:pPr>
            <w:r>
              <w:rPr>
                <w:color w:val="373737" w:themeColor="background1" w:themeShade="40"/>
              </w:rPr>
              <w:lastRenderedPageBreak/>
              <w:t>Conducting the evaluation</w:t>
            </w:r>
          </w:p>
        </w:tc>
        <w:tc>
          <w:tcPr>
            <w:tcW w:w="2160" w:type="dxa"/>
          </w:tcPr>
          <w:p w:rsidR="00143584" w:rsidRDefault="00D64125">
            <w:pPr>
              <w:jc w:val="left"/>
              <w:rPr>
                <w:rFonts w:cs="Arial"/>
                <w:color w:val="373737" w:themeColor="background1" w:themeShade="40"/>
                <w:szCs w:val="18"/>
              </w:rPr>
            </w:pPr>
            <w:r>
              <w:rPr>
                <w:color w:val="373737" w:themeColor="background1" w:themeShade="40"/>
              </w:rPr>
              <w:t xml:space="preserve">Observing, analysing, judging </w:t>
            </w:r>
          </w:p>
        </w:tc>
        <w:tc>
          <w:tcPr>
            <w:tcW w:w="2905" w:type="dxa"/>
          </w:tcPr>
          <w:p w:rsidR="00143584" w:rsidRDefault="00D64125">
            <w:pPr>
              <w:rPr>
                <w:rFonts w:cs="Arial"/>
                <w:b/>
                <w:color w:val="373737" w:themeColor="background1" w:themeShade="40"/>
                <w:szCs w:val="18"/>
              </w:rPr>
            </w:pPr>
            <w:r>
              <w:rPr>
                <w:b/>
                <w:color w:val="373737" w:themeColor="background1" w:themeShade="40"/>
              </w:rPr>
              <w:t xml:space="preserve">Evaluators </w:t>
            </w:r>
          </w:p>
        </w:tc>
        <w:tc>
          <w:tcPr>
            <w:tcW w:w="3317" w:type="dxa"/>
          </w:tcPr>
          <w:p w:rsidR="00143584" w:rsidRDefault="00143584">
            <w:pPr>
              <w:rPr>
                <w:rFonts w:cs="Arial"/>
                <w:color w:val="373737" w:themeColor="background1" w:themeShade="40"/>
                <w:szCs w:val="18"/>
              </w:rPr>
            </w:pPr>
          </w:p>
        </w:tc>
        <w:tc>
          <w:tcPr>
            <w:tcW w:w="3318" w:type="dxa"/>
          </w:tcPr>
          <w:p w:rsidR="00143584" w:rsidRDefault="00D64125">
            <w:pPr>
              <w:pStyle w:val="Hlistbullet"/>
              <w:numPr>
                <w:ilvl w:val="0"/>
                <w:numId w:val="0"/>
              </w:numPr>
              <w:ind w:left="360" w:hanging="360"/>
              <w:rPr>
                <w:rFonts w:cs="Arial"/>
                <w:sz w:val="18"/>
                <w:szCs w:val="18"/>
              </w:rPr>
            </w:pPr>
            <w:r>
              <w:rPr>
                <w:sz w:val="18"/>
              </w:rPr>
              <w:t>This task is always part of the Terms of Reference, among others:</w:t>
            </w:r>
          </w:p>
          <w:p w:rsidR="00143584" w:rsidRDefault="00D64125">
            <w:pPr>
              <w:pStyle w:val="Hlistline3"/>
              <w:tabs>
                <w:tab w:val="left" w:pos="851"/>
              </w:tabs>
              <w:ind w:left="432" w:hanging="288"/>
              <w:rPr>
                <w:rFonts w:cs="Arial"/>
                <w:sz w:val="18"/>
                <w:szCs w:val="18"/>
              </w:rPr>
            </w:pPr>
            <w:r>
              <w:rPr>
                <w:sz w:val="18"/>
              </w:rPr>
              <w:t>Prepare the evaluation system for 2017 and beyond (e.g. resolve data gaps by modelling, extrapolations or other means),</w:t>
            </w:r>
          </w:p>
          <w:p w:rsidR="00143584" w:rsidRDefault="00D64125">
            <w:pPr>
              <w:pStyle w:val="Hlistline3"/>
              <w:tabs>
                <w:tab w:val="left" w:pos="851"/>
              </w:tabs>
              <w:ind w:left="432" w:hanging="288"/>
              <w:rPr>
                <w:rFonts w:cs="Arial"/>
                <w:sz w:val="18"/>
                <w:szCs w:val="18"/>
              </w:rPr>
            </w:pPr>
            <w:r>
              <w:rPr>
                <w:sz w:val="18"/>
              </w:rPr>
              <w:t xml:space="preserve">Focus the work on quantification of common result indicators (ideally net values), including the programme-specific results, </w:t>
            </w:r>
          </w:p>
          <w:p w:rsidR="00143584" w:rsidRDefault="00D64125">
            <w:pPr>
              <w:pStyle w:val="Hlistline3"/>
              <w:tabs>
                <w:tab w:val="left" w:pos="851"/>
              </w:tabs>
              <w:ind w:left="432" w:hanging="288"/>
              <w:rPr>
                <w:rFonts w:cs="Arial"/>
                <w:sz w:val="18"/>
                <w:szCs w:val="18"/>
              </w:rPr>
            </w:pPr>
            <w:r>
              <w:rPr>
                <w:sz w:val="18"/>
              </w:rPr>
              <w:t>Develop and use the additional result indicators if needed to answer CEQ,</w:t>
            </w:r>
          </w:p>
          <w:p w:rsidR="00143584" w:rsidRDefault="00D64125">
            <w:pPr>
              <w:pStyle w:val="Hlistline3"/>
              <w:tabs>
                <w:tab w:val="left" w:pos="851"/>
              </w:tabs>
              <w:ind w:left="432" w:hanging="288"/>
              <w:rPr>
                <w:rFonts w:cs="Arial"/>
                <w:sz w:val="18"/>
                <w:szCs w:val="18"/>
              </w:rPr>
            </w:pPr>
            <w:r>
              <w:rPr>
                <w:sz w:val="18"/>
              </w:rPr>
              <w:t xml:space="preserve">Use specific methods, tools and techniques for quantifying and assessing the effectiveness and efficiency of the RDP, and for answering the EQ,  </w:t>
            </w:r>
          </w:p>
          <w:p w:rsidR="00143584" w:rsidRDefault="00D64125">
            <w:pPr>
              <w:pStyle w:val="Hlistline3"/>
              <w:tabs>
                <w:tab w:val="left" w:pos="851"/>
              </w:tabs>
              <w:ind w:left="432" w:hanging="288"/>
              <w:rPr>
                <w:rFonts w:cs="Arial"/>
                <w:sz w:val="18"/>
                <w:szCs w:val="18"/>
              </w:rPr>
            </w:pPr>
            <w:r>
              <w:rPr>
                <w:sz w:val="18"/>
              </w:rPr>
              <w:t xml:space="preserve">Validate values of target indicators </w:t>
            </w:r>
          </w:p>
          <w:p w:rsidR="00143584" w:rsidRDefault="00D64125">
            <w:pPr>
              <w:pStyle w:val="Hlistline3"/>
              <w:tabs>
                <w:tab w:val="left" w:pos="851"/>
              </w:tabs>
              <w:ind w:left="432" w:hanging="288"/>
              <w:rPr>
                <w:rFonts w:cs="Arial"/>
                <w:sz w:val="18"/>
                <w:szCs w:val="18"/>
              </w:rPr>
            </w:pPr>
            <w:r>
              <w:rPr>
                <w:sz w:val="18"/>
              </w:rPr>
              <w:t xml:space="preserve">Reflect on the need to update the CCI, </w:t>
            </w:r>
          </w:p>
          <w:p w:rsidR="00143584" w:rsidRDefault="00D64125">
            <w:pPr>
              <w:pStyle w:val="Hlistline4"/>
              <w:tabs>
                <w:tab w:val="left" w:pos="851"/>
              </w:tabs>
              <w:ind w:left="432" w:hanging="288"/>
              <w:rPr>
                <w:rFonts w:cs="Arial"/>
                <w:sz w:val="18"/>
                <w:szCs w:val="18"/>
              </w:rPr>
            </w:pPr>
            <w:r>
              <w:rPr>
                <w:sz w:val="18"/>
              </w:rPr>
              <w:t xml:space="preserve">Provide answers to evaluation questions </w:t>
            </w:r>
          </w:p>
          <w:p w:rsidR="00143584" w:rsidRDefault="00D64125">
            <w:pPr>
              <w:pStyle w:val="Hlistline4"/>
              <w:tabs>
                <w:tab w:val="left" w:pos="851"/>
              </w:tabs>
              <w:ind w:left="432" w:hanging="288"/>
              <w:rPr>
                <w:rFonts w:cs="Arial"/>
                <w:sz w:val="18"/>
                <w:szCs w:val="18"/>
              </w:rPr>
            </w:pPr>
            <w:r>
              <w:rPr>
                <w:sz w:val="18"/>
              </w:rPr>
              <w:t xml:space="preserve">Draft conclusions and recommendations which are strictly based on evidence of the qualitative and quantitative assessment. </w:t>
            </w:r>
          </w:p>
        </w:tc>
      </w:tr>
    </w:tbl>
    <w:p w:rsidR="00143584" w:rsidRDefault="00143584">
      <w:pPr>
        <w:pStyle w:val="H-Heading2"/>
        <w:ind w:left="792" w:firstLine="0"/>
        <w:jc w:val="both"/>
        <w:rPr>
          <w:rFonts w:ascii="Arial" w:hAnsi="Arial" w:cs="Arial"/>
          <w:color w:val="030303"/>
        </w:rPr>
        <w:sectPr w:rsidR="00143584">
          <w:footerReference w:type="first" r:id="rId82"/>
          <w:pgSz w:w="16840" w:h="11907" w:orient="landscape" w:code="9"/>
          <w:pgMar w:top="1418" w:right="1418" w:bottom="1418" w:left="1418" w:header="737" w:footer="709" w:gutter="0"/>
          <w:cols w:space="708"/>
          <w:titlePg/>
          <w:docGrid w:linePitch="360"/>
        </w:sectPr>
      </w:pPr>
    </w:p>
    <w:p w:rsidR="00143584" w:rsidRDefault="00D64125">
      <w:pPr>
        <w:pStyle w:val="HHeading1"/>
        <w:numPr>
          <w:ilvl w:val="0"/>
          <w:numId w:val="0"/>
        </w:numPr>
        <w:rPr>
          <w:highlight w:val="yellow"/>
        </w:rPr>
      </w:pPr>
      <w:bookmarkStart w:id="147" w:name="_Toc456012911"/>
      <w:bookmarkStart w:id="148" w:name="_Toc460936130"/>
      <w:bookmarkStart w:id="149" w:name="_Toc474938254"/>
      <w:r>
        <w:rPr>
          <w:highlight w:val="yellow"/>
        </w:rPr>
        <w:lastRenderedPageBreak/>
        <w:t>Приложение 5 — Контролен списък за оценяване на качеството на доклада за оценка</w:t>
      </w:r>
      <w:bookmarkEnd w:id="147"/>
      <w:bookmarkEnd w:id="148"/>
      <w:bookmarkEnd w:id="149"/>
    </w:p>
    <w:p w:rsidR="00143584" w:rsidRDefault="00D64125">
      <w:pPr>
        <w:pStyle w:val="HStandard"/>
        <w:rPr>
          <w:rFonts w:cs="Arial"/>
          <w:highlight w:val="yellow"/>
        </w:rPr>
      </w:pPr>
      <w:r>
        <w:rPr>
          <w:highlight w:val="yellow"/>
        </w:rPr>
        <w:t xml:space="preserve">Следният примерен контролен списък може да се използва от управляващия орган за оценяване на качеството на неговия доклад за оценка.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143584">
        <w:trPr>
          <w:jc w:val="center"/>
        </w:trPr>
        <w:tc>
          <w:tcPr>
            <w:tcW w:w="9067" w:type="dxa"/>
            <w:shd w:val="clear" w:color="auto" w:fill="F07E31"/>
          </w:tcPr>
          <w:p w:rsidR="00143584" w:rsidRDefault="00D64125">
            <w:pPr>
              <w:suppressAutoHyphens/>
              <w:spacing w:before="40" w:after="40" w:line="240" w:lineRule="auto"/>
              <w:rPr>
                <w:rFonts w:cs="Arial"/>
                <w:b/>
                <w:color w:val="FFFFFF"/>
                <w:szCs w:val="18"/>
                <w:highlight w:val="yellow"/>
              </w:rPr>
            </w:pPr>
            <w:r>
              <w:rPr>
                <w:b/>
                <w:color w:val="FFFFFF"/>
                <w:highlight w:val="yellow"/>
              </w:rPr>
              <w:t>Формулиране на оценката:</w:t>
            </w:r>
          </w:p>
        </w:tc>
      </w:tr>
      <w:tr w:rsidR="00143584">
        <w:trPr>
          <w:jc w:val="center"/>
        </w:trPr>
        <w:tc>
          <w:tcPr>
            <w:tcW w:w="9067"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Отговаряща дирекция / отдел:</w:t>
            </w:r>
          </w:p>
        </w:tc>
      </w:tr>
      <w:tr w:rsidR="00143584">
        <w:trPr>
          <w:jc w:val="center"/>
        </w:trPr>
        <w:tc>
          <w:tcPr>
            <w:tcW w:w="9067"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Оценител / изпълнител:</w:t>
            </w:r>
          </w:p>
        </w:tc>
      </w:tr>
      <w:tr w:rsidR="00143584">
        <w:trPr>
          <w:jc w:val="center"/>
        </w:trPr>
        <w:tc>
          <w:tcPr>
            <w:tcW w:w="9067"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Оценяването е извършено от: (наименование на организациите/отделите, взели участие в оценяването)</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Дата на оценката на качеството: </w:t>
            </w:r>
          </w:p>
        </w:tc>
      </w:tr>
      <w:tr w:rsidR="00143584">
        <w:trPr>
          <w:jc w:val="center"/>
        </w:trPr>
        <w:tc>
          <w:tcPr>
            <w:tcW w:w="9067" w:type="dxa"/>
            <w:shd w:val="clear" w:color="auto" w:fill="auto"/>
          </w:tcPr>
          <w:p w:rsidR="00143584" w:rsidRDefault="00D64125">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УМЕСТНОСТ</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Оценката отговаря ли на нуждите от информация на възлагащия орган и изпълнява ли заданието?</w:t>
            </w:r>
          </w:p>
          <w:p w:rsidR="00143584" w:rsidRDefault="00143584">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143584">
              <w:trPr>
                <w:jc w:val="center"/>
              </w:trPr>
              <w:tc>
                <w:tcPr>
                  <w:tcW w:w="1414"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Лошо</w:t>
                  </w:r>
                </w:p>
              </w:tc>
              <w:tc>
                <w:tcPr>
                  <w:tcW w:w="162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Задоволително</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Добре</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Много добре</w:t>
                  </w:r>
                </w:p>
              </w:tc>
              <w:tc>
                <w:tcPr>
                  <w:tcW w:w="154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Отлично</w:t>
                  </w:r>
                </w:p>
              </w:tc>
            </w:tr>
            <w:tr w:rsidR="00143584">
              <w:trPr>
                <w:jc w:val="center"/>
              </w:trPr>
              <w:tc>
                <w:tcPr>
                  <w:tcW w:w="1414"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r>
          </w:tbl>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Аргументи за поставената оценка:</w:t>
            </w:r>
          </w:p>
        </w:tc>
      </w:tr>
      <w:tr w:rsidR="00143584">
        <w:trPr>
          <w:jc w:val="center"/>
        </w:trPr>
        <w:tc>
          <w:tcPr>
            <w:tcW w:w="9067" w:type="dxa"/>
            <w:shd w:val="clear" w:color="auto" w:fill="auto"/>
          </w:tcPr>
          <w:p w:rsidR="00143584" w:rsidRDefault="00D64125">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ОБХВАТ</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Задълбочено ли е проучена обосновката на програмата и на нейния набор от крайни продукти, резултати и въздействия, в това число предвидените и непредвидените ефекти от интервенциите на политиката?</w:t>
            </w:r>
          </w:p>
          <w:p w:rsidR="00143584" w:rsidRDefault="00143584">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143584">
              <w:trPr>
                <w:jc w:val="center"/>
              </w:trPr>
              <w:tc>
                <w:tcPr>
                  <w:tcW w:w="1414"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Лошо</w:t>
                  </w:r>
                </w:p>
              </w:tc>
              <w:tc>
                <w:tcPr>
                  <w:tcW w:w="162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Задоволително</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Добре</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Много добре</w:t>
                  </w:r>
                </w:p>
              </w:tc>
              <w:tc>
                <w:tcPr>
                  <w:tcW w:w="154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Отлично</w:t>
                  </w:r>
                </w:p>
              </w:tc>
            </w:tr>
            <w:tr w:rsidR="00143584">
              <w:trPr>
                <w:jc w:val="center"/>
              </w:trPr>
              <w:tc>
                <w:tcPr>
                  <w:tcW w:w="1414"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r>
          </w:tbl>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Аргументи за поставената оценка:</w:t>
            </w:r>
          </w:p>
        </w:tc>
      </w:tr>
      <w:tr w:rsidR="00143584">
        <w:trPr>
          <w:jc w:val="center"/>
        </w:trPr>
        <w:tc>
          <w:tcPr>
            <w:tcW w:w="9067" w:type="dxa"/>
            <w:shd w:val="clear" w:color="auto" w:fill="auto"/>
          </w:tcPr>
          <w:p w:rsidR="00143584" w:rsidRDefault="00D64125">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ЦЕЛЕСЪОБРАЗНОСТ НА СТРУКТУРАТА НА ОЦЕНКАТА</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Целесъобразна ли е методиката за получаване на нужните резултати за отговор на въпросите за оценка?</w:t>
            </w:r>
          </w:p>
          <w:p w:rsidR="00143584" w:rsidRDefault="00143584">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143584">
              <w:trPr>
                <w:jc w:val="center"/>
              </w:trPr>
              <w:tc>
                <w:tcPr>
                  <w:tcW w:w="170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Лошо</w:t>
                  </w:r>
                </w:p>
              </w:tc>
              <w:tc>
                <w:tcPr>
                  <w:tcW w:w="179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Задоволително</w:t>
                  </w:r>
                </w:p>
              </w:tc>
              <w:tc>
                <w:tcPr>
                  <w:tcW w:w="171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Добре</w:t>
                  </w:r>
                </w:p>
              </w:tc>
              <w:tc>
                <w:tcPr>
                  <w:tcW w:w="1714"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Много добре</w:t>
                  </w:r>
                </w:p>
              </w:tc>
              <w:tc>
                <w:tcPr>
                  <w:tcW w:w="1759"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Отлично</w:t>
                  </w:r>
                </w:p>
              </w:tc>
            </w:tr>
            <w:tr w:rsidR="00143584">
              <w:trPr>
                <w:jc w:val="center"/>
              </w:trPr>
              <w:tc>
                <w:tcPr>
                  <w:tcW w:w="1703"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r>
          </w:tbl>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Аргументи за поставената оценка:</w:t>
            </w:r>
          </w:p>
        </w:tc>
      </w:tr>
      <w:tr w:rsidR="00143584">
        <w:trPr>
          <w:jc w:val="center"/>
        </w:trPr>
        <w:tc>
          <w:tcPr>
            <w:tcW w:w="9067" w:type="dxa"/>
            <w:shd w:val="clear" w:color="auto" w:fill="auto"/>
          </w:tcPr>
          <w:p w:rsidR="00143584" w:rsidRDefault="00D64125">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НАДЕЖДНОСТ НА ДАННИТЕ</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Подходящи ли са за целта използваните при оценяването данни и удостоверена ли е тяхната надеждност? Обяснени ли са слабостите и ограниченията, свързани с данните? </w:t>
            </w:r>
          </w:p>
          <w:p w:rsidR="00143584" w:rsidRDefault="00143584">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143584">
              <w:trPr>
                <w:jc w:val="center"/>
              </w:trPr>
              <w:tc>
                <w:tcPr>
                  <w:tcW w:w="1414"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Лошо</w:t>
                  </w:r>
                </w:p>
              </w:tc>
              <w:tc>
                <w:tcPr>
                  <w:tcW w:w="162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Задоволително</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Добре</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Много добре</w:t>
                  </w:r>
                </w:p>
              </w:tc>
              <w:tc>
                <w:tcPr>
                  <w:tcW w:w="154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Отлично</w:t>
                  </w:r>
                </w:p>
              </w:tc>
            </w:tr>
            <w:tr w:rsidR="00143584">
              <w:trPr>
                <w:jc w:val="center"/>
              </w:trPr>
              <w:tc>
                <w:tcPr>
                  <w:tcW w:w="1414"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r>
          </w:tbl>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Аргументи за поставената оценка:</w:t>
            </w:r>
          </w:p>
        </w:tc>
      </w:tr>
      <w:tr w:rsidR="00143584">
        <w:trPr>
          <w:jc w:val="center"/>
        </w:trPr>
        <w:tc>
          <w:tcPr>
            <w:tcW w:w="9067" w:type="dxa"/>
            <w:shd w:val="clear" w:color="auto" w:fill="auto"/>
          </w:tcPr>
          <w:p w:rsidR="00143584" w:rsidRDefault="00D64125">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ОБОСНОВАНОСТ НА АНАЛИЗА</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Направен ли е подходящ и систематичен анализ на качествените и количествените данни по валиден начин, за да се отговори на въпросите за оценка и да се обхванат и други информационни потребности? Обяснени ли са причинно-следствените връзки между дадената интервенция и резултатите от нея? Правилно ли са отчетени външните фактори?</w:t>
            </w:r>
          </w:p>
          <w:p w:rsidR="00143584" w:rsidRDefault="00D64125">
            <w:pPr>
              <w:suppressAutoHyphens/>
              <w:spacing w:before="40" w:after="40" w:line="240" w:lineRule="auto"/>
              <w:rPr>
                <w:rFonts w:cs="Arial"/>
                <w:color w:val="373737" w:themeColor="background1" w:themeShade="40"/>
                <w:szCs w:val="18"/>
                <w:highlight w:val="yellow"/>
              </w:rPr>
            </w:pPr>
            <w:r>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143584">
              <w:trPr>
                <w:jc w:val="center"/>
              </w:trPr>
              <w:tc>
                <w:tcPr>
                  <w:tcW w:w="1414"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Лошо</w:t>
                  </w:r>
                </w:p>
              </w:tc>
              <w:tc>
                <w:tcPr>
                  <w:tcW w:w="162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Задоволително</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Добре</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Много добре</w:t>
                  </w:r>
                </w:p>
              </w:tc>
              <w:tc>
                <w:tcPr>
                  <w:tcW w:w="154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Отлично</w:t>
                  </w:r>
                </w:p>
              </w:tc>
            </w:tr>
            <w:tr w:rsidR="00143584">
              <w:trPr>
                <w:jc w:val="center"/>
              </w:trPr>
              <w:tc>
                <w:tcPr>
                  <w:tcW w:w="1414"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r>
          </w:tbl>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Аргументи за поставената оценка:</w:t>
            </w:r>
          </w:p>
        </w:tc>
      </w:tr>
      <w:tr w:rsidR="00143584">
        <w:trPr>
          <w:jc w:val="center"/>
        </w:trPr>
        <w:tc>
          <w:tcPr>
            <w:tcW w:w="9067" w:type="dxa"/>
            <w:shd w:val="clear" w:color="auto" w:fill="auto"/>
          </w:tcPr>
          <w:p w:rsidR="00143584" w:rsidRDefault="00D64125">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ДОСТОВЕРНОСТ НА КОНСТАТАЦИИТЕ</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Констатациите следват ли логическите връзки и обосновани ли са те с данните/ информацията, анализа и интерпретациите на база на предварително определените критерии? Основани ли са констатациите на внимателно обяснени допускания и основания?</w:t>
            </w:r>
          </w:p>
          <w:p w:rsidR="00143584" w:rsidRDefault="00143584">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143584">
              <w:trPr>
                <w:jc w:val="center"/>
              </w:trPr>
              <w:tc>
                <w:tcPr>
                  <w:tcW w:w="1414"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Лошо</w:t>
                  </w:r>
                </w:p>
              </w:tc>
              <w:tc>
                <w:tcPr>
                  <w:tcW w:w="162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Задоволително</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Добре</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Много добре</w:t>
                  </w:r>
                </w:p>
              </w:tc>
              <w:tc>
                <w:tcPr>
                  <w:tcW w:w="154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Отлично</w:t>
                  </w:r>
                </w:p>
              </w:tc>
            </w:tr>
            <w:tr w:rsidR="00143584">
              <w:trPr>
                <w:jc w:val="center"/>
              </w:trPr>
              <w:tc>
                <w:tcPr>
                  <w:tcW w:w="1414"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r>
          </w:tbl>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Аргументи за поставената оценка:</w:t>
            </w:r>
          </w:p>
        </w:tc>
      </w:tr>
      <w:tr w:rsidR="00143584">
        <w:trPr>
          <w:jc w:val="center"/>
        </w:trPr>
        <w:tc>
          <w:tcPr>
            <w:tcW w:w="9067" w:type="dxa"/>
            <w:shd w:val="clear" w:color="auto" w:fill="auto"/>
          </w:tcPr>
          <w:p w:rsidR="00143584" w:rsidRDefault="00D64125">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lastRenderedPageBreak/>
              <w:t>ВАЛИДНОСТ НА ЗАКЛЮЧЕНИЯТА</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Заключенията изцяло ли са основани на констатации и непредубедени ли са? Заключенията изразени ли са ясно, групирани и подредени по приоритет?</w:t>
            </w:r>
          </w:p>
          <w:p w:rsidR="00143584" w:rsidRDefault="00143584">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143584">
              <w:trPr>
                <w:jc w:val="center"/>
              </w:trPr>
              <w:tc>
                <w:tcPr>
                  <w:tcW w:w="1414"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Лошо</w:t>
                  </w:r>
                </w:p>
              </w:tc>
              <w:tc>
                <w:tcPr>
                  <w:tcW w:w="162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Задоволително</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Добре</w:t>
                  </w:r>
                </w:p>
              </w:tc>
              <w:tc>
                <w:tcPr>
                  <w:tcW w:w="1442"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Много добре</w:t>
                  </w:r>
                </w:p>
              </w:tc>
              <w:tc>
                <w:tcPr>
                  <w:tcW w:w="1548"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Отлично</w:t>
                  </w:r>
                </w:p>
              </w:tc>
            </w:tr>
            <w:tr w:rsidR="00143584">
              <w:trPr>
                <w:jc w:val="center"/>
              </w:trPr>
              <w:tc>
                <w:tcPr>
                  <w:tcW w:w="1414"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r>
          </w:tbl>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Аргументи за поставената оценка:</w:t>
            </w:r>
          </w:p>
        </w:tc>
      </w:tr>
      <w:tr w:rsidR="00143584">
        <w:trPr>
          <w:jc w:val="center"/>
        </w:trPr>
        <w:tc>
          <w:tcPr>
            <w:tcW w:w="9067" w:type="dxa"/>
            <w:shd w:val="clear" w:color="auto" w:fill="auto"/>
          </w:tcPr>
          <w:p w:rsidR="00143584" w:rsidRDefault="00D64125">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ПОЛЗА ОТ ПРЕПОРЪКИТЕ</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Идентифицирани ли са области, в които има нужда от подобрения, в съответствие със заключенията? Предложените варианти реалистични, безпристрастни и достатъчно подробни ли са, за да може да бъдат приложени на практика?</w:t>
            </w:r>
          </w:p>
          <w:p w:rsidR="00143584" w:rsidRDefault="00143584">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143584">
              <w:trPr>
                <w:jc w:val="center"/>
              </w:trPr>
              <w:tc>
                <w:tcPr>
                  <w:tcW w:w="170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Лошо</w:t>
                  </w:r>
                </w:p>
              </w:tc>
              <w:tc>
                <w:tcPr>
                  <w:tcW w:w="179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Задоволително</w:t>
                  </w:r>
                </w:p>
              </w:tc>
              <w:tc>
                <w:tcPr>
                  <w:tcW w:w="171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Добре</w:t>
                  </w:r>
                </w:p>
              </w:tc>
              <w:tc>
                <w:tcPr>
                  <w:tcW w:w="1714"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Много добре</w:t>
                  </w:r>
                </w:p>
              </w:tc>
              <w:tc>
                <w:tcPr>
                  <w:tcW w:w="1759"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Отлично</w:t>
                  </w:r>
                </w:p>
              </w:tc>
            </w:tr>
            <w:tr w:rsidR="00143584">
              <w:trPr>
                <w:jc w:val="center"/>
              </w:trPr>
              <w:tc>
                <w:tcPr>
                  <w:tcW w:w="1703"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r>
          </w:tbl>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Аргументи за поставената оценка:</w:t>
            </w:r>
          </w:p>
        </w:tc>
      </w:tr>
      <w:tr w:rsidR="00143584">
        <w:trPr>
          <w:jc w:val="center"/>
        </w:trPr>
        <w:tc>
          <w:tcPr>
            <w:tcW w:w="9067" w:type="dxa"/>
            <w:shd w:val="clear" w:color="auto" w:fill="auto"/>
          </w:tcPr>
          <w:p w:rsidR="00143584" w:rsidRDefault="00D64125">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ЯСНОТА НА ДОКЛАДА</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Добре структуриран и балансиран ли е докладът и разбираемо ли е написан?</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Докладът лесно ли се чете и съдържа ли кратко, но изчерпателно резюме? Докладът съдържа ли графики и таблици?</w:t>
            </w:r>
          </w:p>
          <w:p w:rsidR="00143584" w:rsidRDefault="00143584">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143584">
              <w:trPr>
                <w:jc w:val="center"/>
              </w:trPr>
              <w:tc>
                <w:tcPr>
                  <w:tcW w:w="170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Лошо</w:t>
                  </w:r>
                </w:p>
              </w:tc>
              <w:tc>
                <w:tcPr>
                  <w:tcW w:w="179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Задоволително</w:t>
                  </w:r>
                </w:p>
              </w:tc>
              <w:tc>
                <w:tcPr>
                  <w:tcW w:w="171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Добре</w:t>
                  </w:r>
                </w:p>
              </w:tc>
              <w:tc>
                <w:tcPr>
                  <w:tcW w:w="1714"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Много добре</w:t>
                  </w:r>
                </w:p>
              </w:tc>
              <w:tc>
                <w:tcPr>
                  <w:tcW w:w="1759"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Отлично</w:t>
                  </w:r>
                </w:p>
              </w:tc>
            </w:tr>
            <w:tr w:rsidR="00143584">
              <w:trPr>
                <w:jc w:val="center"/>
              </w:trPr>
              <w:tc>
                <w:tcPr>
                  <w:tcW w:w="1703"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143584" w:rsidRDefault="00143584">
                  <w:pPr>
                    <w:suppressAutoHyphens/>
                    <w:spacing w:before="40" w:after="40" w:line="240" w:lineRule="auto"/>
                    <w:rPr>
                      <w:rFonts w:cs="Arial"/>
                      <w:color w:val="373737" w:themeColor="background1" w:themeShade="40"/>
                      <w:szCs w:val="18"/>
                      <w:highlight w:val="yellow"/>
                    </w:rPr>
                  </w:pPr>
                </w:p>
              </w:tc>
            </w:tr>
          </w:tbl>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Аргументи за поставената оценка:</w:t>
            </w:r>
          </w:p>
        </w:tc>
      </w:tr>
      <w:tr w:rsidR="00143584">
        <w:trPr>
          <w:jc w:val="center"/>
        </w:trPr>
        <w:tc>
          <w:tcPr>
            <w:tcW w:w="9067" w:type="dxa"/>
            <w:shd w:val="clear" w:color="auto" w:fill="auto"/>
          </w:tcPr>
          <w:p w:rsidR="00143584" w:rsidRDefault="00D64125">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ЦЯЛОСТНА ОЦЕНКА НА ОКОНЧАТЕЛНИЯ ДОКЛАД</w:t>
            </w:r>
          </w:p>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Цялостното качество на доклада е: </w:t>
            </w:r>
          </w:p>
          <w:p w:rsidR="00143584" w:rsidRDefault="00143584">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143584">
              <w:trPr>
                <w:jc w:val="center"/>
              </w:trPr>
              <w:tc>
                <w:tcPr>
                  <w:tcW w:w="170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Лошо</w:t>
                  </w:r>
                </w:p>
              </w:tc>
              <w:tc>
                <w:tcPr>
                  <w:tcW w:w="179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Задоволително</w:t>
                  </w:r>
                </w:p>
              </w:tc>
              <w:tc>
                <w:tcPr>
                  <w:tcW w:w="1713"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Добре</w:t>
                  </w:r>
                </w:p>
              </w:tc>
              <w:tc>
                <w:tcPr>
                  <w:tcW w:w="1714" w:type="dxa"/>
                  <w:shd w:val="clear" w:color="auto" w:fill="auto"/>
                </w:tcPr>
                <w:p w:rsidR="00143584" w:rsidRDefault="00D64125">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Много добре</w:t>
                  </w:r>
                </w:p>
              </w:tc>
              <w:tc>
                <w:tcPr>
                  <w:tcW w:w="1759"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highlight w:val="yellow"/>
                    </w:rPr>
                    <w:t>Отлично</w:t>
                  </w:r>
                </w:p>
              </w:tc>
            </w:tr>
            <w:tr w:rsidR="00143584">
              <w:trPr>
                <w:jc w:val="center"/>
              </w:trPr>
              <w:tc>
                <w:tcPr>
                  <w:tcW w:w="1703"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793"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713"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714" w:type="dxa"/>
                  <w:shd w:val="clear" w:color="auto" w:fill="auto"/>
                </w:tcPr>
                <w:p w:rsidR="00143584" w:rsidRDefault="00143584">
                  <w:pPr>
                    <w:suppressAutoHyphens/>
                    <w:spacing w:before="40" w:after="40" w:line="240" w:lineRule="auto"/>
                    <w:rPr>
                      <w:rFonts w:cs="Arial"/>
                      <w:color w:val="373737" w:themeColor="background1" w:themeShade="40"/>
                      <w:szCs w:val="18"/>
                    </w:rPr>
                  </w:pPr>
                </w:p>
              </w:tc>
              <w:tc>
                <w:tcPr>
                  <w:tcW w:w="1759" w:type="dxa"/>
                  <w:shd w:val="clear" w:color="auto" w:fill="auto"/>
                </w:tcPr>
                <w:p w:rsidR="00143584" w:rsidRDefault="00143584">
                  <w:pPr>
                    <w:suppressAutoHyphens/>
                    <w:spacing w:before="40" w:after="40" w:line="240" w:lineRule="auto"/>
                    <w:rPr>
                      <w:rFonts w:cs="Arial"/>
                      <w:color w:val="373737" w:themeColor="background1" w:themeShade="40"/>
                      <w:szCs w:val="18"/>
                    </w:rPr>
                  </w:pPr>
                </w:p>
              </w:tc>
            </w:tr>
          </w:tbl>
          <w:p w:rsidR="00143584" w:rsidRDefault="00143584">
            <w:pPr>
              <w:suppressAutoHyphens/>
              <w:spacing w:before="40" w:after="40" w:line="240" w:lineRule="auto"/>
              <w:rPr>
                <w:rFonts w:cs="Arial"/>
                <w:color w:val="373737" w:themeColor="background1" w:themeShade="40"/>
                <w:szCs w:val="18"/>
              </w:rPr>
            </w:pPr>
          </w:p>
        </w:tc>
      </w:tr>
    </w:tbl>
    <w:p w:rsidR="00143584" w:rsidRDefault="00143584">
      <w:pPr>
        <w:rPr>
          <w:rFonts w:cs="Arial"/>
        </w:rPr>
      </w:pPr>
    </w:p>
    <w:p w:rsidR="00143584" w:rsidRDefault="00D64125">
      <w:pPr>
        <w:pStyle w:val="HHeading1"/>
        <w:numPr>
          <w:ilvl w:val="0"/>
          <w:numId w:val="0"/>
        </w:numPr>
      </w:pPr>
      <w:bookmarkStart w:id="150" w:name="_Toc456012912"/>
      <w:bookmarkStart w:id="151" w:name="_Toc460936131"/>
      <w:bookmarkStart w:id="152" w:name="_Toc474938255"/>
      <w:r>
        <w:lastRenderedPageBreak/>
        <w:t>Annex 6 - The role of rural development stakeholders in the dissemination and communication of the evaluation results</w:t>
      </w:r>
      <w:bookmarkEnd w:id="143"/>
      <w:bookmarkEnd w:id="150"/>
      <w:bookmarkEnd w:id="151"/>
      <w:bookmarkEnd w:id="152"/>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143584">
        <w:trPr>
          <w:jc w:val="center"/>
        </w:trPr>
        <w:tc>
          <w:tcPr>
            <w:tcW w:w="1112" w:type="dxa"/>
            <w:shd w:val="clear" w:color="auto" w:fill="F07E31"/>
            <w:hideMark/>
          </w:tcPr>
          <w:p w:rsidR="00143584" w:rsidRDefault="00D64125">
            <w:pPr>
              <w:suppressAutoHyphens/>
              <w:spacing w:before="40" w:after="40" w:line="240" w:lineRule="auto"/>
              <w:jc w:val="center"/>
              <w:rPr>
                <w:rFonts w:cs="Arial"/>
                <w:b/>
                <w:color w:val="FFFFFF"/>
                <w:szCs w:val="20"/>
              </w:rPr>
            </w:pPr>
            <w:r>
              <w:rPr>
                <w:b/>
                <w:color w:val="FFFFFF"/>
              </w:rPr>
              <w:t>WHO?</w:t>
            </w:r>
          </w:p>
        </w:tc>
        <w:tc>
          <w:tcPr>
            <w:tcW w:w="2275" w:type="dxa"/>
            <w:shd w:val="clear" w:color="auto" w:fill="F07E31"/>
            <w:hideMark/>
          </w:tcPr>
          <w:p w:rsidR="00143584" w:rsidRDefault="00D64125">
            <w:pPr>
              <w:suppressAutoHyphens/>
              <w:spacing w:before="40" w:after="40" w:line="240" w:lineRule="auto"/>
              <w:jc w:val="center"/>
              <w:rPr>
                <w:rFonts w:cs="Arial"/>
                <w:b/>
                <w:color w:val="FFFFFF"/>
                <w:szCs w:val="20"/>
              </w:rPr>
            </w:pPr>
            <w:r>
              <w:rPr>
                <w:b/>
                <w:color w:val="FFFFFF"/>
              </w:rPr>
              <w:t>WHAT?</w:t>
            </w:r>
          </w:p>
        </w:tc>
        <w:tc>
          <w:tcPr>
            <w:tcW w:w="1944" w:type="dxa"/>
            <w:shd w:val="clear" w:color="auto" w:fill="F07E31"/>
            <w:hideMark/>
          </w:tcPr>
          <w:p w:rsidR="00143584" w:rsidRDefault="00D64125">
            <w:pPr>
              <w:suppressAutoHyphens/>
              <w:spacing w:before="40" w:after="40" w:line="240" w:lineRule="auto"/>
              <w:jc w:val="center"/>
              <w:rPr>
                <w:rFonts w:cs="Arial"/>
                <w:b/>
                <w:color w:val="FFFFFF"/>
                <w:szCs w:val="20"/>
              </w:rPr>
            </w:pPr>
            <w:r>
              <w:rPr>
                <w:b/>
                <w:color w:val="FFFFFF"/>
              </w:rPr>
              <w:t>TO WHOM?</w:t>
            </w:r>
          </w:p>
        </w:tc>
        <w:tc>
          <w:tcPr>
            <w:tcW w:w="3311" w:type="dxa"/>
            <w:shd w:val="clear" w:color="auto" w:fill="F07E31"/>
            <w:hideMark/>
          </w:tcPr>
          <w:p w:rsidR="00143584" w:rsidRDefault="00D64125">
            <w:pPr>
              <w:suppressAutoHyphens/>
              <w:spacing w:before="40" w:after="40" w:line="240" w:lineRule="auto"/>
              <w:jc w:val="center"/>
              <w:rPr>
                <w:rFonts w:cs="Arial"/>
                <w:b/>
                <w:color w:val="FFFFFF"/>
                <w:szCs w:val="20"/>
              </w:rPr>
            </w:pPr>
            <w:r>
              <w:rPr>
                <w:b/>
                <w:color w:val="FFFFFF"/>
              </w:rPr>
              <w:t>WHY?</w:t>
            </w:r>
          </w:p>
        </w:tc>
      </w:tr>
      <w:tr w:rsidR="00143584">
        <w:trPr>
          <w:trHeight w:val="218"/>
          <w:jc w:val="center"/>
        </w:trPr>
        <w:tc>
          <w:tcPr>
            <w:tcW w:w="1112" w:type="dxa"/>
            <w:vMerge w:val="restart"/>
            <w:shd w:val="clear" w:color="auto" w:fill="auto"/>
            <w:hideMark/>
          </w:tcPr>
          <w:p w:rsidR="00143584" w:rsidRDefault="00D64125">
            <w:pPr>
              <w:suppressAutoHyphens/>
              <w:spacing w:before="40" w:after="40" w:line="240" w:lineRule="auto"/>
              <w:jc w:val="left"/>
              <w:rPr>
                <w:rFonts w:cs="Arial"/>
                <w:b/>
                <w:color w:val="373737" w:themeColor="background1" w:themeShade="40"/>
                <w:szCs w:val="20"/>
              </w:rPr>
            </w:pPr>
            <w:r>
              <w:rPr>
                <w:b/>
                <w:color w:val="373737" w:themeColor="background1" w:themeShade="40"/>
              </w:rPr>
              <w:t xml:space="preserve">MA </w:t>
            </w: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 xml:space="preserve">Report on evaluation in the AIR submitted in 2017 </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EC</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Inform the Commission, fulfil legal requirements</w:t>
            </w:r>
          </w:p>
        </w:tc>
      </w:tr>
      <w:tr w:rsidR="00143584">
        <w:trPr>
          <w:trHeight w:val="56"/>
          <w:jc w:val="center"/>
        </w:trPr>
        <w:tc>
          <w:tcPr>
            <w:tcW w:w="1112" w:type="dxa"/>
            <w:vMerge/>
            <w:shd w:val="clear" w:color="auto" w:fill="auto"/>
          </w:tcPr>
          <w:p w:rsidR="00143584" w:rsidRDefault="00143584">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 xml:space="preserve">Summary of major evaluation findings, conclusions, and recommendations </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Inform policy makers, signal RDP modification needs</w:t>
            </w:r>
          </w:p>
        </w:tc>
      </w:tr>
      <w:tr w:rsidR="00143584">
        <w:trPr>
          <w:trHeight w:val="248"/>
          <w:jc w:val="center"/>
        </w:trPr>
        <w:tc>
          <w:tcPr>
            <w:tcW w:w="1112" w:type="dxa"/>
            <w:vMerge/>
            <w:shd w:val="clear" w:color="auto" w:fill="auto"/>
          </w:tcPr>
          <w:p w:rsidR="00143584" w:rsidRDefault="00143584">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Responses to recommendations, required action points</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Ensure follow-up of recommendations, plan changes</w:t>
            </w:r>
          </w:p>
        </w:tc>
      </w:tr>
      <w:tr w:rsidR="00143584">
        <w:trPr>
          <w:trHeight w:val="487"/>
          <w:jc w:val="center"/>
        </w:trPr>
        <w:tc>
          <w:tcPr>
            <w:tcW w:w="1112" w:type="dxa"/>
            <w:vMerge/>
            <w:shd w:val="clear" w:color="auto" w:fill="auto"/>
          </w:tcPr>
          <w:p w:rsidR="00143584" w:rsidRDefault="00143584">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Organising a final conference / workshop</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MA, PA, SG, stakeholders, evaluator</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Summarising main findings, discussing actions to be taken, learning from the evaluation</w:t>
            </w:r>
          </w:p>
        </w:tc>
      </w:tr>
      <w:tr w:rsidR="00143584">
        <w:trPr>
          <w:trHeight w:val="386"/>
          <w:jc w:val="center"/>
        </w:trPr>
        <w:tc>
          <w:tcPr>
            <w:tcW w:w="1112" w:type="dxa"/>
            <w:vMerge/>
            <w:shd w:val="clear" w:color="auto" w:fill="auto"/>
          </w:tcPr>
          <w:p w:rsidR="00143584" w:rsidRDefault="00143584">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 xml:space="preserve">Press releases, articles in newsletters, round tables in TV, Radio, </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Media, general public, researchers, stakeholders</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Increase transparency of policy and knowledge about RDP results</w:t>
            </w:r>
          </w:p>
        </w:tc>
      </w:tr>
      <w:tr w:rsidR="00143584">
        <w:trPr>
          <w:trHeight w:val="515"/>
          <w:jc w:val="center"/>
        </w:trPr>
        <w:tc>
          <w:tcPr>
            <w:tcW w:w="1112" w:type="dxa"/>
            <w:vMerge/>
            <w:shd w:val="clear" w:color="auto" w:fill="auto"/>
          </w:tcPr>
          <w:p w:rsidR="00143584" w:rsidRDefault="00143584">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Publish report and citizen’s summary on the website</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General public</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 xml:space="preserve">Access to information on RDP results </w:t>
            </w:r>
          </w:p>
        </w:tc>
      </w:tr>
      <w:tr w:rsidR="00143584">
        <w:trPr>
          <w:trHeight w:val="401"/>
          <w:jc w:val="center"/>
        </w:trPr>
        <w:tc>
          <w:tcPr>
            <w:tcW w:w="1112" w:type="dxa"/>
            <w:vMerge w:val="restart"/>
            <w:shd w:val="clear" w:color="auto" w:fill="auto"/>
            <w:hideMark/>
          </w:tcPr>
          <w:p w:rsidR="00143584" w:rsidRDefault="00D64125">
            <w:pPr>
              <w:suppressAutoHyphens/>
              <w:spacing w:before="40" w:after="40" w:line="240" w:lineRule="auto"/>
              <w:jc w:val="left"/>
              <w:rPr>
                <w:rFonts w:cs="Arial"/>
                <w:b/>
                <w:color w:val="373737" w:themeColor="background1" w:themeShade="40"/>
                <w:szCs w:val="20"/>
              </w:rPr>
            </w:pPr>
            <w:r>
              <w:rPr>
                <w:b/>
                <w:color w:val="373737" w:themeColor="background1" w:themeShade="40"/>
              </w:rPr>
              <w:t>Evaluator</w:t>
            </w: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Citizen’s summary</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 xml:space="preserve">MA </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Concise summary of main results</w:t>
            </w:r>
          </w:p>
        </w:tc>
      </w:tr>
      <w:tr w:rsidR="00143584">
        <w:trPr>
          <w:trHeight w:val="577"/>
          <w:jc w:val="center"/>
        </w:trPr>
        <w:tc>
          <w:tcPr>
            <w:tcW w:w="1112" w:type="dxa"/>
            <w:vMerge/>
            <w:shd w:val="clear" w:color="auto" w:fill="auto"/>
          </w:tcPr>
          <w:p w:rsidR="00143584" w:rsidRDefault="00143584">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Presentation</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MC, SG</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 xml:space="preserve">Informing the MC &amp; SG, allowing questions </w:t>
            </w:r>
          </w:p>
        </w:tc>
      </w:tr>
      <w:tr w:rsidR="00143584">
        <w:trPr>
          <w:trHeight w:val="60"/>
          <w:jc w:val="center"/>
        </w:trPr>
        <w:tc>
          <w:tcPr>
            <w:tcW w:w="1112" w:type="dxa"/>
            <w:vMerge/>
            <w:shd w:val="clear" w:color="auto" w:fill="auto"/>
          </w:tcPr>
          <w:p w:rsidR="00143584" w:rsidRDefault="00143584">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Presentation (if requested by the MA)</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Other stakeholders</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Informing stakeholders (e.g. farmers’ organisations, environmental organisations)</w:t>
            </w:r>
          </w:p>
        </w:tc>
      </w:tr>
      <w:tr w:rsidR="00143584">
        <w:trPr>
          <w:trHeight w:val="171"/>
          <w:jc w:val="center"/>
        </w:trPr>
        <w:tc>
          <w:tcPr>
            <w:tcW w:w="1112" w:type="dxa"/>
            <w:vMerge/>
            <w:shd w:val="clear" w:color="auto" w:fill="auto"/>
          </w:tcPr>
          <w:p w:rsidR="00143584" w:rsidRDefault="00143584">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 xml:space="preserve">Presentation in a final conference / workshop </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 xml:space="preserve"> MA, PA, SG, stakeholders, </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 xml:space="preserve">Summarising main findings, discussing action points, </w:t>
            </w:r>
          </w:p>
        </w:tc>
      </w:tr>
      <w:tr w:rsidR="00143584">
        <w:trPr>
          <w:trHeight w:val="56"/>
          <w:jc w:val="center"/>
        </w:trPr>
        <w:tc>
          <w:tcPr>
            <w:tcW w:w="1112" w:type="dxa"/>
            <w:vMerge w:val="restart"/>
            <w:shd w:val="clear" w:color="auto" w:fill="auto"/>
          </w:tcPr>
          <w:p w:rsidR="00143584" w:rsidRDefault="00D64125">
            <w:pPr>
              <w:suppressAutoHyphens/>
              <w:spacing w:before="40" w:after="40" w:line="240" w:lineRule="auto"/>
              <w:jc w:val="left"/>
              <w:rPr>
                <w:rFonts w:cs="Arial"/>
                <w:b/>
                <w:color w:val="373737" w:themeColor="background1" w:themeShade="40"/>
                <w:szCs w:val="20"/>
              </w:rPr>
            </w:pPr>
            <w:r>
              <w:rPr>
                <w:b/>
                <w:color w:val="373737" w:themeColor="background1" w:themeShade="40"/>
              </w:rPr>
              <w:t>NRN</w:t>
            </w: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 xml:space="preserve">Articles in their newsletter on the findings, conclusions and recommendations </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Increase the knowledge about the report and RDP results</w:t>
            </w:r>
          </w:p>
        </w:tc>
      </w:tr>
      <w:tr w:rsidR="00143584">
        <w:trPr>
          <w:trHeight w:val="56"/>
          <w:jc w:val="center"/>
        </w:trPr>
        <w:tc>
          <w:tcPr>
            <w:tcW w:w="1112" w:type="dxa"/>
            <w:vMerge/>
            <w:shd w:val="clear" w:color="auto" w:fill="auto"/>
          </w:tcPr>
          <w:p w:rsidR="00143584" w:rsidRDefault="00143584">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Web posts concerning the evaluation report on the website</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General public, stakeholders</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Increase knowledge about the report and RDP results</w:t>
            </w:r>
          </w:p>
        </w:tc>
      </w:tr>
      <w:tr w:rsidR="00143584">
        <w:trPr>
          <w:trHeight w:val="56"/>
          <w:jc w:val="center"/>
        </w:trPr>
        <w:tc>
          <w:tcPr>
            <w:tcW w:w="1112" w:type="dxa"/>
            <w:shd w:val="clear" w:color="auto" w:fill="auto"/>
          </w:tcPr>
          <w:p w:rsidR="00143584" w:rsidRDefault="00D64125">
            <w:pPr>
              <w:suppressAutoHyphens/>
              <w:spacing w:before="40" w:after="40" w:line="240" w:lineRule="auto"/>
              <w:jc w:val="left"/>
              <w:rPr>
                <w:rFonts w:cs="Arial"/>
                <w:b/>
                <w:color w:val="373737" w:themeColor="background1" w:themeShade="40"/>
                <w:szCs w:val="20"/>
              </w:rPr>
            </w:pPr>
            <w:r>
              <w:rPr>
                <w:b/>
                <w:color w:val="373737" w:themeColor="background1" w:themeShade="40"/>
              </w:rPr>
              <w:t>LAGs</w:t>
            </w:r>
          </w:p>
        </w:tc>
        <w:tc>
          <w:tcPr>
            <w:tcW w:w="2275"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Articles in their newsletters and others (from a Leader point of view)</w:t>
            </w:r>
          </w:p>
        </w:tc>
        <w:tc>
          <w:tcPr>
            <w:tcW w:w="1944"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143584" w:rsidRDefault="00D64125">
            <w:pPr>
              <w:suppressAutoHyphens/>
              <w:spacing w:before="40" w:after="40" w:line="240" w:lineRule="auto"/>
              <w:jc w:val="left"/>
              <w:rPr>
                <w:rFonts w:cs="Arial"/>
                <w:color w:val="373737" w:themeColor="background1" w:themeShade="40"/>
                <w:szCs w:val="20"/>
              </w:rPr>
            </w:pPr>
            <w:r>
              <w:rPr>
                <w:color w:val="373737" w:themeColor="background1" w:themeShade="40"/>
              </w:rPr>
              <w:t>Increase the knowledge about the report and RDP results</w:t>
            </w:r>
          </w:p>
        </w:tc>
      </w:tr>
    </w:tbl>
    <w:p w:rsidR="00143584" w:rsidRDefault="00D64125">
      <w:pPr>
        <w:pStyle w:val="HHeading1"/>
        <w:numPr>
          <w:ilvl w:val="0"/>
          <w:numId w:val="0"/>
        </w:numPr>
      </w:pPr>
      <w:bookmarkStart w:id="153" w:name="_Toc447787434"/>
      <w:bookmarkStart w:id="154" w:name="_Toc456012913"/>
      <w:bookmarkStart w:id="155" w:name="_Toc460936132"/>
      <w:bookmarkStart w:id="156" w:name="_Toc474938256"/>
      <w:r>
        <w:lastRenderedPageBreak/>
        <w:t>Annex 7 - Minimum requirements and good practices for the reporting on the evaluation in the AIR</w:t>
      </w:r>
      <w:bookmarkEnd w:id="153"/>
      <w:bookmarkEnd w:id="154"/>
      <w:bookmarkEnd w:id="155"/>
      <w:bookmarkEnd w:id="156"/>
    </w:p>
    <w:p w:rsidR="00143584" w:rsidRDefault="00D64125">
      <w:pPr>
        <w:pStyle w:val="HStandard"/>
      </w:pPr>
      <w: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143584" w:rsidRDefault="00D64125">
      <w:pPr>
        <w:pStyle w:val="HStandard"/>
        <w:rPr>
          <w:rFonts w:cs="Arial"/>
        </w:rPr>
      </w:pPr>
      <w: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143584">
        <w:trPr>
          <w:trHeight w:val="810"/>
          <w:tblHeader/>
          <w:jc w:val="center"/>
        </w:trPr>
        <w:tc>
          <w:tcPr>
            <w:tcW w:w="4254" w:type="dxa"/>
            <w:shd w:val="clear" w:color="auto" w:fill="F07E31"/>
          </w:tcPr>
          <w:p w:rsidR="00143584" w:rsidRDefault="00D64125">
            <w:pPr>
              <w:suppressAutoHyphens/>
              <w:spacing w:before="40" w:after="40" w:line="240" w:lineRule="auto"/>
              <w:rPr>
                <w:rFonts w:cs="Arial"/>
                <w:b/>
                <w:color w:val="FFFFFF"/>
                <w:szCs w:val="18"/>
              </w:rPr>
            </w:pPr>
            <w:r>
              <w:rPr>
                <w:b/>
                <w:color w:val="FFFFFF"/>
              </w:rPr>
              <w:t xml:space="preserve">Requirements for reporting in relation to evaluation tasks </w:t>
            </w:r>
          </w:p>
        </w:tc>
        <w:tc>
          <w:tcPr>
            <w:tcW w:w="4687" w:type="dxa"/>
            <w:shd w:val="clear" w:color="auto" w:fill="F07E31"/>
          </w:tcPr>
          <w:p w:rsidR="00143584" w:rsidRDefault="00D64125">
            <w:pPr>
              <w:suppressAutoHyphens/>
              <w:spacing w:before="40" w:after="40" w:line="240" w:lineRule="auto"/>
              <w:rPr>
                <w:rFonts w:cs="Arial"/>
                <w:b/>
                <w:color w:val="FFFFFF"/>
                <w:szCs w:val="18"/>
              </w:rPr>
            </w:pPr>
            <w:r>
              <w:rPr>
                <w:b/>
                <w:color w:val="FFFFFF"/>
              </w:rPr>
              <w:t>Optional elements to be reported as good practice - examples</w:t>
            </w:r>
          </w:p>
        </w:tc>
      </w:tr>
      <w:tr w:rsidR="00143584">
        <w:trPr>
          <w:trHeight w:val="675"/>
          <w:jc w:val="center"/>
        </w:trPr>
        <w:tc>
          <w:tcPr>
            <w:tcW w:w="425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Report on any issues affecting the performance of the programme and measures taken</w:t>
            </w:r>
            <w:r>
              <w:rPr>
                <w:rStyle w:val="FootnoteReference"/>
              </w:rPr>
              <w:footnoteReference w:id="193"/>
            </w:r>
            <w:r>
              <w:t>.</w:t>
            </w:r>
            <w:r>
              <w:rPr>
                <w:color w:val="373737" w:themeColor="background1" w:themeShade="40"/>
              </w:rPr>
              <w:t xml:space="preserve"> (each AIR).</w:t>
            </w:r>
          </w:p>
        </w:tc>
        <w:tc>
          <w:tcPr>
            <w:tcW w:w="4687"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143584">
        <w:trPr>
          <w:trHeight w:val="459"/>
          <w:jc w:val="center"/>
        </w:trPr>
        <w:tc>
          <w:tcPr>
            <w:tcW w:w="425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Inform about activities undertaken in relation to and progress in implementing the evaluation plan</w:t>
            </w:r>
            <w:r>
              <w:rPr>
                <w:rStyle w:val="FootnoteReference"/>
              </w:rPr>
              <w:footnoteReference w:id="194"/>
            </w:r>
            <w:r>
              <w:rPr>
                <w:color w:val="373737" w:themeColor="background1" w:themeShade="40"/>
              </w:rPr>
              <w:t xml:space="preserve"> (each AIR).</w:t>
            </w:r>
          </w:p>
        </w:tc>
        <w:tc>
          <w:tcPr>
            <w:tcW w:w="4687"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143584">
        <w:trPr>
          <w:trHeight w:val="410"/>
          <w:jc w:val="center"/>
        </w:trPr>
        <w:tc>
          <w:tcPr>
            <w:tcW w:w="425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Inform about financial commitments and expenditures by measure</w:t>
            </w:r>
            <w:r>
              <w:rPr>
                <w:rStyle w:val="FootnoteReference"/>
              </w:rPr>
              <w:footnoteReference w:id="195"/>
            </w:r>
            <w:r>
              <w:rPr>
                <w:color w:val="373737" w:themeColor="background1" w:themeShade="40"/>
              </w:rPr>
              <w:t>(each AIR).</w:t>
            </w:r>
          </w:p>
        </w:tc>
        <w:tc>
          <w:tcPr>
            <w:tcW w:w="4687"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143584">
        <w:trPr>
          <w:trHeight w:val="440"/>
          <w:jc w:val="center"/>
        </w:trPr>
        <w:tc>
          <w:tcPr>
            <w:tcW w:w="425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Report on the financial data, common, and programme specific indicators and quantified target values</w:t>
            </w:r>
            <w:r>
              <w:rPr>
                <w:rStyle w:val="FootnoteReference"/>
              </w:rPr>
              <w:footnoteReference w:id="196"/>
            </w:r>
            <w:r>
              <w:rPr>
                <w:color w:val="373737" w:themeColor="background1" w:themeShade="40"/>
              </w:rPr>
              <w:t xml:space="preserve"> where appropriate (each AIR).</w:t>
            </w:r>
          </w:p>
        </w:tc>
        <w:tc>
          <w:tcPr>
            <w:tcW w:w="4687"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Provide information on the approach when and how programme specific indicators have been developed and how the values for all indicators have been calculated. </w:t>
            </w:r>
          </w:p>
        </w:tc>
      </w:tr>
      <w:tr w:rsidR="00143584">
        <w:trPr>
          <w:trHeight w:val="56"/>
          <w:jc w:val="center"/>
        </w:trPr>
        <w:tc>
          <w:tcPr>
            <w:tcW w:w="425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Inform on the quantification and assessment of programme achievements through common and programme specific result indicators</w:t>
            </w:r>
            <w:r>
              <w:rPr>
                <w:rStyle w:val="FootnoteReference"/>
              </w:rPr>
              <w:footnoteReference w:id="197"/>
            </w:r>
            <w:r>
              <w:rPr>
                <w:color w:val="373737" w:themeColor="background1" w:themeShade="40"/>
              </w:rPr>
              <w:t>, where appropriate (AIR 2017 and 2019).</w:t>
            </w:r>
          </w:p>
        </w:tc>
        <w:tc>
          <w:tcPr>
            <w:tcW w:w="4687"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In case of low uptake with respect to financial commitments, conduct and report on studies, which assess the interest of potential beneficiaries to apply for support from the RDP measures and estimate results/achievements of RDP objectives.</w:t>
            </w:r>
          </w:p>
        </w:tc>
      </w:tr>
      <w:tr w:rsidR="00143584">
        <w:trPr>
          <w:trHeight w:val="425"/>
          <w:jc w:val="center"/>
        </w:trPr>
        <w:tc>
          <w:tcPr>
            <w:tcW w:w="425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Report on contributions of the financial instruments to the achievement of indicators of the priority of measures concerned</w:t>
            </w:r>
            <w:r>
              <w:rPr>
                <w:rStyle w:val="FootnoteReference"/>
              </w:rPr>
              <w:footnoteReference w:id="198"/>
            </w:r>
            <w:r>
              <w:rPr>
                <w:color w:val="373737" w:themeColor="background1" w:themeShade="40"/>
              </w:rPr>
              <w:t xml:space="preserve"> (each AIR and more in AIR 2017 and 2019).</w:t>
            </w:r>
          </w:p>
        </w:tc>
        <w:tc>
          <w:tcPr>
            <w:tcW w:w="4687"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Explain why FI are used in the implementation of particular measures in supporting particular beneficiaries and how this might influence the effectiveness and efficiency of the programme. In cases </w:t>
            </w:r>
            <w:r>
              <w:rPr>
                <w:color w:val="373737" w:themeColor="background1" w:themeShade="40"/>
              </w:rPr>
              <w:lastRenderedPageBreak/>
              <w:t>where there is sufficient uptake, one should report on the role of targeting of the RDP support via financial instruments and its effects on the values of the indicators.</w:t>
            </w:r>
          </w:p>
        </w:tc>
      </w:tr>
      <w:tr w:rsidR="00143584">
        <w:trPr>
          <w:trHeight w:val="840"/>
          <w:jc w:val="center"/>
        </w:trPr>
        <w:tc>
          <w:tcPr>
            <w:tcW w:w="425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lastRenderedPageBreak/>
              <w:t>Assess the potential additional contributions of operations to one or more focus areas (secondary effects)</w:t>
            </w:r>
            <w:r>
              <w:rPr>
                <w:rStyle w:val="FootnoteReference"/>
              </w:rPr>
              <w:footnoteReference w:id="199"/>
            </w:r>
            <w:r>
              <w:rPr>
                <w:color w:val="373737" w:themeColor="background1" w:themeShade="40"/>
              </w:rPr>
              <w:t xml:space="preserve"> (AIR 2017 and 2019)</w:t>
            </w:r>
          </w:p>
        </w:tc>
        <w:tc>
          <w:tcPr>
            <w:tcW w:w="4687"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143584">
        <w:trPr>
          <w:trHeight w:val="1414"/>
          <w:jc w:val="center"/>
        </w:trPr>
        <w:tc>
          <w:tcPr>
            <w:tcW w:w="425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Summarise the findings from the evaluations of the programme, available during the previous financial year</w:t>
            </w:r>
            <w:r>
              <w:rPr>
                <w:rStyle w:val="FootnoteReference"/>
              </w:rPr>
              <w:footnoteReference w:id="200"/>
            </w:r>
            <w:r>
              <w:rPr>
                <w:color w:val="373737" w:themeColor="background1" w:themeShade="40"/>
              </w:rPr>
              <w:t>, (each AIR)</w:t>
            </w:r>
          </w:p>
        </w:tc>
        <w:tc>
          <w:tcPr>
            <w:tcW w:w="4687"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143584">
        <w:trPr>
          <w:trHeight w:val="995"/>
          <w:jc w:val="center"/>
        </w:trPr>
        <w:tc>
          <w:tcPr>
            <w:tcW w:w="425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Assess the information and progress made towards achieving the objectives of the programme</w:t>
            </w:r>
            <w:r>
              <w:rPr>
                <w:rStyle w:val="FootnoteReference"/>
              </w:rPr>
              <w:footnoteReference w:id="201"/>
            </w:r>
            <w:r>
              <w:rPr>
                <w:color w:val="373737" w:themeColor="background1" w:themeShade="40"/>
              </w:rPr>
              <w:t>, and answer relevant (focus area related) evaluation questions</w:t>
            </w:r>
            <w:r>
              <w:rPr>
                <w:rStyle w:val="FootnoteReference"/>
              </w:rPr>
              <w:footnoteReference w:id="202"/>
            </w:r>
            <w:r>
              <w:rPr>
                <w:color w:val="373737" w:themeColor="background1" w:themeShade="40"/>
              </w:rPr>
              <w:t xml:space="preserve"> (AIR 2017 and 2019)</w:t>
            </w:r>
          </w:p>
        </w:tc>
        <w:tc>
          <w:tcPr>
            <w:tcW w:w="4687"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143584">
        <w:trPr>
          <w:trHeight w:val="810"/>
          <w:jc w:val="center"/>
        </w:trPr>
        <w:tc>
          <w:tcPr>
            <w:tcW w:w="425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Assess actions taken to ensure that objectives and implementation of the EAFRD is in line with the principles set out in Articles 6,7 and 8 of Regulation (EU) No 1303/2013</w:t>
            </w:r>
            <w:r>
              <w:rPr>
                <w:rStyle w:val="FootnoteReference"/>
              </w:rPr>
              <w:footnoteReference w:id="203"/>
            </w:r>
            <w:r>
              <w:rPr>
                <w:color w:val="373737" w:themeColor="background1" w:themeShade="40"/>
              </w:rPr>
              <w:t xml:space="preserve"> (AIR 2017 and 2019)</w:t>
            </w:r>
          </w:p>
        </w:tc>
        <w:tc>
          <w:tcPr>
            <w:tcW w:w="4687"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143584">
        <w:trPr>
          <w:trHeight w:val="449"/>
          <w:jc w:val="center"/>
        </w:trPr>
        <w:tc>
          <w:tcPr>
            <w:tcW w:w="4254"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Communicate the progress made in the implementation of the sub-programmes (including common and programme specific indicators) and the progress achieved in relation to targets set in the indicator plan</w:t>
            </w:r>
            <w:r>
              <w:rPr>
                <w:rStyle w:val="FootnoteReference"/>
              </w:rPr>
              <w:footnoteReference w:id="204"/>
            </w:r>
            <w:r>
              <w:rPr>
                <w:color w:val="373737" w:themeColor="background1" w:themeShade="40"/>
              </w:rPr>
              <w:t xml:space="preserve"> (AIR 2017 and 2019).</w:t>
            </w:r>
          </w:p>
        </w:tc>
        <w:tc>
          <w:tcPr>
            <w:tcW w:w="4687" w:type="dxa"/>
            <w:shd w:val="clear" w:color="auto" w:fill="auto"/>
          </w:tcPr>
          <w:p w:rsidR="00143584" w:rsidRDefault="00D64125">
            <w:pPr>
              <w:suppressAutoHyphens/>
              <w:spacing w:before="40" w:after="40" w:line="240" w:lineRule="auto"/>
              <w:rPr>
                <w:rFonts w:cs="Arial"/>
                <w:color w:val="373737" w:themeColor="background1" w:themeShade="40"/>
                <w:szCs w:val="18"/>
              </w:rPr>
            </w:pPr>
            <w:r>
              <w:rPr>
                <w:color w:val="373737" w:themeColor="background1" w:themeShade="40"/>
              </w:rPr>
              <w:t>If sub-programmes are part of the RDP, explain how the values of the indicators have been calculated.</w:t>
            </w:r>
          </w:p>
        </w:tc>
      </w:tr>
    </w:tbl>
    <w:p w:rsidR="00143584" w:rsidRDefault="00D64125">
      <w:pPr>
        <w:pStyle w:val="HHeading1"/>
        <w:numPr>
          <w:ilvl w:val="0"/>
          <w:numId w:val="0"/>
        </w:numPr>
      </w:pPr>
      <w:bookmarkStart w:id="157" w:name="_Toc447787435"/>
      <w:bookmarkStart w:id="158" w:name="_Toc456012914"/>
      <w:bookmarkStart w:id="159" w:name="_Toc460936133"/>
      <w:bookmarkStart w:id="160" w:name="_Toc474938257"/>
      <w:r>
        <w:lastRenderedPageBreak/>
        <w:t>Annex 8 - Timing for preparing and implementing the system to answer the CEQ and answering CEQ</w:t>
      </w:r>
      <w:bookmarkEnd w:id="157"/>
      <w:bookmarkEnd w:id="158"/>
      <w:r>
        <w:t>s</w:t>
      </w:r>
      <w:bookmarkEnd w:id="159"/>
      <w:bookmarkEnd w:id="160"/>
    </w:p>
    <w:p w:rsidR="00143584" w:rsidRDefault="00D64125">
      <w:pPr>
        <w:pStyle w:val="H-Standard"/>
        <w:rPr>
          <w:color w:val="535353" w:themeColor="text1" w:themeShade="BF"/>
        </w:rPr>
      </w:pPr>
      <w:r>
        <w:rPr>
          <w:color w:val="535353" w:themeColor="text1" w:themeShade="BF"/>
        </w:rPr>
        <w:t>There are three different types of common evaluation questions:</w:t>
      </w:r>
    </w:p>
    <w:p w:rsidR="00143584" w:rsidRDefault="00D64125">
      <w:pPr>
        <w:pStyle w:val="Hlistabc"/>
        <w:numPr>
          <w:ilvl w:val="3"/>
          <w:numId w:val="44"/>
        </w:numPr>
        <w:tabs>
          <w:tab w:val="clear" w:pos="567"/>
        </w:tabs>
        <w:ind w:left="567" w:hanging="567"/>
      </w:pPr>
      <w:r>
        <w:t>CEQs related to the RD focus area (1-18)</w:t>
      </w:r>
    </w:p>
    <w:p w:rsidR="00143584" w:rsidRDefault="00D64125">
      <w:pPr>
        <w:pStyle w:val="Hlistabc"/>
        <w:numPr>
          <w:ilvl w:val="3"/>
          <w:numId w:val="44"/>
        </w:numPr>
        <w:tabs>
          <w:tab w:val="clear" w:pos="567"/>
        </w:tabs>
        <w:ind w:left="567" w:hanging="567"/>
      </w:pPr>
      <w:r>
        <w:t>CEQs related to other aspects of the RDP: operation performance/programme synergies, TA and NRN (19-201)</w:t>
      </w:r>
    </w:p>
    <w:p w:rsidR="00143584" w:rsidRDefault="00D64125">
      <w:pPr>
        <w:pStyle w:val="Hlistabc"/>
        <w:numPr>
          <w:ilvl w:val="3"/>
          <w:numId w:val="44"/>
        </w:numPr>
        <w:tabs>
          <w:tab w:val="clear" w:pos="567"/>
        </w:tabs>
        <w:ind w:left="567" w:hanging="567"/>
      </w:pPr>
      <w:r>
        <w:t>CEQs related to EU level objectives.</w:t>
      </w:r>
    </w:p>
    <w:p w:rsidR="00143584" w:rsidRDefault="00D64125">
      <w:pPr>
        <w:pStyle w:val="HStandard"/>
        <w:rPr>
          <w:rFonts w:eastAsiaTheme="majorEastAsia" w:cs="Arial"/>
        </w:rPr>
      </w:pPr>
      <w:r>
        <w:t xml:space="preserve">Although in the AIR submitted in 2017 only the CEQs related to the RD focus areas and other RDP aspects have to be answered, it is important to prepare the system for answering all evaluation questions prior to the programme implementation´s start. The table below illustrates at what point in time the three different types of CEQs need to be prepared, structured, observed, analysed and judged.  </w:t>
      </w:r>
    </w:p>
    <w:p w:rsidR="00143584" w:rsidRDefault="00143584">
      <w:pPr>
        <w:pStyle w:val="H-Heading2"/>
        <w:ind w:left="792" w:hanging="432"/>
        <w:rPr>
          <w:rFonts w:ascii="Arial" w:eastAsiaTheme="majorEastAsia" w:hAnsi="Arial" w:cs="Arial"/>
        </w:rPr>
        <w:sectPr w:rsidR="00143584">
          <w:pgSz w:w="11907" w:h="16840" w:code="9"/>
          <w:pgMar w:top="1418" w:right="1418" w:bottom="1418" w:left="1418" w:header="737" w:footer="709" w:gutter="0"/>
          <w:cols w:space="708"/>
          <w:titlePg/>
          <w:docGrid w:linePitch="360"/>
        </w:sectPr>
      </w:pPr>
    </w:p>
    <w:p w:rsidR="00143584" w:rsidRDefault="00D64125">
      <w:pPr>
        <w:pStyle w:val="HHeadingtables"/>
      </w:pPr>
      <w:bookmarkStart w:id="161" w:name="_Toc460936144"/>
      <w:bookmarkStart w:id="162" w:name="_Toc474937843"/>
      <w:r>
        <w:lastRenderedPageBreak/>
        <w:t>Timing for preparing and implementing the system to answer the CEQ, and answering CEQ</w:t>
      </w:r>
      <w:bookmarkEnd w:id="161"/>
      <w:bookmarkEnd w:id="162"/>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143584">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143584" w:rsidRDefault="00D64125">
            <w:pPr>
              <w:suppressAutoHyphens/>
              <w:spacing w:before="40" w:after="40" w:line="240" w:lineRule="auto"/>
              <w:rPr>
                <w:rFonts w:cs="Arial"/>
                <w:b/>
                <w:color w:val="FFFFFF"/>
                <w:szCs w:val="18"/>
              </w:rPr>
            </w:pPr>
            <w:r>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143584" w:rsidRDefault="00D64125">
            <w:pPr>
              <w:suppressAutoHyphens/>
              <w:spacing w:before="40" w:after="40" w:line="240" w:lineRule="auto"/>
              <w:rPr>
                <w:rFonts w:cs="Arial"/>
                <w:b/>
                <w:color w:val="FFFFFF"/>
                <w:szCs w:val="18"/>
              </w:rPr>
            </w:pPr>
            <w:r>
              <w:rPr>
                <w:b/>
                <w:color w:val="FFFFFF"/>
              </w:rPr>
              <w:t>Years</w:t>
            </w:r>
          </w:p>
        </w:tc>
      </w:tr>
      <w:tr w:rsidR="00143584">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143584" w:rsidRDefault="00D64125">
            <w:pPr>
              <w:suppressAutoHyphens/>
              <w:spacing w:before="40" w:after="40" w:line="240" w:lineRule="auto"/>
              <w:rPr>
                <w:rFonts w:cs="Arial"/>
                <w:b/>
                <w:color w:val="FFFFFF"/>
                <w:szCs w:val="18"/>
              </w:rPr>
            </w:pPr>
            <w:r>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143584" w:rsidRDefault="00D64125">
            <w:pPr>
              <w:suppressAutoHyphens/>
              <w:spacing w:before="40" w:after="40" w:line="240" w:lineRule="auto"/>
              <w:rPr>
                <w:rFonts w:cs="Arial"/>
                <w:b/>
                <w:color w:val="FFFFFF"/>
                <w:szCs w:val="18"/>
              </w:rPr>
            </w:pPr>
            <w:r>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143584" w:rsidRDefault="00D64125">
            <w:pPr>
              <w:suppressAutoHyphens/>
              <w:spacing w:before="40" w:after="40" w:line="240" w:lineRule="auto"/>
              <w:rPr>
                <w:rFonts w:cs="Arial"/>
                <w:b/>
                <w:color w:val="FFFFFF"/>
                <w:szCs w:val="18"/>
              </w:rPr>
            </w:pPr>
            <w:r>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143584" w:rsidRDefault="00D64125">
            <w:pPr>
              <w:suppressAutoHyphens/>
              <w:spacing w:before="40" w:after="40" w:line="240" w:lineRule="auto"/>
              <w:rPr>
                <w:rFonts w:cs="Arial"/>
                <w:b/>
                <w:color w:val="FFFFFF"/>
                <w:szCs w:val="18"/>
              </w:rPr>
            </w:pPr>
            <w:r>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143584" w:rsidRDefault="00D64125">
            <w:pPr>
              <w:suppressAutoHyphens/>
              <w:spacing w:before="40" w:after="40" w:line="240" w:lineRule="auto"/>
              <w:rPr>
                <w:rFonts w:cs="Arial"/>
                <w:b/>
                <w:color w:val="FFFFFF"/>
                <w:szCs w:val="18"/>
              </w:rPr>
            </w:pPr>
            <w:r>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143584" w:rsidRDefault="00D64125">
            <w:pPr>
              <w:suppressAutoHyphens/>
              <w:spacing w:before="40" w:after="40" w:line="240" w:lineRule="auto"/>
              <w:rPr>
                <w:rFonts w:cs="Arial"/>
                <w:b/>
                <w:color w:val="FFFFFF"/>
                <w:szCs w:val="18"/>
              </w:rPr>
            </w:pPr>
            <w:r>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143584" w:rsidRDefault="00D64125">
            <w:pPr>
              <w:suppressAutoHyphens/>
              <w:spacing w:before="40" w:after="40" w:line="240" w:lineRule="auto"/>
              <w:rPr>
                <w:rFonts w:cs="Arial"/>
                <w:b/>
                <w:color w:val="FFFFFF"/>
                <w:szCs w:val="18"/>
              </w:rPr>
            </w:pPr>
            <w:r>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143584" w:rsidRDefault="00D64125">
            <w:pPr>
              <w:suppressAutoHyphens/>
              <w:spacing w:before="40" w:after="40" w:line="240" w:lineRule="auto"/>
              <w:rPr>
                <w:rFonts w:cs="Arial"/>
                <w:b/>
                <w:color w:val="FFFFFF"/>
                <w:szCs w:val="18"/>
              </w:rPr>
            </w:pPr>
            <w:r>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143584" w:rsidRDefault="00D64125">
            <w:pPr>
              <w:suppressAutoHyphens/>
              <w:spacing w:before="40" w:after="40" w:line="240" w:lineRule="auto"/>
              <w:rPr>
                <w:rFonts w:cs="Arial"/>
                <w:b/>
                <w:color w:val="FFFFFF"/>
                <w:szCs w:val="18"/>
              </w:rPr>
            </w:pPr>
            <w:r>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143584" w:rsidRDefault="00D64125">
            <w:pPr>
              <w:suppressAutoHyphens/>
              <w:spacing w:before="40" w:after="40" w:line="240" w:lineRule="auto"/>
              <w:rPr>
                <w:rFonts w:cs="Arial"/>
                <w:b/>
                <w:color w:val="FFFFFF"/>
                <w:szCs w:val="18"/>
              </w:rPr>
            </w:pPr>
            <w:r>
              <w:rPr>
                <w:b/>
                <w:color w:val="FFFFFF"/>
              </w:rPr>
              <w:t>2024</w:t>
            </w:r>
          </w:p>
        </w:tc>
      </w:tr>
      <w:tr w:rsidR="00143584">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143584" w:rsidRDefault="00D64125">
            <w:pPr>
              <w:suppressAutoHyphens/>
              <w:spacing w:before="40" w:after="40" w:line="240" w:lineRule="auto"/>
              <w:rPr>
                <w:rFonts w:cs="Arial"/>
                <w:b/>
                <w:color w:val="FFFFFF"/>
                <w:szCs w:val="18"/>
              </w:rPr>
            </w:pPr>
            <w:r>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r>
      <w:tr w:rsidR="00143584">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r>
      <w:tr w:rsidR="00143584">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r>
      <w:tr w:rsidR="00143584">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143584" w:rsidRDefault="00D64125">
            <w:pPr>
              <w:suppressAutoHyphens/>
              <w:spacing w:before="40" w:after="40" w:line="240" w:lineRule="auto"/>
              <w:rPr>
                <w:rFonts w:cs="Arial"/>
                <w:b/>
                <w:color w:val="FFFFFF"/>
                <w:szCs w:val="18"/>
              </w:rPr>
            </w:pPr>
            <w:r>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r>
      <w:tr w:rsidR="00143584">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r>
      <w:tr w:rsidR="00143584">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r>
      <w:tr w:rsidR="00143584">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143584" w:rsidRDefault="00D64125">
            <w:pPr>
              <w:suppressAutoHyphens/>
              <w:spacing w:before="40" w:after="40" w:line="240" w:lineRule="auto"/>
              <w:jc w:val="center"/>
              <w:rPr>
                <w:rFonts w:cs="Arial"/>
                <w:b/>
                <w:color w:val="FFFFFF"/>
                <w:szCs w:val="18"/>
              </w:rPr>
            </w:pPr>
            <w:r>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143584" w:rsidRDefault="00D64125">
            <w:pPr>
              <w:suppressAutoHyphens/>
              <w:spacing w:before="40" w:after="40" w:line="240" w:lineRule="auto"/>
              <w:rPr>
                <w:rFonts w:cs="Arial"/>
                <w:b/>
                <w:color w:val="FFFFFF"/>
                <w:szCs w:val="18"/>
              </w:rPr>
            </w:pPr>
            <w:r>
              <w:rPr>
                <w:b/>
                <w:color w:val="FFFFFF"/>
              </w:rPr>
              <w:t>Observing</w:t>
            </w:r>
          </w:p>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r>
      <w:tr w:rsidR="00143584">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143584" w:rsidRDefault="00143584">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r>
      <w:tr w:rsidR="00143584">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143584" w:rsidRDefault="00143584">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r>
      <w:tr w:rsidR="00143584">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143584" w:rsidRDefault="00D64125">
            <w:pPr>
              <w:suppressAutoHyphens/>
              <w:spacing w:before="40" w:after="40" w:line="240" w:lineRule="auto"/>
              <w:rPr>
                <w:rFonts w:cs="Arial"/>
                <w:b/>
                <w:color w:val="FFFFFF"/>
                <w:szCs w:val="18"/>
              </w:rPr>
            </w:pPr>
            <w:r>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r>
      <w:tr w:rsidR="00143584">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r>
      <w:tr w:rsidR="00143584">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r>
      <w:tr w:rsidR="00143584">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143584" w:rsidRDefault="00D64125">
            <w:pPr>
              <w:suppressAutoHyphens/>
              <w:spacing w:before="40" w:after="40" w:line="240" w:lineRule="auto"/>
              <w:rPr>
                <w:rFonts w:cs="Arial"/>
                <w:b/>
                <w:color w:val="FFFFFF"/>
                <w:szCs w:val="18"/>
              </w:rPr>
            </w:pPr>
            <w:r>
              <w:rPr>
                <w:b/>
                <w:color w:val="FFFFFF"/>
              </w:rPr>
              <w:t>Judging</w:t>
            </w:r>
          </w:p>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r>
      <w:tr w:rsidR="00143584">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r>
      <w:tr w:rsidR="00143584">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r>
      <w:tr w:rsidR="00143584">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143584" w:rsidRDefault="00D64125">
            <w:pPr>
              <w:suppressAutoHyphens/>
              <w:spacing w:before="40" w:after="40" w:line="240" w:lineRule="auto"/>
              <w:rPr>
                <w:rFonts w:cs="Arial"/>
                <w:b/>
                <w:color w:val="FFFFFF"/>
                <w:szCs w:val="18"/>
              </w:rPr>
            </w:pPr>
            <w:r>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143584" w:rsidRDefault="00D64125">
            <w:pPr>
              <w:suppressAutoHyphens/>
              <w:spacing w:before="40" w:after="40" w:line="240" w:lineRule="auto"/>
              <w:rPr>
                <w:rFonts w:cs="Arial"/>
                <w:szCs w:val="18"/>
              </w:rPr>
            </w:pPr>
            <w:r>
              <w:t>CEQ-FA</w:t>
            </w:r>
          </w:p>
        </w:tc>
      </w:tr>
      <w:tr w:rsidR="00143584">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143584" w:rsidRDefault="00D64125">
            <w:pPr>
              <w:suppressAutoHyphens/>
              <w:spacing w:before="40" w:after="40" w:line="240" w:lineRule="auto"/>
              <w:rPr>
                <w:rFonts w:cs="Arial"/>
                <w:szCs w:val="18"/>
              </w:rPr>
            </w:pPr>
            <w:r>
              <w:t>CEQ–OA</w:t>
            </w:r>
          </w:p>
        </w:tc>
      </w:tr>
      <w:tr w:rsidR="00143584">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143584" w:rsidRDefault="00143584">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143584" w:rsidRDefault="00143584">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143584" w:rsidRDefault="00D64125">
            <w:pPr>
              <w:suppressAutoHyphens/>
              <w:spacing w:before="40" w:after="40" w:line="240" w:lineRule="auto"/>
              <w:rPr>
                <w:rFonts w:cs="Arial"/>
                <w:szCs w:val="18"/>
              </w:rPr>
            </w:pPr>
            <w:r>
              <w:t>CEQ–EU</w:t>
            </w:r>
          </w:p>
        </w:tc>
      </w:tr>
    </w:tbl>
    <w:tbl>
      <w:tblPr>
        <w:tblStyle w:val="TableGrid5"/>
        <w:tblW w:w="0" w:type="auto"/>
        <w:tblLook w:val="04A0" w:firstRow="1" w:lastRow="0" w:firstColumn="1" w:lastColumn="0" w:noHBand="0" w:noVBand="1"/>
      </w:tblPr>
      <w:tblGrid>
        <w:gridCol w:w="3681"/>
      </w:tblGrid>
      <w:tr w:rsidR="00143584">
        <w:trPr>
          <w:trHeight w:val="170"/>
        </w:trPr>
        <w:tc>
          <w:tcPr>
            <w:tcW w:w="3681" w:type="dxa"/>
            <w:tcBorders>
              <w:bottom w:val="single" w:sz="4" w:space="0" w:color="auto"/>
            </w:tcBorders>
            <w:shd w:val="clear" w:color="auto" w:fill="FBDCAD"/>
          </w:tcPr>
          <w:p w:rsidR="00143584" w:rsidRDefault="00D64125">
            <w:pPr>
              <w:pStyle w:val="Htableleft"/>
              <w:spacing w:before="20" w:after="20"/>
              <w:rPr>
                <w:rFonts w:cs="Arial"/>
              </w:rPr>
            </w:pPr>
            <w:r>
              <w:t>CEQ related to FA:  CEQ-FA</w:t>
            </w:r>
          </w:p>
        </w:tc>
      </w:tr>
      <w:tr w:rsidR="00143584">
        <w:trPr>
          <w:trHeight w:val="70"/>
        </w:trPr>
        <w:tc>
          <w:tcPr>
            <w:tcW w:w="3681" w:type="dxa"/>
            <w:tcBorders>
              <w:bottom w:val="single" w:sz="4" w:space="0" w:color="auto"/>
            </w:tcBorders>
            <w:shd w:val="clear" w:color="auto" w:fill="F6B183"/>
          </w:tcPr>
          <w:p w:rsidR="00143584" w:rsidRDefault="00D64125">
            <w:pPr>
              <w:pStyle w:val="Htableleft"/>
              <w:spacing w:before="20" w:after="20"/>
              <w:rPr>
                <w:rFonts w:cs="Arial"/>
              </w:rPr>
            </w:pPr>
            <w:r>
              <w:t>CEQ related to other aspects:  CEQ-OA</w:t>
            </w:r>
          </w:p>
        </w:tc>
      </w:tr>
      <w:tr w:rsidR="00143584">
        <w:trPr>
          <w:trHeight w:val="70"/>
        </w:trPr>
        <w:tc>
          <w:tcPr>
            <w:tcW w:w="3681" w:type="dxa"/>
            <w:shd w:val="clear" w:color="auto" w:fill="DC8F81"/>
          </w:tcPr>
          <w:p w:rsidR="00143584" w:rsidRDefault="00D64125">
            <w:pPr>
              <w:pStyle w:val="Htableleft"/>
              <w:spacing w:before="20" w:after="20"/>
              <w:rPr>
                <w:rFonts w:cs="Arial"/>
              </w:rPr>
            </w:pPr>
            <w:r>
              <w:t>CEQ related to EU objectives: CEQ–EU</w:t>
            </w:r>
          </w:p>
        </w:tc>
      </w:tr>
    </w:tbl>
    <w:p w:rsidR="00143584" w:rsidRDefault="00143584">
      <w:pPr>
        <w:pStyle w:val="H-Heading2"/>
        <w:rPr>
          <w:rFonts w:ascii="Arial" w:hAnsi="Arial" w:cs="Arial"/>
        </w:rPr>
        <w:sectPr w:rsidR="00143584">
          <w:pgSz w:w="16840" w:h="11907" w:orient="landscape" w:code="9"/>
          <w:pgMar w:top="1418" w:right="1418" w:bottom="1418" w:left="1418" w:header="737" w:footer="709" w:gutter="0"/>
          <w:cols w:space="708"/>
          <w:titlePg/>
          <w:docGrid w:linePitch="360"/>
        </w:sectPr>
      </w:pPr>
    </w:p>
    <w:p w:rsidR="00143584" w:rsidRDefault="00D64125">
      <w:pPr>
        <w:pStyle w:val="HHeading1"/>
        <w:numPr>
          <w:ilvl w:val="0"/>
          <w:numId w:val="0"/>
        </w:numPr>
      </w:pPr>
      <w:bookmarkStart w:id="163" w:name="_Toc456012915"/>
      <w:bookmarkStart w:id="164" w:name="_Toc460936134"/>
      <w:bookmarkStart w:id="165" w:name="_Toc474938258"/>
      <w:r>
        <w:rPr>
          <w:color w:val="F07E31" w:themeColor="background2"/>
        </w:rPr>
        <w:lastRenderedPageBreak/>
        <w:t xml:space="preserve">Annex 9 </w:t>
      </w:r>
      <w:r>
        <w:t xml:space="preserve">– </w:t>
      </w:r>
      <w:bookmarkStart w:id="166" w:name="_Toc428965198"/>
      <w:bookmarkStart w:id="167" w:name="_Ref434849342"/>
      <w:r>
        <w:t>Criteria for the selection of the evaluation approach</w:t>
      </w:r>
      <w:bookmarkEnd w:id="163"/>
      <w:bookmarkEnd w:id="164"/>
      <w:bookmarkEnd w:id="165"/>
      <w:bookmarkEnd w:id="166"/>
      <w:bookmarkEnd w:id="167"/>
      <w: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143584">
        <w:trPr>
          <w:tblHeader/>
          <w:jc w:val="center"/>
        </w:trPr>
        <w:tc>
          <w:tcPr>
            <w:tcW w:w="1555" w:type="dxa"/>
            <w:shd w:val="clear" w:color="auto" w:fill="F07E31" w:themeFill="background2"/>
          </w:tcPr>
          <w:p w:rsidR="00143584" w:rsidRDefault="00D64125">
            <w:pPr>
              <w:pStyle w:val="Htableleftbolt"/>
              <w:rPr>
                <w:rFonts w:cs="Arial"/>
                <w:color w:val="FFFFFF" w:themeColor="accent1"/>
                <w:szCs w:val="18"/>
              </w:rPr>
            </w:pPr>
            <w:r>
              <w:rPr>
                <w:color w:val="FFFFFF" w:themeColor="accent1"/>
              </w:rPr>
              <w:t>Criteria</w:t>
            </w:r>
          </w:p>
        </w:tc>
        <w:tc>
          <w:tcPr>
            <w:tcW w:w="6145" w:type="dxa"/>
            <w:shd w:val="clear" w:color="auto" w:fill="F07E31" w:themeFill="background2"/>
          </w:tcPr>
          <w:p w:rsidR="00143584" w:rsidRDefault="00D64125">
            <w:pPr>
              <w:pStyle w:val="Htableleftbolt"/>
              <w:rPr>
                <w:rFonts w:cs="Arial"/>
                <w:color w:val="FFFFFF" w:themeColor="accent1"/>
                <w:szCs w:val="18"/>
              </w:rPr>
            </w:pPr>
            <w:r>
              <w:rPr>
                <w:color w:val="FFFFFF" w:themeColor="accent1"/>
              </w:rPr>
              <w:t>Description</w:t>
            </w:r>
          </w:p>
        </w:tc>
      </w:tr>
      <w:tr w:rsidR="00143584">
        <w:trPr>
          <w:jc w:val="center"/>
        </w:trPr>
        <w:tc>
          <w:tcPr>
            <w:tcW w:w="1555" w:type="dxa"/>
            <w:shd w:val="clear" w:color="auto" w:fill="auto"/>
          </w:tcPr>
          <w:p w:rsidR="00143584" w:rsidRDefault="00D64125">
            <w:pPr>
              <w:pStyle w:val="Htableleft"/>
              <w:rPr>
                <w:rFonts w:cs="Arial"/>
                <w:szCs w:val="18"/>
              </w:rPr>
            </w:pPr>
            <w:r>
              <w:t>Validity of results</w:t>
            </w:r>
          </w:p>
        </w:tc>
        <w:tc>
          <w:tcPr>
            <w:tcW w:w="6145" w:type="dxa"/>
            <w:shd w:val="clear" w:color="auto" w:fill="auto"/>
          </w:tcPr>
          <w:p w:rsidR="00143584" w:rsidRDefault="00D64125">
            <w:pPr>
              <w:pStyle w:val="Htableleft"/>
              <w:rPr>
                <w:rFonts w:cs="Arial"/>
                <w:szCs w:val="18"/>
              </w:rPr>
            </w:pPr>
            <w: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143584">
        <w:trPr>
          <w:jc w:val="center"/>
        </w:trPr>
        <w:tc>
          <w:tcPr>
            <w:tcW w:w="1555" w:type="dxa"/>
            <w:shd w:val="clear" w:color="auto" w:fill="auto"/>
          </w:tcPr>
          <w:p w:rsidR="00143584" w:rsidRDefault="00D64125">
            <w:pPr>
              <w:pStyle w:val="Htableleft"/>
              <w:rPr>
                <w:rFonts w:cs="Arial"/>
                <w:szCs w:val="18"/>
              </w:rPr>
            </w:pPr>
            <w:r>
              <w:t>Scale of measurement</w:t>
            </w:r>
          </w:p>
        </w:tc>
        <w:tc>
          <w:tcPr>
            <w:tcW w:w="6145" w:type="dxa"/>
            <w:shd w:val="clear" w:color="auto" w:fill="auto"/>
          </w:tcPr>
          <w:p w:rsidR="00143584" w:rsidRDefault="00D64125">
            <w:pPr>
              <w:pStyle w:val="Htableleft"/>
              <w:rPr>
                <w:rFonts w:eastAsiaTheme="minorEastAsia" w:cs="Arial"/>
                <w:szCs w:val="18"/>
              </w:rPr>
            </w:pPr>
            <w:r>
              <w:t>Different methods produce results at different scales: quantitative methods (e.g. econometrics, input-output, computational models, etc.) provide results in numbers (cardinal scales), while qualitative methods produce results on ordinal or nominal scales.</w:t>
            </w:r>
          </w:p>
          <w:p w:rsidR="00143584" w:rsidRDefault="00D64125">
            <w:pPr>
              <w:pStyle w:val="Htableleft"/>
              <w:rPr>
                <w:rFonts w:cs="Arial"/>
                <w:szCs w:val="18"/>
              </w:rPr>
            </w:pPr>
            <w: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143584">
        <w:trPr>
          <w:jc w:val="center"/>
        </w:trPr>
        <w:tc>
          <w:tcPr>
            <w:tcW w:w="1555" w:type="dxa"/>
            <w:shd w:val="clear" w:color="auto" w:fill="auto"/>
          </w:tcPr>
          <w:p w:rsidR="00143584" w:rsidRDefault="00D64125">
            <w:pPr>
              <w:pStyle w:val="Htableleft"/>
              <w:rPr>
                <w:rFonts w:cs="Arial"/>
                <w:szCs w:val="18"/>
              </w:rPr>
            </w:pPr>
            <w:r>
              <w:t>Ability to analyse the counterfactual</w:t>
            </w:r>
          </w:p>
        </w:tc>
        <w:tc>
          <w:tcPr>
            <w:tcW w:w="6145" w:type="dxa"/>
            <w:shd w:val="clear" w:color="auto" w:fill="auto"/>
          </w:tcPr>
          <w:p w:rsidR="00143584" w:rsidRDefault="00D64125">
            <w:pPr>
              <w:pStyle w:val="Htableleft"/>
              <w:rPr>
                <w:rFonts w:cs="Arial"/>
                <w:szCs w:val="18"/>
              </w:rPr>
            </w:pPr>
            <w: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143584">
        <w:trPr>
          <w:jc w:val="center"/>
        </w:trPr>
        <w:tc>
          <w:tcPr>
            <w:tcW w:w="1555" w:type="dxa"/>
            <w:shd w:val="clear" w:color="auto" w:fill="auto"/>
          </w:tcPr>
          <w:p w:rsidR="00143584" w:rsidRDefault="00D64125">
            <w:pPr>
              <w:pStyle w:val="Htableleft"/>
              <w:rPr>
                <w:rFonts w:cs="Arial"/>
                <w:szCs w:val="18"/>
              </w:rPr>
            </w:pPr>
            <w:r>
              <w:t>Ability to identify and test causal relations</w:t>
            </w:r>
          </w:p>
        </w:tc>
        <w:tc>
          <w:tcPr>
            <w:tcW w:w="6145" w:type="dxa"/>
            <w:shd w:val="clear" w:color="auto" w:fill="auto"/>
          </w:tcPr>
          <w:p w:rsidR="00143584" w:rsidRDefault="00D64125">
            <w:pPr>
              <w:pStyle w:val="Htableleft"/>
              <w:rPr>
                <w:rFonts w:cs="Arial"/>
                <w:szCs w:val="18"/>
              </w:rPr>
            </w:pPr>
            <w: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143584">
        <w:trPr>
          <w:jc w:val="center"/>
        </w:trPr>
        <w:tc>
          <w:tcPr>
            <w:tcW w:w="1555" w:type="dxa"/>
            <w:shd w:val="clear" w:color="auto" w:fill="auto"/>
          </w:tcPr>
          <w:p w:rsidR="00143584" w:rsidRDefault="00D64125">
            <w:pPr>
              <w:pStyle w:val="Htableleft"/>
              <w:rPr>
                <w:rFonts w:eastAsiaTheme="minorEastAsia" w:cs="Arial"/>
                <w:szCs w:val="18"/>
              </w:rPr>
            </w:pPr>
            <w:r>
              <w:t>Ability to link outputs and results with impact indicators</w:t>
            </w:r>
          </w:p>
        </w:tc>
        <w:tc>
          <w:tcPr>
            <w:tcW w:w="6145" w:type="dxa"/>
            <w:shd w:val="clear" w:color="auto" w:fill="auto"/>
          </w:tcPr>
          <w:p w:rsidR="00143584" w:rsidRDefault="00D64125">
            <w:pPr>
              <w:pStyle w:val="Htableleft"/>
              <w:rPr>
                <w:rFonts w:eastAsiaTheme="minorEastAsia" w:cs="Arial"/>
                <w:szCs w:val="18"/>
              </w:rPr>
            </w:pPr>
            <w: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143584">
        <w:trPr>
          <w:jc w:val="center"/>
        </w:trPr>
        <w:tc>
          <w:tcPr>
            <w:tcW w:w="1555" w:type="dxa"/>
            <w:shd w:val="clear" w:color="auto" w:fill="auto"/>
          </w:tcPr>
          <w:p w:rsidR="00143584" w:rsidRDefault="00D64125">
            <w:pPr>
              <w:pStyle w:val="Htableleft"/>
              <w:rPr>
                <w:rFonts w:cs="Arial"/>
                <w:szCs w:val="18"/>
              </w:rPr>
            </w:pPr>
            <w:r>
              <w:t>Ability to consider unintended effects</w:t>
            </w:r>
          </w:p>
        </w:tc>
        <w:tc>
          <w:tcPr>
            <w:tcW w:w="6145" w:type="dxa"/>
            <w:shd w:val="clear" w:color="auto" w:fill="auto"/>
          </w:tcPr>
          <w:p w:rsidR="00143584" w:rsidRDefault="00D64125">
            <w:pPr>
              <w:pStyle w:val="Htableleft"/>
              <w:rPr>
                <w:rFonts w:cs="Arial"/>
                <w:szCs w:val="18"/>
              </w:rPr>
            </w:pPr>
            <w: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143584">
        <w:trPr>
          <w:jc w:val="center"/>
        </w:trPr>
        <w:tc>
          <w:tcPr>
            <w:tcW w:w="1555" w:type="dxa"/>
            <w:shd w:val="clear" w:color="auto" w:fill="auto"/>
          </w:tcPr>
          <w:p w:rsidR="00143584" w:rsidRDefault="00D64125">
            <w:pPr>
              <w:pStyle w:val="Htableleft"/>
              <w:rPr>
                <w:rFonts w:cs="Arial"/>
                <w:szCs w:val="18"/>
              </w:rPr>
            </w:pPr>
            <w:r>
              <w:t>Time horizon of the intervention</w:t>
            </w:r>
          </w:p>
        </w:tc>
        <w:tc>
          <w:tcPr>
            <w:tcW w:w="6145" w:type="dxa"/>
            <w:shd w:val="clear" w:color="auto" w:fill="auto"/>
          </w:tcPr>
          <w:p w:rsidR="00143584" w:rsidRDefault="00D64125">
            <w:pPr>
              <w:pStyle w:val="Htableleft"/>
              <w:rPr>
                <w:rFonts w:cs="Arial"/>
                <w:szCs w:val="18"/>
              </w:rPr>
            </w:pPr>
            <w: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143584" w:rsidRDefault="00143584">
      <w:pPr>
        <w:rPr>
          <w:rFonts w:cs="Arial"/>
          <w:sz w:val="20"/>
          <w:szCs w:val="20"/>
        </w:rPr>
      </w:pPr>
    </w:p>
    <w:p w:rsidR="00143584" w:rsidRDefault="00D64125">
      <w:pPr>
        <w:pStyle w:val="HHeading1"/>
        <w:numPr>
          <w:ilvl w:val="0"/>
          <w:numId w:val="0"/>
        </w:numPr>
      </w:pPr>
      <w:bookmarkStart w:id="168" w:name="_Toc456012916"/>
      <w:bookmarkStart w:id="169" w:name="_Toc460936135"/>
      <w:bookmarkStart w:id="170" w:name="_Toc474938259"/>
      <w:r>
        <w:lastRenderedPageBreak/>
        <w:t>Annex 10 - Tools for qualitative appraisal of RDP operations´ primary and secondary contributions to focus areas and synergies between measures, between FAs and between RD priorities</w:t>
      </w:r>
      <w:bookmarkEnd w:id="168"/>
      <w:bookmarkEnd w:id="169"/>
      <w:bookmarkEnd w:id="170"/>
    </w:p>
    <w:p w:rsidR="00143584" w:rsidRDefault="00D64125">
      <w:pPr>
        <w:pStyle w:val="HStandard"/>
        <w:rPr>
          <w:rFonts w:cs="Arial"/>
        </w:rPr>
      </w:pPr>
      <w:r>
        <w:t xml:space="preserve">The RDP intervention logic is complex and contains various horizontal, vertical and diagonal linkages between operations, measures, focus areas and rural development priorities. These linkages are: </w:t>
      </w:r>
    </w:p>
    <w:p w:rsidR="00143584" w:rsidRDefault="00D64125">
      <w:pPr>
        <w:pStyle w:val="Hlistbullet"/>
      </w:pPr>
      <w:r>
        <w:rPr>
          <w:b/>
        </w:rPr>
        <w:t>Primary contributions</w:t>
      </w:r>
      <w:r>
        <w:t xml:space="preserve"> of operations implemented under measures/sub-measures</w:t>
      </w:r>
      <w:r>
        <w:rPr>
          <w:rStyle w:val="FootnoteReference"/>
        </w:rPr>
        <w:footnoteReference w:id="205"/>
      </w:r>
      <w:r>
        <w:t xml:space="preserve"> to focus areas under which they are programmed (vertical)</w:t>
      </w:r>
    </w:p>
    <w:p w:rsidR="00143584" w:rsidRDefault="00D64125">
      <w:pPr>
        <w:pStyle w:val="Hlistbullet"/>
      </w:pPr>
      <w:r>
        <w:rPr>
          <w:b/>
        </w:rPr>
        <w:t>Secondary contributions</w:t>
      </w:r>
      <w:r>
        <w:t xml:space="preserve"> of operations implemented under measures/sub-measures</w:t>
      </w:r>
      <w:r>
        <w:rPr>
          <w:rStyle w:val="FootnoteReference"/>
        </w:rPr>
        <w:footnoteReference w:id="206"/>
      </w:r>
      <w:r>
        <w:t xml:space="preserve"> to focus areas under which they are </w:t>
      </w:r>
      <w:r>
        <w:rPr>
          <w:b/>
        </w:rPr>
        <w:t>not</w:t>
      </w:r>
      <w:r>
        <w:t xml:space="preserve"> programmed (diagonal)</w:t>
      </w:r>
    </w:p>
    <w:p w:rsidR="00143584" w:rsidRDefault="00D64125">
      <w:pPr>
        <w:pStyle w:val="Hlistbullet"/>
      </w:pPr>
      <w:r>
        <w:rPr>
          <w:b/>
        </w:rPr>
        <w:t>Transverse effects</w:t>
      </w:r>
      <w:r>
        <w:t xml:space="preserve"> between focus areas and between rural development priorities (horizontal) </w:t>
      </w:r>
    </w:p>
    <w:p w:rsidR="00143584" w:rsidRDefault="00D64125">
      <w:pPr>
        <w:pStyle w:val="Hlistbullet2"/>
      </w:pPr>
      <w:r>
        <w:t>Positive transverse effects are also called synergies</w:t>
      </w:r>
    </w:p>
    <w:p w:rsidR="00143584" w:rsidRDefault="00D64125">
      <w:pPr>
        <w:pStyle w:val="Hlistbullet2"/>
      </w:pPr>
      <w:r>
        <w:t xml:space="preserve">Negative/antagonistic effects </w:t>
      </w:r>
    </w:p>
    <w:p w:rsidR="00143584" w:rsidRDefault="00D64125">
      <w:pPr>
        <w:pStyle w:val="HStandard"/>
        <w:rPr>
          <w:rFonts w:cs="Arial"/>
        </w:rPr>
      </w:pPr>
      <w:r>
        <w:t xml:space="preserve">These linkages should not be mixed up with the programme’s indirect effects, which go beyond the objectives or address various issues. RDP indirect effects are explained in PART II of the Guidelines, in the chapter 5.1 Revisiting the RDP intervention logic.  </w:t>
      </w:r>
    </w:p>
    <w:p w:rsidR="00143584" w:rsidRDefault="00D64125">
      <w:pPr>
        <w:pStyle w:val="HStandard"/>
        <w:rPr>
          <w:rFonts w:cs="Arial"/>
        </w:rPr>
      </w:pPr>
      <w:r>
        <w:rPr>
          <w:b/>
        </w:rPr>
        <w:t>Table 12</w:t>
      </w:r>
      <w: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143584" w:rsidRDefault="00D64125">
      <w:pPr>
        <w:pStyle w:val="HStandard"/>
        <w:rPr>
          <w:rFonts w:cs="Arial"/>
        </w:rPr>
      </w:pPr>
      <w:r>
        <w:t xml:space="preserve">Primary contributions of operations are shown on the left side of the table where measures/sub-measures are linked to FAs under which they are programmed. Secondary contributions of operations are highlighted with orange boxes.   </w:t>
      </w:r>
    </w:p>
    <w:p w:rsidR="00143584" w:rsidRDefault="00D64125">
      <w:pPr>
        <w:pStyle w:val="HStandard"/>
        <w:rPr>
          <w:rFonts w:cs="Arial"/>
          <w:color w:val="auto"/>
        </w:rPr>
      </w:pPr>
      <w: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Pr>
          <w:color w:val="auto"/>
        </w:rPr>
        <w:t xml:space="preserve">other than those under which they have been programmed and use the survey to find out their contributions to the value of result indicators. </w:t>
      </w:r>
    </w:p>
    <w:p w:rsidR="00143584" w:rsidRDefault="00D64125">
      <w:pPr>
        <w:pStyle w:val="HStandard"/>
        <w:rPr>
          <w:rFonts w:cs="Arial"/>
        </w:rPr>
      </w:pPr>
      <w:r>
        <w:t xml:space="preserve">The table is available also in an editable version. </w:t>
      </w:r>
    </w:p>
    <w:p w:rsidR="00143584" w:rsidRDefault="00D64125">
      <w:pPr>
        <w:pStyle w:val="HStandard"/>
        <w:rPr>
          <w:rFonts w:cs="Arial"/>
        </w:rPr>
      </w:pPr>
      <w:r>
        <w:rPr>
          <w:b/>
        </w:rPr>
        <w:t>Table 13</w:t>
      </w:r>
      <w: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rsidR="00143584" w:rsidRDefault="00D64125">
      <w:pPr>
        <w:pStyle w:val="HStandard"/>
        <w:rPr>
          <w:rFonts w:cs="Arial"/>
        </w:rPr>
      </w:pPr>
      <w: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143584" w:rsidRDefault="00D64125">
      <w:pPr>
        <w:pStyle w:val="HStandard"/>
        <w:rPr>
          <w:rFonts w:cs="Arial"/>
        </w:rPr>
      </w:pPr>
      <w:r>
        <w:lastRenderedPageBreak/>
        <w:t xml:space="preserve">Stakeholders in the Member States should adjust the table in accordance with the RDP’s intervention logic. The table example is also available in an editable version. </w:t>
      </w:r>
    </w:p>
    <w:p w:rsidR="00143584" w:rsidRDefault="00D64125">
      <w:pPr>
        <w:pStyle w:val="HHeadingtables"/>
      </w:pPr>
      <w:bookmarkStart w:id="171" w:name="_Toc460936145"/>
      <w:bookmarkStart w:id="172" w:name="_Toc474937844"/>
      <w:r>
        <w:t>Primary and secondary contributions of operations within measures/sub-measures to rural development focus areas – example</w:t>
      </w:r>
      <w:bookmarkEnd w:id="171"/>
      <w:bookmarkEnd w:id="172"/>
    </w:p>
    <w:p w:rsidR="00143584" w:rsidRDefault="00D64125">
      <w:pPr>
        <w:pStyle w:val="HStandard"/>
        <w:jc w:val="center"/>
        <w:rPr>
          <w:rFonts w:cs="Arial"/>
        </w:rPr>
      </w:pPr>
      <w:r>
        <w:rPr>
          <w:noProof/>
          <w:lang w:val="en-GB" w:eastAsia="en-GB" w:bidi="ar-SA"/>
        </w:rPr>
        <w:drawing>
          <wp:inline distT="0" distB="0" distL="0" distR="0">
            <wp:extent cx="6254915" cy="38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143584" w:rsidRDefault="00143584">
      <w:pPr>
        <w:pStyle w:val="HStandard"/>
        <w:rPr>
          <w:rFonts w:cs="Arial"/>
        </w:rPr>
      </w:pPr>
    </w:p>
    <w:p w:rsidR="00143584" w:rsidRDefault="00143584">
      <w:pPr>
        <w:pStyle w:val="HStandard"/>
        <w:rPr>
          <w:rFonts w:cs="Arial"/>
          <w:b/>
          <w:sz w:val="18"/>
          <w:szCs w:val="18"/>
        </w:rPr>
      </w:pPr>
    </w:p>
    <w:p w:rsidR="00143584" w:rsidRDefault="00143584">
      <w:pPr>
        <w:pStyle w:val="HStandard"/>
        <w:rPr>
          <w:rFonts w:cs="Arial"/>
          <w:b/>
          <w:sz w:val="18"/>
          <w:szCs w:val="18"/>
        </w:rPr>
      </w:pPr>
    </w:p>
    <w:p w:rsidR="00143584" w:rsidRDefault="00143584">
      <w:pPr>
        <w:pStyle w:val="HStandard"/>
        <w:rPr>
          <w:rFonts w:cs="Arial"/>
          <w:b/>
          <w:sz w:val="18"/>
          <w:szCs w:val="18"/>
        </w:rPr>
      </w:pPr>
    </w:p>
    <w:p w:rsidR="00143584" w:rsidRDefault="00143584">
      <w:pPr>
        <w:pStyle w:val="HStandard"/>
        <w:rPr>
          <w:rFonts w:cs="Arial"/>
          <w:b/>
          <w:sz w:val="18"/>
          <w:szCs w:val="18"/>
        </w:rPr>
      </w:pPr>
    </w:p>
    <w:p w:rsidR="00143584" w:rsidRDefault="00143584">
      <w:pPr>
        <w:pStyle w:val="HStandard"/>
        <w:rPr>
          <w:rFonts w:cs="Arial"/>
          <w:b/>
          <w:sz w:val="18"/>
          <w:szCs w:val="18"/>
        </w:rPr>
        <w:sectPr w:rsidR="00143584">
          <w:pgSz w:w="11907" w:h="16840" w:code="9"/>
          <w:pgMar w:top="1418" w:right="1418" w:bottom="1418" w:left="1418" w:header="737" w:footer="709" w:gutter="0"/>
          <w:cols w:space="708"/>
          <w:titlePg/>
          <w:docGrid w:linePitch="360"/>
        </w:sectPr>
      </w:pPr>
    </w:p>
    <w:p w:rsidR="00143584" w:rsidRDefault="00D64125">
      <w:pPr>
        <w:pStyle w:val="HHeadingtables"/>
      </w:pPr>
      <w:bookmarkStart w:id="173" w:name="_Toc460936146"/>
      <w:bookmarkStart w:id="174" w:name="_Toc474937845"/>
      <w:r>
        <w:lastRenderedPageBreak/>
        <w:t>Synergies and negative transverse effects between focus areas and between priorities</w:t>
      </w:r>
      <w:bookmarkEnd w:id="173"/>
      <w:bookmarkEnd w:id="174"/>
      <w:r>
        <w:t xml:space="preserve"> </w:t>
      </w:r>
    </w:p>
    <w:p w:rsidR="00143584" w:rsidRDefault="00D64125">
      <w:pPr>
        <w:pStyle w:val="Normal12PTcouleurgris"/>
      </w:pPr>
      <w:r>
        <w:rPr>
          <w:noProof/>
          <w:lang w:val="en-GB" w:eastAsia="en-GB" w:bidi="ar-SA"/>
        </w:rPr>
        <w:drawing>
          <wp:inline distT="0" distB="0" distL="0" distR="0">
            <wp:extent cx="9573370" cy="288372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143584" w:rsidRDefault="00143584">
      <w:pPr>
        <w:pStyle w:val="HStandard"/>
        <w:rPr>
          <w:rFonts w:cs="Arial"/>
          <w:b/>
          <w:sz w:val="18"/>
          <w:szCs w:val="18"/>
        </w:rPr>
        <w:sectPr w:rsidR="00143584">
          <w:pgSz w:w="16840" w:h="11907" w:orient="landscape" w:code="9"/>
          <w:pgMar w:top="1418" w:right="1418" w:bottom="1418" w:left="1418" w:header="737" w:footer="709" w:gutter="0"/>
          <w:cols w:space="708"/>
          <w:titlePg/>
          <w:docGrid w:linePitch="360"/>
        </w:sectPr>
      </w:pPr>
    </w:p>
    <w:p w:rsidR="00143584" w:rsidRDefault="00D64125">
      <w:pPr>
        <w:spacing w:before="0" w:after="0" w:line="240" w:lineRule="auto"/>
        <w:jc w:val="left"/>
        <w:rPr>
          <w:rFonts w:cs="Arial"/>
          <w:b/>
          <w:szCs w:val="18"/>
        </w:rPr>
      </w:pPr>
      <w:r>
        <w:rPr>
          <w:rFonts w:cs="Arial"/>
          <w:noProof/>
          <w:lang w:val="en-GB" w:eastAsia="en-GB" w:bidi="ar-SA"/>
        </w:rPr>
        <w:lastRenderedPageBreak/>
        <w:drawing>
          <wp:anchor distT="0" distB="0" distL="114300" distR="114300" simplePos="0" relativeHeight="251667968" behindDoc="0" locked="0" layoutInCell="1" allowOverlap="1">
            <wp:simplePos x="0" y="0"/>
            <wp:positionH relativeFrom="column">
              <wp:posOffset>-818515</wp:posOffset>
            </wp:positionH>
            <wp:positionV relativeFrom="paragraph">
              <wp:posOffset>-862330</wp:posOffset>
            </wp:positionV>
            <wp:extent cx="7409180" cy="10576560"/>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409180" cy="10576560"/>
                    </a:xfrm>
                    <a:prstGeom prst="rect">
                      <a:avLst/>
                    </a:prstGeom>
                  </pic:spPr>
                </pic:pic>
              </a:graphicData>
            </a:graphic>
          </wp:anchor>
        </w:drawing>
      </w:r>
    </w:p>
    <w:sectPr w:rsidR="00143584">
      <w:headerReference w:type="default" r:id="rId86"/>
      <w:footerReference w:type="default" r:id="rId87"/>
      <w:headerReference w:type="first" r:id="rId88"/>
      <w:footerReference w:type="first" r:id="rId89"/>
      <w:pgSz w:w="11906" w:h="16838" w:code="9"/>
      <w:pgMar w:top="1418" w:right="1418" w:bottom="1418" w:left="1418" w:header="1134" w:footer="102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36E" w:rsidRDefault="005E336E">
      <w:pPr>
        <w:spacing w:before="0" w:after="0" w:line="240" w:lineRule="auto"/>
      </w:pPr>
      <w:r>
        <w:separator/>
      </w:r>
    </w:p>
  </w:endnote>
  <w:endnote w:type="continuationSeparator" w:id="0">
    <w:p w:rsidR="005E336E" w:rsidRDefault="005E336E">
      <w:pPr>
        <w:spacing w:before="0" w:after="0" w:line="240" w:lineRule="auto"/>
      </w:pPr>
      <w:r>
        <w:continuationSeparator/>
      </w:r>
    </w:p>
  </w:endnote>
  <w:endnote w:type="continuationNotice" w:id="1">
    <w:p w:rsidR="005E336E" w:rsidRDefault="005E33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extent cx="971550" cy="247650"/>
          <wp:effectExtent l="19050" t="0" r="0" b="0"/>
          <wp:docPr id="1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Footer"/>
    </w:pPr>
    <w:r>
      <w:rPr>
        <w:rStyle w:val="PageNumber"/>
        <w:rFonts w:ascii="Helvetica LT Pro Light" w:hAnsi="Helvetica LT Pro Light"/>
      </w:rPr>
      <w:fldChar w:fldCharType="begin"/>
    </w:r>
    <w:r>
      <w:rPr>
        <w:rStyle w:val="PageNumber"/>
        <w:rFonts w:ascii="Helvetica LT Pro Light" w:hAnsi="Helvetica LT Pro Light"/>
      </w:rPr>
      <w:instrText xml:space="preserve"> PAGE </w:instrText>
    </w:r>
    <w:r>
      <w:rPr>
        <w:rStyle w:val="PageNumber"/>
        <w:rFonts w:ascii="Helvetica LT Pro Light" w:hAnsi="Helvetica LT Pro Light"/>
      </w:rPr>
      <w:fldChar w:fldCharType="separate"/>
    </w:r>
    <w:r w:rsidR="00122DCC">
      <w:rPr>
        <w:rStyle w:val="PageNumber"/>
        <w:rFonts w:ascii="Helvetica LT Pro Light" w:hAnsi="Helvetica LT Pro Light"/>
        <w:noProof/>
      </w:rPr>
      <w:t>63</w:t>
    </w:r>
    <w:r>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Footer"/>
    </w:pPr>
    <w:r>
      <w:rPr>
        <w:rStyle w:val="PageNumber"/>
        <w:rFonts w:ascii="Helvetica LT Pro Light" w:hAnsi="Helvetica LT Pro Light"/>
      </w:rPr>
      <w:fldChar w:fldCharType="begin"/>
    </w:r>
    <w:r>
      <w:rPr>
        <w:rStyle w:val="PageNumber"/>
        <w:rFonts w:ascii="Helvetica LT Pro Light" w:hAnsi="Helvetica LT Pro Light"/>
      </w:rPr>
      <w:instrText xml:space="preserve"> PAGE </w:instrText>
    </w:r>
    <w:r>
      <w:rPr>
        <w:rStyle w:val="PageNumber"/>
        <w:rFonts w:ascii="Helvetica LT Pro Light" w:hAnsi="Helvetica LT Pro Light"/>
      </w:rPr>
      <w:fldChar w:fldCharType="separate"/>
    </w:r>
    <w:r w:rsidR="005B282B">
      <w:rPr>
        <w:rStyle w:val="PageNumber"/>
        <w:rFonts w:ascii="Helvetica LT Pro Light" w:hAnsi="Helvetica LT Pro Light"/>
        <w:noProof/>
      </w:rPr>
      <w:t>96</w:t>
    </w:r>
    <w:r>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133712512"/>
      <w:docPartObj>
        <w:docPartGallery w:val="Page Numbers (Bottom of Page)"/>
        <w:docPartUnique/>
      </w:docPartObj>
    </w:sdtPr>
    <w:sdtEndPr>
      <w:rPr>
        <w:noProof/>
      </w:rPr>
    </w:sdtEndPr>
    <w:sdtContent>
      <w:p w:rsidR="00143584" w:rsidRDefault="00D64125">
        <w:pPr>
          <w:pStyle w:val="Footer"/>
          <w:rPr>
            <w:rFonts w:cs="Arial"/>
          </w:rPr>
        </w:pPr>
        <w:r>
          <w:rPr>
            <w:rFonts w:cs="Arial"/>
          </w:rPr>
          <w:fldChar w:fldCharType="begin"/>
        </w:r>
        <w:r>
          <w:rPr>
            <w:rFonts w:cs="Arial"/>
          </w:rPr>
          <w:instrText xml:space="preserve"> PAGE   \* MERGEFORMAT </w:instrText>
        </w:r>
        <w:r>
          <w:rPr>
            <w:rFonts w:cs="Arial"/>
          </w:rPr>
          <w:fldChar w:fldCharType="separate"/>
        </w:r>
        <w:r w:rsidR="005B282B">
          <w:rPr>
            <w:rFonts w:cs="Arial"/>
            <w:noProof/>
          </w:rPr>
          <w:t>107</w:t>
        </w:r>
        <w:r>
          <w:rPr>
            <w:rFonts w:cs="Arial"/>
            <w:noProof/>
          </w:rPr>
          <w:fldChar w:fldCharType="end"/>
        </w:r>
      </w:p>
    </w:sdtContent>
  </w:sdt>
  <w:p w:rsidR="00143584" w:rsidRDefault="00D64125">
    <w:pPr>
      <w:pStyle w:val="Footer"/>
      <w:tabs>
        <w:tab w:val="left" w:pos="4943"/>
      </w:tabs>
      <w:ind w:right="360"/>
      <w:rPr>
        <w:rFonts w:cs="Arial"/>
        <w:noProof/>
      </w:rPr>
    </w:pPr>
    <w:r>
      <w:tab/>
    </w:r>
  </w:p>
  <w:p w:rsidR="00143584" w:rsidRDefault="0014358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rsidR="00143584" w:rsidRDefault="00D64125">
        <w:pPr>
          <w:pStyle w:val="Footer"/>
        </w:pPr>
        <w:r>
          <w:fldChar w:fldCharType="begin"/>
        </w:r>
        <w:r>
          <w:instrText xml:space="preserve"> PAGE   \* MERGEFORMAT </w:instrText>
        </w:r>
        <w:r>
          <w:fldChar w:fldCharType="separate"/>
        </w:r>
        <w:r w:rsidR="005B282B">
          <w:rPr>
            <w:noProof/>
          </w:rPr>
          <w:t>129</w:t>
        </w:r>
        <w:r>
          <w:rPr>
            <w:noProof/>
          </w:rPr>
          <w:fldChar w:fldCharType="end"/>
        </w:r>
      </w:p>
    </w:sdtContent>
  </w:sdt>
  <w:p w:rsidR="00143584" w:rsidRDefault="0014358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14358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1435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Footer"/>
    </w:pPr>
    <w:r>
      <w:rPr>
        <w:rStyle w:val="PageNumber"/>
        <w:rFonts w:ascii="Helvetica LT Pro Light" w:hAnsi="Helvetica LT Pro Light"/>
      </w:rPr>
      <w:fldChar w:fldCharType="begin"/>
    </w:r>
    <w:r>
      <w:rPr>
        <w:rStyle w:val="PageNumber"/>
        <w:rFonts w:ascii="Helvetica LT Pro Light" w:hAnsi="Helvetica LT Pro Light"/>
      </w:rPr>
      <w:instrText xml:space="preserve"> PAGE </w:instrText>
    </w:r>
    <w:r>
      <w:rPr>
        <w:rStyle w:val="PageNumber"/>
        <w:rFonts w:ascii="Helvetica LT Pro Light" w:hAnsi="Helvetica LT Pro Light"/>
      </w:rPr>
      <w:fldChar w:fldCharType="separate"/>
    </w:r>
    <w:r w:rsidR="00122DCC">
      <w:rPr>
        <w:rStyle w:val="PageNumber"/>
        <w:rFonts w:ascii="Helvetica LT Pro Light" w:hAnsi="Helvetica LT Pro Light"/>
        <w:noProof/>
      </w:rPr>
      <w:t>17</w:t>
    </w:r>
    <w:r>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Footer"/>
    </w:pPr>
    <w:r>
      <w:rPr>
        <w:rStyle w:val="PageNumber"/>
        <w:rFonts w:ascii="Helvetica LT Pro Light" w:hAnsi="Helvetica LT Pro Light"/>
      </w:rPr>
      <w:fldChar w:fldCharType="begin"/>
    </w:r>
    <w:r>
      <w:rPr>
        <w:rStyle w:val="PageNumber"/>
        <w:rFonts w:ascii="Helvetica LT Pro Light" w:hAnsi="Helvetica LT Pro Light"/>
      </w:rPr>
      <w:instrText xml:space="preserve"> PAGE </w:instrText>
    </w:r>
    <w:r>
      <w:rPr>
        <w:rStyle w:val="PageNumber"/>
        <w:rFonts w:ascii="Helvetica LT Pro Light" w:hAnsi="Helvetica LT Pro Light"/>
      </w:rPr>
      <w:fldChar w:fldCharType="separate"/>
    </w:r>
    <w:r w:rsidR="00122DCC">
      <w:rPr>
        <w:rStyle w:val="PageNumber"/>
        <w:rFonts w:ascii="Helvetica LT Pro Light" w:hAnsi="Helvetica LT Pro Light"/>
        <w:noProof/>
      </w:rPr>
      <w:t>3</w:t>
    </w:r>
    <w:r>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Footer"/>
    </w:pPr>
    <w:r>
      <w:rPr>
        <w:rStyle w:val="PageNumber"/>
        <w:rFonts w:ascii="Helvetica LT Pro Light" w:hAnsi="Helvetica LT Pro Light"/>
      </w:rPr>
      <w:fldChar w:fldCharType="begin"/>
    </w:r>
    <w:r>
      <w:rPr>
        <w:rStyle w:val="PageNumber"/>
        <w:rFonts w:ascii="Helvetica LT Pro Light" w:hAnsi="Helvetica LT Pro Light"/>
      </w:rPr>
      <w:instrText xml:space="preserve"> PAGE </w:instrText>
    </w:r>
    <w:r>
      <w:rPr>
        <w:rStyle w:val="PageNumber"/>
        <w:rFonts w:ascii="Helvetica LT Pro Light" w:hAnsi="Helvetica LT Pro Light"/>
      </w:rPr>
      <w:fldChar w:fldCharType="separate"/>
    </w:r>
    <w:r w:rsidR="00122DCC">
      <w:rPr>
        <w:rStyle w:val="PageNumber"/>
        <w:rFonts w:ascii="Helvetica LT Pro Light" w:hAnsi="Helvetica LT Pro Light"/>
        <w:noProof/>
      </w:rPr>
      <w:t>19</w:t>
    </w:r>
    <w:r>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Footer"/>
    </w:pPr>
    <w:r>
      <w:rPr>
        <w:rStyle w:val="PageNumber"/>
        <w:rFonts w:ascii="Helvetica LT Pro Light" w:hAnsi="Helvetica LT Pro Light"/>
      </w:rPr>
      <w:fldChar w:fldCharType="begin"/>
    </w:r>
    <w:r>
      <w:rPr>
        <w:rStyle w:val="PageNumber"/>
        <w:rFonts w:ascii="Helvetica LT Pro Light" w:hAnsi="Helvetica LT Pro Light"/>
      </w:rPr>
      <w:instrText xml:space="preserve"> PAGE </w:instrText>
    </w:r>
    <w:r>
      <w:rPr>
        <w:rStyle w:val="PageNumber"/>
        <w:rFonts w:ascii="Helvetica LT Pro Light" w:hAnsi="Helvetica LT Pro Light"/>
      </w:rPr>
      <w:fldChar w:fldCharType="separate"/>
    </w:r>
    <w:r w:rsidR="00122DCC">
      <w:rPr>
        <w:rStyle w:val="PageNumber"/>
        <w:rFonts w:ascii="Helvetica LT Pro Light" w:hAnsi="Helvetica LT Pro Light"/>
        <w:noProof/>
      </w:rPr>
      <w:t>18</w:t>
    </w:r>
    <w:r>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Footer"/>
    </w:pPr>
    <w:r>
      <w:rPr>
        <w:rStyle w:val="PageNumber"/>
        <w:rFonts w:ascii="Helvetica LT Pro Light" w:hAnsi="Helvetica LT Pro Light"/>
      </w:rPr>
      <w:fldChar w:fldCharType="begin"/>
    </w:r>
    <w:r>
      <w:rPr>
        <w:rStyle w:val="PageNumber"/>
        <w:rFonts w:ascii="Helvetica LT Pro Light" w:hAnsi="Helvetica LT Pro Light"/>
      </w:rPr>
      <w:instrText xml:space="preserve"> PAGE </w:instrText>
    </w:r>
    <w:r>
      <w:rPr>
        <w:rStyle w:val="PageNumber"/>
        <w:rFonts w:ascii="Helvetica LT Pro Light" w:hAnsi="Helvetica LT Pro Light"/>
      </w:rPr>
      <w:fldChar w:fldCharType="separate"/>
    </w:r>
    <w:r w:rsidR="00122DCC">
      <w:rPr>
        <w:rStyle w:val="PageNumber"/>
        <w:rFonts w:ascii="Helvetica LT Pro Light" w:hAnsi="Helvetica LT Pro Light"/>
        <w:noProof/>
      </w:rPr>
      <w:t>27</w:t>
    </w:r>
    <w:r>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Footer"/>
    </w:pPr>
    <w:r>
      <w:rPr>
        <w:rStyle w:val="PageNumber"/>
        <w:rFonts w:ascii="Helvetica LT Pro Light" w:hAnsi="Helvetica LT Pro Light"/>
      </w:rPr>
      <w:fldChar w:fldCharType="begin"/>
    </w:r>
    <w:r>
      <w:rPr>
        <w:rStyle w:val="PageNumber"/>
        <w:rFonts w:ascii="Helvetica LT Pro Light" w:hAnsi="Helvetica LT Pro Light"/>
      </w:rPr>
      <w:instrText xml:space="preserve"> PAGE </w:instrText>
    </w:r>
    <w:r>
      <w:rPr>
        <w:rStyle w:val="PageNumber"/>
        <w:rFonts w:ascii="Helvetica LT Pro Light" w:hAnsi="Helvetica LT Pro Light"/>
      </w:rPr>
      <w:fldChar w:fldCharType="separate"/>
    </w:r>
    <w:r w:rsidR="00122DCC">
      <w:rPr>
        <w:rStyle w:val="PageNumber"/>
        <w:rFonts w:ascii="Helvetica LT Pro Light" w:hAnsi="Helvetica LT Pro Light"/>
        <w:noProof/>
      </w:rPr>
      <w:t>20</w:t>
    </w:r>
    <w:r>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Footer"/>
    </w:pPr>
    <w:r>
      <w:rPr>
        <w:rStyle w:val="PageNumber"/>
        <w:rFonts w:ascii="Helvetica LT Pro Light" w:hAnsi="Helvetica LT Pro Light"/>
      </w:rPr>
      <w:fldChar w:fldCharType="begin"/>
    </w:r>
    <w:r>
      <w:rPr>
        <w:rStyle w:val="PageNumber"/>
        <w:rFonts w:ascii="Helvetica LT Pro Light" w:hAnsi="Helvetica LT Pro Light"/>
      </w:rPr>
      <w:instrText xml:space="preserve"> PAGE </w:instrText>
    </w:r>
    <w:r>
      <w:rPr>
        <w:rStyle w:val="PageNumber"/>
        <w:rFonts w:ascii="Helvetica LT Pro Light" w:hAnsi="Helvetica LT Pro Light"/>
      </w:rPr>
      <w:fldChar w:fldCharType="separate"/>
    </w:r>
    <w:r w:rsidR="00122DCC">
      <w:rPr>
        <w:rStyle w:val="PageNumber"/>
        <w:rFonts w:ascii="Helvetica LT Pro Light" w:hAnsi="Helvetica LT Pro Light"/>
        <w:noProof/>
      </w:rPr>
      <w:t>61</w:t>
    </w:r>
    <w:r>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Footer"/>
    </w:pPr>
    <w:r>
      <w:rPr>
        <w:rStyle w:val="PageNumber"/>
        <w:rFonts w:ascii="Helvetica LT Pro Light" w:hAnsi="Helvetica LT Pro Light"/>
      </w:rPr>
      <w:fldChar w:fldCharType="begin"/>
    </w:r>
    <w:r>
      <w:rPr>
        <w:rStyle w:val="PageNumber"/>
        <w:rFonts w:ascii="Helvetica LT Pro Light" w:hAnsi="Helvetica LT Pro Light"/>
      </w:rPr>
      <w:instrText xml:space="preserve"> PAGE </w:instrText>
    </w:r>
    <w:r>
      <w:rPr>
        <w:rStyle w:val="PageNumber"/>
        <w:rFonts w:ascii="Helvetica LT Pro Light" w:hAnsi="Helvetica LT Pro Light"/>
      </w:rPr>
      <w:fldChar w:fldCharType="separate"/>
    </w:r>
    <w:r w:rsidR="00122DCC">
      <w:rPr>
        <w:rStyle w:val="PageNumber"/>
        <w:rFonts w:ascii="Helvetica LT Pro Light" w:hAnsi="Helvetica LT Pro Light"/>
        <w:noProof/>
      </w:rPr>
      <w:t>28</w:t>
    </w:r>
    <w:r>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36E" w:rsidRDefault="005E336E">
      <w:pPr>
        <w:spacing w:before="0" w:after="0" w:line="240" w:lineRule="auto"/>
        <w:rPr>
          <w:color w:val="F07E31" w:themeColor="background2"/>
        </w:rPr>
      </w:pPr>
      <w:r>
        <w:rPr>
          <w:color w:val="F07E31" w:themeColor="background2"/>
        </w:rPr>
        <w:separator/>
      </w:r>
    </w:p>
  </w:footnote>
  <w:footnote w:type="continuationSeparator" w:id="0">
    <w:p w:rsidR="005E336E" w:rsidRDefault="005E336E">
      <w:pPr>
        <w:spacing w:before="0" w:after="0" w:line="240" w:lineRule="auto"/>
      </w:pPr>
      <w:r>
        <w:continuationSeparator/>
      </w:r>
    </w:p>
  </w:footnote>
  <w:footnote w:type="continuationNotice" w:id="1">
    <w:p w:rsidR="005E336E" w:rsidRDefault="005E336E">
      <w:pPr>
        <w:spacing w:before="0" w:after="0" w:line="240" w:lineRule="auto"/>
      </w:pPr>
    </w:p>
  </w:footnote>
  <w:footnote w:id="2">
    <w:p w:rsidR="00143584" w:rsidRDefault="00D64125">
      <w:pPr>
        <w:pStyle w:val="FootnoteText"/>
        <w:jc w:val="both"/>
        <w:rPr>
          <w:lang w:val="en-GB"/>
        </w:rPr>
      </w:pPr>
      <w:r>
        <w:rPr>
          <w:rStyle w:val="FootnoteReference"/>
        </w:rPr>
        <w:footnoteRef/>
      </w:r>
      <w:r>
        <w:t xml:space="preserve"> </w:t>
      </w:r>
      <w:r>
        <w:tab/>
        <w:t>Приложение VII към Регламент за изпълнение (ЕС) № 808/2014 на Комисията от 17 юли 2014 г. за определяне на правила за прилагането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(ЕЗФРСР) (ОВ L 227, 31.7.2014 г., стр. 18).</w:t>
      </w:r>
    </w:p>
  </w:footnote>
  <w:footnote w:id="3">
    <w:p w:rsidR="00143584" w:rsidRDefault="00D64125">
      <w:pPr>
        <w:pStyle w:val="FootnoteText"/>
        <w:rPr>
          <w:lang w:val="sk-SK"/>
        </w:rPr>
      </w:pPr>
      <w:r>
        <w:rPr>
          <w:rStyle w:val="FootnoteReference"/>
        </w:rPr>
        <w:footnoteRef/>
      </w:r>
      <w:r>
        <w:t xml:space="preserve"> Член 67 от Регламент (ЕС) № 1305/2013, член 14 от Регламент за изпълнение (ЕС) № 808/2014 на Комисията и приложения IV, V и VI към същия регламент. </w:t>
      </w:r>
    </w:p>
  </w:footnote>
  <w:footnote w:id="4">
    <w:p w:rsidR="00143584" w:rsidRDefault="00D64125">
      <w:pPr>
        <w:pStyle w:val="FootnoteText"/>
        <w:jc w:val="both"/>
        <w:rPr>
          <w:lang w:val="sk-SK"/>
        </w:rPr>
      </w:pPr>
      <w:r>
        <w:rPr>
          <w:rStyle w:val="FootnoteReference"/>
        </w:rPr>
        <w:footnoteRef/>
      </w:r>
      <w:r>
        <w:t xml:space="preserve"> </w:t>
      </w:r>
      <w:r>
        <w:tab/>
        <w:t>Точка 2 от приложение VII към Регламент за изпълнение (ЕС) № 808/2014 на Комисията.</w:t>
      </w:r>
    </w:p>
  </w:footnote>
  <w:footnote w:id="5">
    <w:p w:rsidR="00143584" w:rsidRDefault="00D64125">
      <w:pPr>
        <w:pStyle w:val="FootnoteText"/>
        <w:jc w:val="both"/>
        <w:rPr>
          <w:lang w:val="sk-SK"/>
        </w:rPr>
      </w:pPr>
      <w:r>
        <w:rPr>
          <w:rStyle w:val="FootnoteReference"/>
        </w:rPr>
        <w:footnoteRef/>
      </w:r>
      <w:r>
        <w:t xml:space="preserve"> </w:t>
      </w:r>
      <w:r>
        <w:tab/>
        <w:t>Точка 1, буква а) от приложение VII към Регламент за изпълнение (ЕС) № 808/2014 на Комисията.</w:t>
      </w:r>
    </w:p>
  </w:footnote>
  <w:footnote w:id="6">
    <w:p w:rsidR="00143584" w:rsidRDefault="00D64125">
      <w:pPr>
        <w:pStyle w:val="FootnoteText"/>
        <w:jc w:val="both"/>
        <w:rPr>
          <w:lang w:val="sk-SK"/>
        </w:rPr>
      </w:pPr>
      <w:r>
        <w:rPr>
          <w:rStyle w:val="FootnoteReference"/>
        </w:rPr>
        <w:footnoteRef/>
      </w:r>
      <w:r>
        <w:t xml:space="preserve"> </w:t>
      </w:r>
      <w:r>
        <w:tab/>
        <w:t>Точка 1, буква б) от приложение VII към Регламент за изпълнение (ЕС) № 808/2014 на Комисията.</w:t>
      </w:r>
    </w:p>
  </w:footnote>
  <w:footnote w:id="7">
    <w:p w:rsidR="00143584" w:rsidRDefault="00D64125">
      <w:pPr>
        <w:pStyle w:val="FootnoteText"/>
        <w:jc w:val="both"/>
        <w:rPr>
          <w:lang w:val="sk-SK"/>
        </w:rPr>
      </w:pPr>
      <w:r>
        <w:rPr>
          <w:rStyle w:val="FootnoteReference"/>
        </w:rPr>
        <w:footnoteRef/>
      </w:r>
      <w:r>
        <w:t xml:space="preserve"> </w:t>
      </w:r>
      <w:r>
        <w:tab/>
        <w:t>Точка 7 от приложение VII към Регламент за изпълнение (ЕС) № 808/2014 на Комисията.</w:t>
      </w:r>
    </w:p>
  </w:footnote>
  <w:footnote w:id="8">
    <w:p w:rsidR="00143584" w:rsidRDefault="00D64125">
      <w:pPr>
        <w:pStyle w:val="FootnoteText"/>
        <w:jc w:val="both"/>
        <w:rPr>
          <w:lang w:val="sk-SK"/>
        </w:rPr>
      </w:pPr>
      <w:r>
        <w:rPr>
          <w:rStyle w:val="FootnoteReference"/>
        </w:rPr>
        <w:footnoteRef/>
      </w:r>
      <w:r>
        <w:t xml:space="preserve"> </w:t>
      </w:r>
      <w:r>
        <w:tab/>
        <w:t>Член 54, параграф 3 от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(ОВ L 347, 20.12.2013 г., стр. 320).</w:t>
      </w:r>
    </w:p>
  </w:footnote>
  <w:footnote w:id="9">
    <w:p w:rsidR="00143584" w:rsidRDefault="00D64125">
      <w:pPr>
        <w:pStyle w:val="FootnoteText"/>
        <w:jc w:val="both"/>
        <w:rPr>
          <w:lang w:val="sk-SK"/>
        </w:rPr>
      </w:pPr>
      <w:r>
        <w:rPr>
          <w:rStyle w:val="FootnoteReference"/>
        </w:rPr>
        <w:footnoteRef/>
      </w:r>
      <w:r>
        <w:t xml:space="preserve"> </w:t>
      </w:r>
      <w:r>
        <w:tab/>
        <w:t xml:space="preserve">Член 14, буква б) от Регламент за изпълнение (ЕС) № 808/2014 на Комисията и точка 7 от приложение VII към същия регламент. </w:t>
      </w:r>
    </w:p>
  </w:footnote>
  <w:footnote w:id="10">
    <w:p w:rsidR="00143584" w:rsidRDefault="00D64125">
      <w:pPr>
        <w:pStyle w:val="FootnoteText"/>
        <w:jc w:val="both"/>
        <w:rPr>
          <w:lang w:val="sk-SK"/>
        </w:rPr>
      </w:pPr>
      <w:r>
        <w:rPr>
          <w:rStyle w:val="FootnoteReference"/>
        </w:rPr>
        <w:footnoteRef/>
      </w:r>
      <w:r>
        <w:t xml:space="preserve"> Допълнителен принос на операциите към области с поставен акцент, различни от областите, за които са програмирани.</w:t>
      </w:r>
    </w:p>
  </w:footnote>
  <w:footnote w:id="11">
    <w:p w:rsidR="00143584" w:rsidRDefault="00D64125">
      <w:pPr>
        <w:pStyle w:val="FootnoteText"/>
        <w:jc w:val="both"/>
        <w:rPr>
          <w:lang w:val="sk-SK"/>
        </w:rPr>
      </w:pPr>
      <w:r>
        <w:rPr>
          <w:rStyle w:val="FootnoteReference"/>
        </w:rPr>
        <w:footnoteRef/>
      </w:r>
      <w:r>
        <w:t xml:space="preserve"> Член 50 от Регламент (ЕС) № 1303/2013 и точка 7 от приложение VII към Регламент за изпълнение (ЕС) № 808/2014 на Комисията.</w:t>
      </w:r>
    </w:p>
  </w:footnote>
  <w:footnote w:id="12">
    <w:p w:rsidR="00143584" w:rsidRDefault="00D64125">
      <w:pPr>
        <w:pStyle w:val="FootnoteText"/>
        <w:rPr>
          <w:lang w:val="sk-SK"/>
        </w:rPr>
      </w:pPr>
      <w:r>
        <w:rPr>
          <w:rStyle w:val="FootnoteReference"/>
        </w:rPr>
        <w:footnoteRef/>
      </w:r>
      <w:r>
        <w:t xml:space="preserve"> </w:t>
      </w:r>
      <w:hyperlink r:id="rId1" w:history="1">
        <w:r>
          <w:rPr>
            <w:rStyle w:val="Hyperlink"/>
            <w:lang w:val="sk-SK"/>
          </w:rPr>
          <w:t>http://enrd.ec.europa.eu/enrd-static/policy-in-action/improving-implementation/delivery-mechanisms/en/delivery-mechanisms_en.html</w:t>
        </w:r>
      </w:hyperlink>
    </w:p>
  </w:footnote>
  <w:footnote w:id="13">
    <w:p w:rsidR="00143584" w:rsidRDefault="00D64125">
      <w:pPr>
        <w:pStyle w:val="FootnoteText"/>
        <w:rPr>
          <w:lang w:val="sk-SK"/>
        </w:rPr>
      </w:pPr>
      <w:r>
        <w:rPr>
          <w:rStyle w:val="FootnoteReference"/>
        </w:rPr>
        <w:footnoteRef/>
      </w:r>
      <w:r>
        <w:t xml:space="preserve"> Точка 3 от приложение VII към Регламент за изпълнение (ЕС) № 808/2014 на Комисията.</w:t>
      </w:r>
    </w:p>
  </w:footnote>
  <w:footnote w:id="14">
    <w:p w:rsidR="00143584" w:rsidRDefault="00D64125">
      <w:pPr>
        <w:pStyle w:val="FootnoteText"/>
        <w:rPr>
          <w:lang w:val="sk-SK"/>
        </w:rPr>
      </w:pPr>
      <w:r>
        <w:rPr>
          <w:rStyle w:val="FootnoteReference"/>
        </w:rPr>
        <w:footnoteRef/>
      </w:r>
      <w:r>
        <w:t xml:space="preserve"> Член 14, параграф 1, буква б) от Регламент за изпълнение (ЕС) № 808/2014 на Комисията и приложение IV към същия регламент.  </w:t>
      </w:r>
    </w:p>
  </w:footnote>
  <w:footnote w:id="15">
    <w:p w:rsidR="00143584" w:rsidRDefault="00D64125">
      <w:pPr>
        <w:pStyle w:val="FootnoteText"/>
        <w:rPr>
          <w:lang w:val="sk-SK"/>
        </w:rPr>
      </w:pPr>
      <w:r>
        <w:rPr>
          <w:rStyle w:val="FootnoteReference"/>
        </w:rPr>
        <w:footnoteRef/>
      </w:r>
      <w:r>
        <w:t xml:space="preserve"> </w:t>
      </w:r>
      <w:hyperlink r:id="rId2" w:history="1">
        <w:r w:rsidRPr="00607FE5">
          <w:rPr>
            <w:rStyle w:val="Hyperlink"/>
            <w:lang w:val="sk-SK"/>
          </w:rPr>
          <w:t>https://www.statpac.com/surveys/sampling.htm</w:t>
        </w:r>
      </w:hyperlink>
    </w:p>
  </w:footnote>
  <w:footnote w:id="16">
    <w:p w:rsidR="00143584" w:rsidRDefault="00D64125">
      <w:pPr>
        <w:pStyle w:val="FootnoteText"/>
        <w:rPr>
          <w:lang w:val="sk-SK"/>
        </w:rPr>
      </w:pPr>
      <w:r>
        <w:rPr>
          <w:rStyle w:val="FootnoteReference"/>
        </w:rPr>
        <w:footnoteRef/>
      </w:r>
      <w:r>
        <w:t xml:space="preserve"> Член 50, параграф 2 от Регламент (ЕС) № 1303/2013. </w:t>
      </w:r>
    </w:p>
  </w:footnote>
  <w:footnote w:id="17">
    <w:p w:rsidR="00143584" w:rsidRDefault="00D64125">
      <w:pPr>
        <w:pStyle w:val="FootnoteText"/>
        <w:rPr>
          <w:lang w:val="sk-SK"/>
        </w:rPr>
      </w:pPr>
      <w:r>
        <w:rPr>
          <w:rStyle w:val="FootnoteReference"/>
        </w:rPr>
        <w:footnoteRef/>
      </w:r>
      <w:r>
        <w:t xml:space="preserve"> Точка 7 от приложение VII към Регламент за изпълнение (ЕС) № 808/2014 на Комисията.</w:t>
      </w:r>
    </w:p>
  </w:footnote>
  <w:footnote w:id="18">
    <w:p w:rsidR="00143584" w:rsidRDefault="00D64125">
      <w:pPr>
        <w:pStyle w:val="FootnoteText"/>
        <w:rPr>
          <w:lang w:val="sk-SK"/>
        </w:rPr>
      </w:pPr>
      <w:r>
        <w:rPr>
          <w:rStyle w:val="FootnoteReference"/>
        </w:rPr>
        <w:footnoteRef/>
      </w:r>
      <w:r>
        <w:t xml:space="preserve"> Член 8, параграф 1, буква ж) от Регламент (ЕС) № 1305/2013.</w:t>
      </w:r>
    </w:p>
  </w:footnote>
  <w:footnote w:id="19">
    <w:p w:rsidR="00143584" w:rsidRDefault="00D64125">
      <w:pPr>
        <w:pStyle w:val="FootnoteText"/>
        <w:rPr>
          <w:color w:val="546393" w:themeColor="accent3"/>
          <w:lang w:val="sk-SK"/>
        </w:rPr>
      </w:pPr>
      <w:r>
        <w:rPr>
          <w:rStyle w:val="FootnoteReference"/>
        </w:rPr>
        <w:footnoteRef/>
      </w:r>
      <w:r>
        <w:t xml:space="preserve"> Приложение 6 към „Формуляр за оценяване на качеството“, Ръководство на ГД „Вътрешен пазар и услуги“ за оценяване на законодателството, стр. 87—97 </w:t>
      </w:r>
      <w:hyperlink r:id="rId3" w:history="1">
        <w:r>
          <w:rPr>
            <w:rStyle w:val="Hyperlink"/>
            <w:lang w:val="sk-SK"/>
          </w:rPr>
          <w:t>http://ec.europa.eu/dgs/internal_market/evaluation/evaluation/index_en.htm</w:t>
        </w:r>
      </w:hyperlink>
    </w:p>
  </w:footnote>
  <w:footnote w:id="20">
    <w:p w:rsidR="00143584" w:rsidRDefault="00D64125">
      <w:pPr>
        <w:pStyle w:val="FootnoteText"/>
        <w:rPr>
          <w:lang w:val="sk-SK"/>
        </w:rPr>
      </w:pPr>
      <w:r>
        <w:rPr>
          <w:rStyle w:val="FootnoteReference"/>
        </w:rPr>
        <w:footnoteRef/>
      </w:r>
      <w:r>
        <w:t xml:space="preserve"> Article 54(1) of Regulation (EU) No 1303/2013; Article 68(a) of Regulation (EU) No 1305/2013</w:t>
      </w:r>
    </w:p>
  </w:footnote>
  <w:footnote w:id="21">
    <w:p w:rsidR="00143584" w:rsidRDefault="00D64125">
      <w:pPr>
        <w:pStyle w:val="FootnoteText"/>
        <w:rPr>
          <w:lang w:val="sk-SK"/>
        </w:rPr>
      </w:pPr>
      <w:r>
        <w:rPr>
          <w:rStyle w:val="FootnoteReference"/>
        </w:rPr>
        <w:footnoteRef/>
      </w:r>
      <w:r>
        <w:t xml:space="preserve"> WD: common evaluation questions for rural development programmes 2014-2020,  </w:t>
      </w:r>
      <w:hyperlink r:id="rId4" w:history="1">
        <w:r>
          <w:rPr>
            <w:rStyle w:val="Hyperlink"/>
            <w:lang w:val="en-GB"/>
          </w:rPr>
          <w:t>http://enrd.ec.europa.eu/evaluation/publications/e-library_en</w:t>
        </w:r>
      </w:hyperlink>
    </w:p>
  </w:footnote>
  <w:footnote w:id="22">
    <w:p w:rsidR="00143584" w:rsidRDefault="00D64125">
      <w:pPr>
        <w:pStyle w:val="FootnoteText"/>
        <w:rPr>
          <w:lang w:val="en-US"/>
        </w:rPr>
      </w:pPr>
      <w:r>
        <w:rPr>
          <w:rStyle w:val="FootnoteReference"/>
        </w:rPr>
        <w:footnoteRef/>
      </w:r>
      <w:r>
        <w:t xml:space="preserve"> Article 14(1)(c) and Annex VII, point (7) to Commission Implementing Regulation (EU) No 808/2014, </w:t>
      </w:r>
    </w:p>
  </w:footnote>
  <w:footnote w:id="23">
    <w:p w:rsidR="00143584" w:rsidRDefault="00D64125">
      <w:pPr>
        <w:pStyle w:val="FootnoteText"/>
        <w:rPr>
          <w:lang w:val="en-GB"/>
        </w:rPr>
      </w:pPr>
      <w:r>
        <w:rPr>
          <w:rStyle w:val="FootnoteReference"/>
        </w:rPr>
        <w:footnoteRef/>
      </w:r>
      <w:r>
        <w:t xml:space="preserve"> Additional indicators are applied </w:t>
      </w:r>
      <w:r>
        <w:rPr>
          <w:b/>
        </w:rPr>
        <w:t>additionally</w:t>
      </w:r>
      <w:r>
        <w:t xml:space="preserve"> to common indicators if the latter are not sufficient to answer the CEQ in a satisfactory manner</w:t>
      </w:r>
    </w:p>
  </w:footnote>
  <w:footnote w:id="24">
    <w:p w:rsidR="00143584" w:rsidRDefault="00D64125">
      <w:pPr>
        <w:pStyle w:val="FootnoteText"/>
        <w:rPr>
          <w:lang w:val="en-GB"/>
        </w:rPr>
      </w:pPr>
      <w:r>
        <w:rPr>
          <w:rStyle w:val="FootnoteReference"/>
        </w:rPr>
        <w:footnoteRef/>
      </w:r>
      <w:r>
        <w:t xml:space="preserve"> Programme-specific indicators are applied to answer PSEQ</w:t>
      </w:r>
    </w:p>
  </w:footnote>
  <w:footnote w:id="25">
    <w:p w:rsidR="00143584" w:rsidRDefault="00D64125">
      <w:pPr>
        <w:pStyle w:val="FootnoteText"/>
        <w:rPr>
          <w:lang w:val="sk-SK"/>
        </w:rPr>
      </w:pPr>
      <w:r>
        <w:rPr>
          <w:rStyle w:val="FootnoteReference"/>
        </w:rPr>
        <w:footnoteRef/>
      </w:r>
      <w:r>
        <w:t xml:space="preserve"> Член 8, параграф 1, буква ж) от Регламент (ЕС) № 1305/2013.</w:t>
      </w:r>
    </w:p>
  </w:footnote>
  <w:footnote w:id="26">
    <w:p w:rsidR="00143584" w:rsidRDefault="00D64125">
      <w:pPr>
        <w:pStyle w:val="FootnoteText"/>
        <w:rPr>
          <w:lang w:val="sk-SK"/>
        </w:rPr>
      </w:pPr>
      <w:r>
        <w:rPr>
          <w:rStyle w:val="FootnoteReference"/>
        </w:rPr>
        <w:footnoteRef/>
      </w:r>
      <w:r>
        <w:t xml:space="preserve"> Теоретични, количествени, качествени, смесени подходи.</w:t>
      </w:r>
    </w:p>
  </w:footnote>
  <w:footnote w:id="27">
    <w:p w:rsidR="00143584" w:rsidRDefault="00D64125">
      <w:pPr>
        <w:pStyle w:val="FootnoteText"/>
        <w:rPr>
          <w:lang w:val="sk-SK"/>
        </w:rPr>
      </w:pPr>
      <w:r>
        <w:rPr>
          <w:rStyle w:val="FootnoteReference"/>
        </w:rPr>
        <w:footnoteRef/>
      </w:r>
      <w:r>
        <w:t xml:space="preserve"> Управляващ орган, разплащателна агенция, експерти по оценяване, оценители, доставчици на данни, членове на мониторинговия комитет.</w:t>
      </w:r>
    </w:p>
  </w:footnote>
  <w:footnote w:id="28">
    <w:p w:rsidR="00143584" w:rsidRDefault="00D64125">
      <w:pPr>
        <w:pStyle w:val="FootnoteText"/>
        <w:rPr>
          <w:lang w:val="sk-SK"/>
        </w:rPr>
      </w:pPr>
      <w:r>
        <w:rPr>
          <w:rStyle w:val="FootnoteReference"/>
        </w:rPr>
        <w:footnoteRef/>
      </w:r>
      <w:r>
        <w:t xml:space="preserve"> Тази преценка също е много важна за оценяването на полезните взаимодействия в рамките на програмата и за отговора на ОВО 19: „В каква степен полезните взаимодействия между приоритетите и областите с поставен акцент са повишили ефективността на ПРСР?“.</w:t>
      </w:r>
    </w:p>
  </w:footnote>
  <w:footnote w:id="29">
    <w:p w:rsidR="00143584" w:rsidRDefault="00D64125">
      <w:pPr>
        <w:pStyle w:val="FootnoteText"/>
        <w:rPr>
          <w:lang w:val="sk-SK"/>
        </w:rPr>
      </w:pPr>
      <w:r>
        <w:rPr>
          <w:rStyle w:val="FootnoteReference"/>
        </w:rPr>
        <w:footnoteRef/>
      </w:r>
      <w:r>
        <w:t xml:space="preserve"> Вж. също така част II, глави 1 и 2 от „Да се постигне максимума по вашата ПРСР: Ръководство за предварителна оценка на ПРСР за периода 2014—2020 г." </w:t>
      </w:r>
      <w:hyperlink r:id="rId5" w:history="1">
        <w:r>
          <w:rPr>
            <w:rStyle w:val="Hyperlink"/>
            <w:lang w:val="sk-SK"/>
          </w:rPr>
          <w:t>http://enrd.ec.europa.eu/enrd-static/evaluation/library/evaluation-helpdesk-publications/en/evaluation-helpdesk-publications_en.html</w:t>
        </w:r>
      </w:hyperlink>
      <w:r>
        <w:t>.</w:t>
      </w:r>
    </w:p>
  </w:footnote>
  <w:footnote w:id="30">
    <w:p w:rsidR="00143584" w:rsidRDefault="00D64125">
      <w:pPr>
        <w:pStyle w:val="FootnoteText"/>
        <w:rPr>
          <w:rStyle w:val="Hyperlink"/>
          <w:sz w:val="18"/>
          <w:szCs w:val="24"/>
          <w:lang w:val="sk-SK"/>
        </w:rPr>
      </w:pPr>
      <w:r>
        <w:rPr>
          <w:rStyle w:val="FootnoteReference"/>
        </w:rPr>
        <w:footnoteRef/>
      </w:r>
      <w:r>
        <w:t xml:space="preserve"> Стратегия на Съюза за интелигентен, устойчив и приобщаващ растеж </w:t>
      </w:r>
      <w:hyperlink r:id="rId6" w:history="1">
        <w:r>
          <w:rPr>
            <w:rStyle w:val="Hyperlink"/>
            <w:lang w:val="sk-SK"/>
          </w:rPr>
          <w:t>https://ec.europa.eu/info/strategy/european-semester/framework/europe-2020-strategy_en</w:t>
        </w:r>
      </w:hyperlink>
    </w:p>
  </w:footnote>
  <w:footnote w:id="31">
    <w:p w:rsidR="00143584" w:rsidRDefault="00D64125">
      <w:pPr>
        <w:pStyle w:val="FootnoteText"/>
        <w:rPr>
          <w:rStyle w:val="Hyperlink"/>
          <w:sz w:val="18"/>
          <w:szCs w:val="24"/>
          <w:lang w:val="sk-SK"/>
        </w:rPr>
      </w:pPr>
      <w:r>
        <w:rPr>
          <w:rStyle w:val="Hyperlink"/>
          <w:i/>
          <w:color w:val="6F6F6F" w:themeColor="text1"/>
          <w:sz w:val="12"/>
          <w:u w:val="none"/>
        </w:rPr>
        <w:footnoteRef/>
      </w:r>
      <w:r>
        <w:rPr>
          <w:rStyle w:val="Hyperlink"/>
        </w:rPr>
        <w:t xml:space="preserve"> </w:t>
      </w:r>
      <w:hyperlink r:id="rId7" w:history="1">
        <w:r w:rsidRPr="00607FE5">
          <w:rPr>
            <w:rStyle w:val="Hyperlink"/>
            <w:lang w:val="sk-SK"/>
          </w:rPr>
          <w:t>http://ec.europa.eu/agriculture/cap-post-2013/</w:t>
        </w:r>
      </w:hyperlink>
    </w:p>
  </w:footnote>
  <w:footnote w:id="32">
    <w:p w:rsidR="00143584" w:rsidRDefault="00D64125">
      <w:pPr>
        <w:pStyle w:val="FootnoteText"/>
      </w:pPr>
      <w:r>
        <w:rPr>
          <w:rStyle w:val="FootnoteReference"/>
        </w:rPr>
        <w:footnoteRef/>
      </w:r>
      <w:r>
        <w:t xml:space="preserve"> Операциите, програмирани по области с поставен акцент, свързани с околната среда, а именно ОПА 4А, 4Б, 4В, 5Г и 5Д, в които целите са определени като % от площта, обхваната от договори, се отчитат във всички ОПА, за постигането на чиито цели могат да допринесат. Техният мултиплициран принос вече е отчетен от системата за мониторинг и затова не е необходимо допълнително количествено изразяване на целите по време на оценката.  </w:t>
      </w:r>
    </w:p>
  </w:footnote>
  <w:footnote w:id="33">
    <w:p w:rsidR="00143584" w:rsidRDefault="00D64125">
      <w:pPr>
        <w:pStyle w:val="FootnoteText"/>
        <w:rPr>
          <w:rStyle w:val="Hyperlink"/>
          <w:sz w:val="18"/>
          <w:szCs w:val="24"/>
        </w:rPr>
      </w:pPr>
      <w:r>
        <w:rPr>
          <w:rStyle w:val="FootnoteReference"/>
        </w:rPr>
        <w:footnoteRef/>
      </w:r>
      <w:r>
        <w:t xml:space="preserve"> Подробно описание на ефектите от програмата е дадено в Насоките за последваща оценка на ПРСР за периода 2007—2013 г., глава 4.2.2: Предизвикателство: идентифициране на ефектите от програмата, </w:t>
      </w:r>
      <w:hyperlink r:id="rId8" w:history="1">
        <w:r>
          <w:rPr>
            <w:rStyle w:val="Hyperlink"/>
            <w:lang w:val="en-GB"/>
          </w:rPr>
          <w:t>http</w:t>
        </w:r>
        <w:r>
          <w:rPr>
            <w:rStyle w:val="Hyperlink"/>
          </w:rPr>
          <w:t>://</w:t>
        </w:r>
        <w:r>
          <w:rPr>
            <w:rStyle w:val="Hyperlink"/>
            <w:lang w:val="en-GB"/>
          </w:rPr>
          <w:t>enrd</w:t>
        </w:r>
        <w:r>
          <w:rPr>
            <w:rStyle w:val="Hyperlink"/>
          </w:rPr>
          <w:t>.</w:t>
        </w:r>
        <w:r>
          <w:rPr>
            <w:rStyle w:val="Hyperlink"/>
            <w:lang w:val="en-GB"/>
          </w:rPr>
          <w:t>ec</w:t>
        </w:r>
        <w:r>
          <w:rPr>
            <w:rStyle w:val="Hyperlink"/>
          </w:rPr>
          <w:t>.</w:t>
        </w:r>
        <w:r>
          <w:rPr>
            <w:rStyle w:val="Hyperlink"/>
            <w:lang w:val="en-GB"/>
          </w:rPr>
          <w:t>europa</w:t>
        </w:r>
        <w:r>
          <w:rPr>
            <w:rStyle w:val="Hyperlink"/>
          </w:rPr>
          <w:t>.</w:t>
        </w:r>
        <w:r>
          <w:rPr>
            <w:rStyle w:val="Hyperlink"/>
            <w:lang w:val="en-GB"/>
          </w:rPr>
          <w:t>eu</w:t>
        </w:r>
        <w:r>
          <w:rPr>
            <w:rStyle w:val="Hyperlink"/>
          </w:rPr>
          <w:t>/</w:t>
        </w:r>
        <w:r>
          <w:rPr>
            <w:rStyle w:val="Hyperlink"/>
            <w:lang w:val="en-GB"/>
          </w:rPr>
          <w:t>enrd</w:t>
        </w:r>
        <w:r>
          <w:rPr>
            <w:rStyle w:val="Hyperlink"/>
          </w:rPr>
          <w:t>-</w:t>
        </w:r>
        <w:r>
          <w:rPr>
            <w:rStyle w:val="Hyperlink"/>
            <w:lang w:val="en-GB"/>
          </w:rPr>
          <w:t>static</w:t>
        </w:r>
        <w:r>
          <w:rPr>
            <w:rStyle w:val="Hyperlink"/>
          </w:rPr>
          <w:t>/</w:t>
        </w:r>
        <w:r>
          <w:rPr>
            <w:rStyle w:val="Hyperlink"/>
            <w:lang w:val="en-GB"/>
          </w:rPr>
          <w:t>evaluation</w:t>
        </w:r>
        <w:r>
          <w:rPr>
            <w:rStyle w:val="Hyperlink"/>
          </w:rPr>
          <w:t>/</w:t>
        </w:r>
        <w:r>
          <w:rPr>
            <w:rStyle w:val="Hyperlink"/>
            <w:lang w:val="en-GB"/>
          </w:rPr>
          <w:t>library</w:t>
        </w:r>
        <w:r>
          <w:rPr>
            <w:rStyle w:val="Hyperlink"/>
          </w:rPr>
          <w:t>/</w:t>
        </w:r>
        <w:r>
          <w:rPr>
            <w:rStyle w:val="Hyperlink"/>
            <w:lang w:val="en-GB"/>
          </w:rPr>
          <w:t>evaluation</w:t>
        </w:r>
        <w:r>
          <w:rPr>
            <w:rStyle w:val="Hyperlink"/>
          </w:rPr>
          <w:t>-</w:t>
        </w:r>
        <w:r>
          <w:rPr>
            <w:rStyle w:val="Hyperlink"/>
            <w:lang w:val="en-GB"/>
          </w:rPr>
          <w:t>helpdesk</w:t>
        </w:r>
        <w:r>
          <w:rPr>
            <w:rStyle w:val="Hyperlink"/>
          </w:rPr>
          <w:t>-</w:t>
        </w:r>
        <w:r>
          <w:rPr>
            <w:rStyle w:val="Hyperlink"/>
            <w:lang w:val="en-GB"/>
          </w:rPr>
          <w:t>publications</w:t>
        </w:r>
        <w:r>
          <w:rPr>
            <w:rStyle w:val="Hyperlink"/>
          </w:rPr>
          <w:t>/</w:t>
        </w:r>
        <w:r>
          <w:rPr>
            <w:rStyle w:val="Hyperlink"/>
            <w:lang w:val="en-GB"/>
          </w:rPr>
          <w:t>en</w:t>
        </w:r>
        <w:r>
          <w:rPr>
            <w:rStyle w:val="Hyperlink"/>
          </w:rPr>
          <w:t>/</w:t>
        </w:r>
        <w:r>
          <w:rPr>
            <w:rStyle w:val="Hyperlink"/>
            <w:lang w:val="en-GB"/>
          </w:rPr>
          <w:t>evaluation</w:t>
        </w:r>
        <w:r>
          <w:rPr>
            <w:rStyle w:val="Hyperlink"/>
          </w:rPr>
          <w:t>-</w:t>
        </w:r>
        <w:r>
          <w:rPr>
            <w:rStyle w:val="Hyperlink"/>
            <w:lang w:val="en-GB"/>
          </w:rPr>
          <w:t>helpdesk</w:t>
        </w:r>
        <w:r>
          <w:rPr>
            <w:rStyle w:val="Hyperlink"/>
          </w:rPr>
          <w:t>-</w:t>
        </w:r>
        <w:r>
          <w:rPr>
            <w:rStyle w:val="Hyperlink"/>
            <w:lang w:val="en-GB"/>
          </w:rPr>
          <w:t>publications</w:t>
        </w:r>
        <w:r>
          <w:rPr>
            <w:rStyle w:val="Hyperlink"/>
          </w:rPr>
          <w:t>_</w:t>
        </w:r>
        <w:r>
          <w:rPr>
            <w:rStyle w:val="Hyperlink"/>
            <w:lang w:val="en-GB"/>
          </w:rPr>
          <w:t>en</w:t>
        </w:r>
        <w:r>
          <w:rPr>
            <w:rStyle w:val="Hyperlink"/>
          </w:rPr>
          <w:t>.</w:t>
        </w:r>
        <w:r>
          <w:rPr>
            <w:rStyle w:val="Hyperlink"/>
            <w:lang w:val="en-GB"/>
          </w:rPr>
          <w:t>html</w:t>
        </w:r>
      </w:hyperlink>
    </w:p>
  </w:footnote>
  <w:footnote w:id="34">
    <w:p w:rsidR="00143584" w:rsidRDefault="00D64125">
      <w:pPr>
        <w:pStyle w:val="FootnoteText"/>
        <w:rPr>
          <w:lang w:val="sk-SK"/>
        </w:rPr>
      </w:pPr>
      <w:r>
        <w:rPr>
          <w:rStyle w:val="FootnoteReference"/>
        </w:rPr>
        <w:footnoteRef/>
      </w:r>
      <w:r>
        <w:t xml:space="preserve"> В някои случаи стратегията за ВОМР може да включва само мерки от ПРСР или мерки, посочени в Регламент (ЕС) № 1305/2013, а в други случаи стратегиите включват собствени мерки.</w:t>
      </w:r>
    </w:p>
  </w:footnote>
  <w:footnote w:id="35">
    <w:p w:rsidR="00143584" w:rsidRDefault="00D64125">
      <w:pPr>
        <w:pStyle w:val="FootnoteText"/>
        <w:rPr>
          <w:lang w:val="sk-SK"/>
        </w:rPr>
      </w:pPr>
      <w:r>
        <w:rPr>
          <w:rStyle w:val="FootnoteReference"/>
        </w:rPr>
        <w:footnoteRef/>
      </w:r>
      <w:r>
        <w:t xml:space="preserve"> Вж.  Работен документ: Списък с елементи на данни за базата данни на операциите по стълб II (Data items list for Pillar II operations database).</w:t>
      </w:r>
    </w:p>
  </w:footnote>
  <w:footnote w:id="36">
    <w:p w:rsidR="00143584" w:rsidRDefault="00D64125">
      <w:pPr>
        <w:pStyle w:val="FootnoteText"/>
        <w:rPr>
          <w:lang w:val="sk-SK"/>
        </w:rPr>
      </w:pPr>
      <w:r>
        <w:rPr>
          <w:rStyle w:val="FootnoteReference"/>
        </w:rPr>
        <w:footnoteRef/>
      </w:r>
      <w:r>
        <w:t xml:space="preserve"> Член 51 от Регламент (ЕС) № 1305/2013.</w:t>
      </w:r>
    </w:p>
  </w:footnote>
  <w:footnote w:id="37">
    <w:p w:rsidR="00143584" w:rsidRDefault="00D64125">
      <w:pPr>
        <w:pStyle w:val="FootnoteText"/>
        <w:rPr>
          <w:lang w:val="sk-SK"/>
        </w:rPr>
      </w:pPr>
      <w:r>
        <w:rPr>
          <w:rStyle w:val="FootnoteReference"/>
        </w:rPr>
        <w:footnoteRef/>
      </w:r>
      <w:r>
        <w:t xml:space="preserve"> Членове 5 и 59 от Регламент (ЕС) № 1303/2013.</w:t>
      </w:r>
    </w:p>
  </w:footnote>
  <w:footnote w:id="38">
    <w:p w:rsidR="00143584" w:rsidRDefault="00D64125">
      <w:pPr>
        <w:pStyle w:val="FootnoteText"/>
        <w:rPr>
          <w:lang w:val="sk-SK"/>
        </w:rPr>
      </w:pPr>
      <w:r>
        <w:rPr>
          <w:rStyle w:val="FootnoteReference"/>
        </w:rPr>
        <w:footnoteRef/>
      </w:r>
      <w:r>
        <w:t xml:space="preserve"> Член 54 от Регламент (ЕС) № 1305/2013.</w:t>
      </w:r>
    </w:p>
  </w:footnote>
  <w:footnote w:id="39">
    <w:p w:rsidR="00143584" w:rsidRDefault="00D64125">
      <w:pPr>
        <w:pStyle w:val="FootnoteText"/>
        <w:rPr>
          <w:lang w:val="sk-SK"/>
        </w:rPr>
      </w:pPr>
      <w:r>
        <w:rPr>
          <w:rStyle w:val="FootnoteReference"/>
        </w:rPr>
        <w:footnoteRef/>
      </w:r>
      <w:r>
        <w:t xml:space="preserve"> Да се постигне максимума по вашата ПРСР: Ръководство за предварителна оценка на ПРСР за периода 2014—2020 г., </w:t>
      </w:r>
      <w:hyperlink r:id="rId9" w:history="1">
        <w:r>
          <w:rPr>
            <w:rStyle w:val="Hyperlink"/>
            <w:lang w:val="sk-SK"/>
          </w:rPr>
          <w:t>http://enrd.ec.europa.eu/enrd-static/evaluation/library/evaluation-helpdesk-publications/en/evaluation-helpdesk-publications_en.html</w:t>
        </w:r>
      </w:hyperlink>
      <w:r>
        <w:rPr>
          <w:rStyle w:val="Hyperlink"/>
        </w:rPr>
        <w:t xml:space="preserve"> </w:t>
      </w:r>
    </w:p>
  </w:footnote>
  <w:footnote w:id="40">
    <w:p w:rsidR="00143584" w:rsidRDefault="00D64125">
      <w:pPr>
        <w:pStyle w:val="FootnoteText"/>
        <w:rPr>
          <w:rStyle w:val="Hyperlink"/>
          <w:sz w:val="18"/>
          <w:szCs w:val="24"/>
          <w:lang w:val="sk-SK"/>
        </w:rPr>
      </w:pPr>
      <w:r>
        <w:rPr>
          <w:rStyle w:val="FootnoteReference"/>
        </w:rPr>
        <w:footnoteRef/>
      </w:r>
      <w:r>
        <w:t xml:space="preserve"> </w:t>
      </w:r>
      <w:hyperlink r:id="rId10" w:history="1">
        <w:r w:rsidRPr="00607FE5">
          <w:rPr>
            <w:rStyle w:val="Hyperlink"/>
            <w:lang w:val="sk-SK"/>
          </w:rPr>
          <w:t>http://enrd.ec.europa.eu/evaluation/publications/e-library_en</w:t>
        </w:r>
      </w:hyperlink>
    </w:p>
  </w:footnote>
  <w:footnote w:id="41">
    <w:p w:rsidR="00143584" w:rsidRDefault="00D64125">
      <w:pPr>
        <w:pStyle w:val="FootnoteText"/>
        <w:rPr>
          <w:color w:val="546393" w:themeColor="accent3"/>
          <w:lang w:val="sk-SK"/>
        </w:rPr>
      </w:pPr>
      <w:r>
        <w:rPr>
          <w:rStyle w:val="FootnoteReference"/>
        </w:rPr>
        <w:footnoteRef/>
      </w:r>
      <w:r>
        <w:t xml:space="preserve"> </w:t>
      </w:r>
      <w:hyperlink r:id="rId11" w:history="1">
        <w:r w:rsidRPr="00607FE5">
          <w:rPr>
            <w:rStyle w:val="Hyperlink"/>
            <w:lang w:val="sk-SK"/>
          </w:rPr>
          <w:t>http://ec.europa.eu/agriculture/glossary/index_en.htm</w:t>
        </w:r>
      </w:hyperlink>
    </w:p>
  </w:footnote>
  <w:footnote w:id="42">
    <w:p w:rsidR="00143584" w:rsidRDefault="00D64125">
      <w:pPr>
        <w:pStyle w:val="FootnoteText"/>
        <w:rPr>
          <w:lang w:val="sk-SK"/>
        </w:rPr>
      </w:pPr>
      <w:r>
        <w:rPr>
          <w:rStyle w:val="FootnoteReference"/>
        </w:rPr>
        <w:footnoteRef/>
      </w:r>
      <w:r>
        <w:t xml:space="preserve"> Приложение 1, ОВО № 1 към Работен документ: Общи въпроси за оценка на програмите за развитие на селските райони за периода 2014—2020 г.</w:t>
      </w:r>
    </w:p>
  </w:footnote>
  <w:footnote w:id="43">
    <w:p w:rsidR="00143584" w:rsidRDefault="00D64125">
      <w:pPr>
        <w:pStyle w:val="FootnoteText"/>
        <w:rPr>
          <w:lang w:val="sk-SK"/>
        </w:rPr>
      </w:pPr>
      <w:r>
        <w:rPr>
          <w:rStyle w:val="FootnoteReference"/>
        </w:rPr>
        <w:footnoteRef/>
      </w:r>
      <w:r>
        <w:t xml:space="preserve"> Приложение 1 към Работен документ: Общи въпроси за оценка на програмите за развитие на селските райони за периода 2014—2020 г. </w:t>
      </w:r>
    </w:p>
  </w:footnote>
  <w:footnote w:id="44">
    <w:p w:rsidR="00143584" w:rsidRDefault="00D64125">
      <w:pPr>
        <w:pStyle w:val="FootnoteText"/>
        <w:rPr>
          <w:lang w:val="sk-SK"/>
        </w:rPr>
      </w:pPr>
      <w:r>
        <w:rPr>
          <w:rStyle w:val="FootnoteReference"/>
        </w:rPr>
        <w:footnoteRef/>
      </w:r>
      <w:r>
        <w:t xml:space="preserve"> Член 14, параграф 1, буква б) от Регламент за изпълнение (ЕС) № 808/2014 на Комисията и приложение IV към него.</w:t>
      </w:r>
    </w:p>
  </w:footnote>
  <w:footnote w:id="45">
    <w:p w:rsidR="00143584" w:rsidRDefault="00D64125">
      <w:pPr>
        <w:pStyle w:val="FootnoteText"/>
        <w:rPr>
          <w:lang w:val="sk-SK"/>
        </w:rPr>
      </w:pPr>
      <w:r>
        <w:rPr>
          <w:rStyle w:val="FootnoteReference"/>
        </w:rPr>
        <w:footnoteRef/>
      </w:r>
      <w:r>
        <w:t xml:space="preserve"> Работни документи: Показатели за въздействие, Фишове за общи показатели за контекста, Целеви показатели за стълб II, Показатели за допълнителни резултати за стълб II. </w:t>
      </w:r>
    </w:p>
  </w:footnote>
  <w:footnote w:id="46">
    <w:p w:rsidR="00143584" w:rsidRDefault="00D64125">
      <w:pPr>
        <w:pStyle w:val="FootnoteText"/>
        <w:rPr>
          <w:lang w:val="sk-SK"/>
        </w:rPr>
      </w:pPr>
      <w:r>
        <w:rPr>
          <w:rStyle w:val="FootnoteReference"/>
        </w:rPr>
        <w:footnoteRef/>
      </w:r>
      <w:r>
        <w:t xml:space="preserve"> Приложение IV към Регламент за изпълнение (ЕС) № 808/2014 на Комисията.</w:t>
      </w:r>
    </w:p>
  </w:footnote>
  <w:footnote w:id="47">
    <w:p w:rsidR="00143584" w:rsidRDefault="00D64125">
      <w:pPr>
        <w:pStyle w:val="FootnoteText"/>
        <w:rPr>
          <w:szCs w:val="16"/>
          <w:lang w:val="sk-SK"/>
        </w:rPr>
      </w:pPr>
      <w:r>
        <w:rPr>
          <w:rStyle w:val="FootnoteReference"/>
        </w:rPr>
        <w:footnoteRef/>
      </w:r>
      <w:r>
        <w:t xml:space="preserve"> Приложение IV към Регламент за изпълнение (ЕС) № 808/2014 на Комисията и работен документ „Списък с елементи на данни за базата данни на операциите по стълб II“ (Data items list for Pillar II operations database).</w:t>
      </w:r>
    </w:p>
  </w:footnote>
  <w:footnote w:id="48">
    <w:p w:rsidR="00143584" w:rsidRDefault="00D64125">
      <w:pPr>
        <w:pStyle w:val="FootnoteText"/>
        <w:rPr>
          <w:lang w:val="sk-SK"/>
        </w:rPr>
      </w:pPr>
      <w:r>
        <w:rPr>
          <w:rStyle w:val="FootnoteReference"/>
        </w:rPr>
        <w:footnoteRef/>
      </w:r>
      <w:r>
        <w:t xml:space="preserve"> Такъв е случаят, когато общите елементи не могат нито да отговорят на съответния ВО, нито да се използват по-късно при оценяването на въздействията. </w:t>
      </w:r>
    </w:p>
  </w:footnote>
  <w:footnote w:id="49">
    <w:p w:rsidR="00143584" w:rsidRDefault="00D64125">
      <w:pPr>
        <w:pStyle w:val="FootnoteText"/>
        <w:rPr>
          <w:lang w:val="sk-SK"/>
        </w:rPr>
      </w:pPr>
      <w:r>
        <w:rPr>
          <w:rStyle w:val="FootnoteReference"/>
        </w:rPr>
        <w:footnoteRef/>
      </w:r>
      <w:r>
        <w:t xml:space="preserve"> Информация е предоставена също така на адрес: </w:t>
      </w:r>
      <w:hyperlink r:id="rId12" w:history="1">
        <w:r>
          <w:rPr>
            <w:rStyle w:val="Hyperlink"/>
            <w:lang w:val="sk-SK"/>
          </w:rPr>
          <w:t>http://enrd.ec.europa.eu/enrd-static/evaluation/good-practices-workshops/national-rural-networks/en/national-rural-networks_en.html</w:t>
        </w:r>
      </w:hyperlink>
    </w:p>
  </w:footnote>
  <w:footnote w:id="50">
    <w:p w:rsidR="00143584" w:rsidRDefault="00D64125">
      <w:pPr>
        <w:pStyle w:val="FootnoteText"/>
      </w:pPr>
      <w:r>
        <w:rPr>
          <w:rStyle w:val="FootnoteReference"/>
        </w:rPr>
        <w:footnoteRef/>
      </w:r>
      <w:r>
        <w:t xml:space="preserve"> Свързаните с област с поставен акцент ОВО с номера 4 (ОПА 2А), 11 (ОПА 5А), 12 (ОПА 5Б), 13 (ОПА 5В) и 14 (ОПА 5Г). Що се отнася до ОВО 14, предвидени са два показателя за допълнителни резултати, които да отговорят на него.</w:t>
      </w:r>
    </w:p>
  </w:footnote>
  <w:footnote w:id="51">
    <w:p w:rsidR="00143584" w:rsidRDefault="00D64125">
      <w:pPr>
        <w:pStyle w:val="FootnoteText"/>
        <w:rPr>
          <w:lang w:val="sk-SK"/>
        </w:rPr>
      </w:pPr>
      <w:r>
        <w:rPr>
          <w:rStyle w:val="FootnoteReference"/>
        </w:rPr>
        <w:footnoteRef/>
      </w:r>
      <w:r>
        <w:t xml:space="preserve"> Например свързаните с област с поставен акцент ОВО с номера 6 (ОПА 3А), 8 (ОПА 4А), 9 (ОПА 4Б) и т.н.</w:t>
      </w:r>
    </w:p>
  </w:footnote>
  <w:footnote w:id="52">
    <w:p w:rsidR="00143584" w:rsidRDefault="00D64125">
      <w:pPr>
        <w:pStyle w:val="FootnoteText"/>
        <w:rPr>
          <w:lang w:val="sk-SK"/>
        </w:rPr>
      </w:pPr>
      <w:r>
        <w:rPr>
          <w:rStyle w:val="FootnoteReference"/>
        </w:rPr>
        <w:footnoteRef/>
      </w:r>
      <w:r>
        <w:t xml:space="preserve"> Член 8, параграф 1, буква б) от Регламент (ЕС) № 1305/2013 и приложение I, част 1, точка 4 към Регламент за изпълнение (ЕС) № 808/2014 на Комисията.</w:t>
      </w:r>
    </w:p>
  </w:footnote>
  <w:footnote w:id="53">
    <w:p w:rsidR="00143584" w:rsidRDefault="00D64125">
      <w:pPr>
        <w:pStyle w:val="FootnoteText"/>
        <w:rPr>
          <w:lang w:val="sk-SK"/>
        </w:rPr>
      </w:pPr>
      <w:r>
        <w:rPr>
          <w:rStyle w:val="FootnoteReference"/>
        </w:rPr>
        <w:footnoteRef/>
      </w:r>
      <w:r>
        <w:t xml:space="preserve"> Например някои ПРСР включват област с поставен акцент 2В за горско стопанство или хранително-вкусова промишленост. </w:t>
      </w:r>
    </w:p>
  </w:footnote>
  <w:footnote w:id="54">
    <w:p w:rsidR="00143584" w:rsidRDefault="00D64125">
      <w:pPr>
        <w:pStyle w:val="FootnoteText"/>
        <w:rPr>
          <w:lang w:val="sk-SK"/>
        </w:rPr>
      </w:pPr>
      <w:r>
        <w:rPr>
          <w:rStyle w:val="FootnoteReference"/>
        </w:rPr>
        <w:footnoteRef/>
      </w:r>
      <w:r>
        <w:t xml:space="preserve"> Технически наръчник относно Общата рамка за мониторинг и оценка на ОСП за периода 2014—2020 г.</w:t>
      </w:r>
    </w:p>
  </w:footnote>
  <w:footnote w:id="55">
    <w:p w:rsidR="00143584" w:rsidRDefault="00D64125">
      <w:pPr>
        <w:pStyle w:val="FootnoteText"/>
        <w:rPr>
          <w:lang w:val="sk-SK"/>
        </w:rPr>
      </w:pPr>
      <w:r>
        <w:rPr>
          <w:rStyle w:val="FootnoteReference"/>
        </w:rPr>
        <w:footnoteRef/>
      </w:r>
      <w:r>
        <w:t xml:space="preserve"> Успешна реализация на вашата ПРСР: Насоки за последваща оценка на ПРСР за периода 2007—2013 г. </w:t>
      </w:r>
    </w:p>
  </w:footnote>
  <w:footnote w:id="56">
    <w:p w:rsidR="00143584" w:rsidRDefault="00D64125">
      <w:pPr>
        <w:pStyle w:val="FootnoteText"/>
        <w:rPr>
          <w:lang w:val="sk-SK"/>
        </w:rPr>
      </w:pPr>
      <w:r>
        <w:rPr>
          <w:rStyle w:val="FootnoteReference"/>
        </w:rPr>
        <w:footnoteRef/>
      </w:r>
      <w:r>
        <w:t xml:space="preserve"> Annex VII, point 7 to Commission Implementing Regulation (EU) No 808/2014</w:t>
      </w:r>
    </w:p>
  </w:footnote>
  <w:footnote w:id="57">
    <w:p w:rsidR="00143584" w:rsidRDefault="00D64125">
      <w:pPr>
        <w:tabs>
          <w:tab w:val="left" w:pos="170"/>
        </w:tabs>
        <w:spacing w:before="0" w:after="0" w:line="180" w:lineRule="exact"/>
        <w:ind w:left="170" w:hanging="170"/>
        <w:rPr>
          <w:rStyle w:val="FootnoteTextChar2"/>
          <w:lang w:val="en-GB"/>
        </w:rPr>
      </w:pPr>
      <w:r>
        <w:rPr>
          <w:rStyle w:val="FootnoteReference"/>
        </w:rPr>
        <w:footnoteRef/>
      </w:r>
      <w:r>
        <w:t xml:space="preserve"> </w:t>
      </w:r>
      <w:r>
        <w:rPr>
          <w:rStyle w:val="FootnoteTextChar2"/>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rsidR="00143584" w:rsidRDefault="00D64125">
      <w:pPr>
        <w:pStyle w:val="FootnoteText"/>
        <w:rPr>
          <w:lang w:val="en-GB"/>
        </w:rPr>
      </w:pPr>
      <w:r>
        <w:rPr>
          <w:rStyle w:val="FootnoteReference"/>
        </w:rPr>
        <w:footnoteRef/>
      </w:r>
      <w:r>
        <w:t xml:space="preserve"> See EUROPEAN COMMISSION - Directorate-General for Agriculture and Rural Development – Unit E.4 (2014): Investment Support under Rural Development Policy. Final Report. Brussels. ISBN 978-92-79-35314-7</w:t>
      </w:r>
    </w:p>
  </w:footnote>
  <w:footnote w:id="59">
    <w:p w:rsidR="00143584" w:rsidRDefault="00D64125">
      <w:pPr>
        <w:pStyle w:val="FootnoteText"/>
        <w:rPr>
          <w:lang w:val="sk-SK"/>
        </w:rPr>
      </w:pPr>
      <w:r>
        <w:rPr>
          <w:rStyle w:val="FootnoteReference"/>
        </w:rPr>
        <w:footnoteRef/>
      </w:r>
      <w:r>
        <w:t xml:space="preserve"> For more information see Guidelines for ex post evaluation of 2007-2013 RDPs, </w:t>
      </w:r>
      <w:hyperlink r:id="rId13" w:history="1">
        <w:r>
          <w:rPr>
            <w:rStyle w:val="Hyperlink"/>
            <w:lang w:val="sk-SK"/>
          </w:rPr>
          <w:t>http://enrd.ec.europa.eu/enrd-static/evaluation/library/evaluation-helpdesk-publications/en/evaluation-helpdesk-publications_en.html</w:t>
        </w:r>
      </w:hyperlink>
    </w:p>
  </w:footnote>
  <w:footnote w:id="60">
    <w:p w:rsidR="00143584" w:rsidRDefault="00D64125">
      <w:pPr>
        <w:pStyle w:val="FootnoteText"/>
        <w:rPr>
          <w:lang w:val="sk-SK"/>
        </w:rPr>
      </w:pPr>
      <w:r>
        <w:rPr>
          <w:rStyle w:val="FootnoteReference"/>
        </w:rPr>
        <w:footnoteRef/>
      </w:r>
      <w:r>
        <w:t xml:space="preserve"> Guidelines for the ex post evaluation of 2007-2013 RDPs, chapter 4, </w:t>
      </w:r>
      <w:hyperlink r:id="rId14" w:history="1">
        <w:r>
          <w:rPr>
            <w:rStyle w:val="Hyperlink"/>
            <w:lang w:val="en-GB"/>
          </w:rPr>
          <w:t>http://enrd.ec.europa.eu/enrd-static/evaluation/library/evaluation-helpdesk-publications/en/evaluation-helpdesk-publications_en.html</w:t>
        </w:r>
      </w:hyperlink>
    </w:p>
  </w:footnote>
  <w:footnote w:id="61">
    <w:p w:rsidR="00143584" w:rsidRDefault="00D64125">
      <w:pPr>
        <w:pStyle w:val="FootnoteText"/>
        <w:rPr>
          <w:lang w:val="en-GB"/>
        </w:rPr>
      </w:pPr>
      <w:r>
        <w:rPr>
          <w:rStyle w:val="FootnoteReference"/>
        </w:rPr>
        <w:footnoteRef/>
      </w:r>
      <w:r>
        <w:t xml:space="preserve"> See: Investment Support under RD policy, final report 2014.</w:t>
      </w:r>
    </w:p>
  </w:footnote>
  <w:footnote w:id="62">
    <w:p w:rsidR="00143584" w:rsidRDefault="00D64125">
      <w:pPr>
        <w:pStyle w:val="FootnoteText"/>
        <w:rPr>
          <w:lang w:val="sk-SK"/>
        </w:rPr>
      </w:pPr>
      <w:r>
        <w:rPr>
          <w:rStyle w:val="FootnoteReference"/>
        </w:rPr>
        <w:footnoteRef/>
      </w:r>
      <w: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rsidR="00143584" w:rsidRDefault="00D64125">
      <w:pPr>
        <w:pStyle w:val="FootnoteText"/>
        <w:rPr>
          <w:lang w:val="sk-SK"/>
        </w:rPr>
      </w:pPr>
      <w:r>
        <w:rPr>
          <w:rStyle w:val="FootnoteReference"/>
        </w:rPr>
        <w:footnoteRef/>
      </w:r>
      <w:r>
        <w:t xml:space="preserve"> </w:t>
      </w:r>
      <w:hyperlink r:id="rId15" w:history="1">
        <w:r>
          <w:rPr>
            <w:rStyle w:val="Hyperlink"/>
            <w:lang w:val="sk-SK"/>
          </w:rPr>
          <w:t>http://betterevaluation.org/evaluation-options/propensity_scores</w:t>
        </w:r>
      </w:hyperlink>
      <w:r>
        <w:rPr>
          <w:color w:val="546393" w:themeColor="accent3"/>
        </w:rPr>
        <w:t xml:space="preserve"> </w:t>
      </w:r>
    </w:p>
  </w:footnote>
  <w:footnote w:id="64">
    <w:p w:rsidR="00143584" w:rsidRDefault="00D64125">
      <w:pPr>
        <w:pStyle w:val="FootnoteText"/>
        <w:rPr>
          <w:lang w:val="en-GB"/>
        </w:rPr>
      </w:pPr>
      <w:r>
        <w:rPr>
          <w:rStyle w:val="FootnoteReference"/>
        </w:rPr>
        <w:footnoteRef/>
      </w:r>
      <w:r>
        <w:t xml:space="preserve"> For more information see Guidelines for ex post evaluation of 2007-2013 RDPs, </w:t>
      </w:r>
      <w:hyperlink r:id="rId16">
        <w:r>
          <w:rPr>
            <w:rStyle w:val="Hyperlink"/>
          </w:rPr>
          <w:t>http://enrd.ec.europa.eu/enrd-static/evaluation/library/evaluation-helpdesk-publications/en/evaluation-helpdesk-publications_en.html</w:t>
        </w:r>
      </w:hyperlink>
      <w:r>
        <w:t xml:space="preserve"> .</w:t>
      </w:r>
    </w:p>
  </w:footnote>
  <w:footnote w:id="65">
    <w:p w:rsidR="00143584" w:rsidRDefault="00D64125">
      <w:pPr>
        <w:pStyle w:val="FootnoteText"/>
        <w:rPr>
          <w:lang w:val="sk-SK"/>
        </w:rPr>
      </w:pPr>
      <w:r>
        <w:rPr>
          <w:rStyle w:val="FootnoteReference"/>
        </w:rPr>
        <w:footnoteRef/>
      </w:r>
      <w:r>
        <w:t xml:space="preserve"> Annex VII, point 7 to Commission Implementing Regulation (EU) No 808/2014</w:t>
      </w:r>
    </w:p>
  </w:footnote>
  <w:footnote w:id="66">
    <w:p w:rsidR="00143584" w:rsidRDefault="00D64125">
      <w:pPr>
        <w:pStyle w:val="FootnoteText"/>
        <w:rPr>
          <w:szCs w:val="16"/>
          <w:lang w:val="en-GB"/>
        </w:rPr>
      </w:pPr>
      <w:r>
        <w:rPr>
          <w:rStyle w:val="FootnoteReference"/>
        </w:rPr>
        <w:footnoteRef/>
      </w:r>
      <w:r>
        <w:t xml:space="preserve"> Article 54(2) of Regulation (EU) No 1303/2013 and Article 76(2) of Regulation (EU) No 1305/2013</w:t>
      </w:r>
    </w:p>
  </w:footnote>
  <w:footnote w:id="67">
    <w:p w:rsidR="00143584" w:rsidRDefault="00D64125">
      <w:pPr>
        <w:pStyle w:val="FootnoteText"/>
        <w:rPr>
          <w:color w:val="546393" w:themeColor="accent3"/>
          <w:lang w:val="en-GB"/>
        </w:rPr>
      </w:pPr>
      <w:r>
        <w:rPr>
          <w:rStyle w:val="FootnoteReference"/>
        </w:rPr>
        <w:footnoteRef/>
      </w:r>
      <w:r>
        <w:t xml:space="preserve"> Capturing the success of your RDP: Guidelines for the ex post evaluation of 2007-2013 RDPs, </w:t>
      </w:r>
      <w:hyperlink r:id="rId17" w:history="1">
        <w:r>
          <w:rPr>
            <w:rStyle w:val="Hyperlink"/>
            <w:lang w:val="en-GB"/>
          </w:rPr>
          <w:t>http://enrd.ec.europa.eu/enrd-static/evaluation/library/evaluation-helpdesk-publications/en/evaluation-helpdesk-publications_en.html</w:t>
        </w:r>
      </w:hyperlink>
    </w:p>
  </w:footnote>
  <w:footnote w:id="68">
    <w:p w:rsidR="00143584" w:rsidRDefault="00D64125">
      <w:pPr>
        <w:pStyle w:val="FootnoteText"/>
        <w:rPr>
          <w:lang w:val="sk-SK"/>
        </w:rPr>
      </w:pPr>
      <w:r>
        <w:rPr>
          <w:rStyle w:val="FootnoteReference"/>
        </w:rPr>
        <w:footnoteRef/>
      </w:r>
      <w:r>
        <w:t xml:space="preserve"> E.g. Farm Bird Index (FBI), Farm Accountancy Data Network (FADN).</w:t>
      </w:r>
    </w:p>
  </w:footnote>
  <w:footnote w:id="69">
    <w:p w:rsidR="00143584" w:rsidRDefault="00D64125">
      <w:pPr>
        <w:pStyle w:val="FootnoteText"/>
        <w:rPr>
          <w:lang w:val="en-GB"/>
        </w:rPr>
      </w:pPr>
      <w:r>
        <w:rPr>
          <w:rStyle w:val="FootnoteReference"/>
        </w:rPr>
        <w:footnoteRef/>
      </w:r>
      <w:r>
        <w:t xml:space="preserve"> Annex IV to Commission Implementing Regulation No 808/2014; Working document. Context indicators fiches, Context indicator table and proposed list of common context indicators.</w:t>
      </w:r>
    </w:p>
  </w:footnote>
  <w:footnote w:id="70">
    <w:p w:rsidR="00143584" w:rsidRDefault="00D64125">
      <w:pPr>
        <w:pStyle w:val="FootnoteText"/>
        <w:rPr>
          <w:lang w:val="en-GB"/>
        </w:rPr>
      </w:pPr>
      <w:r>
        <w:rPr>
          <w:rStyle w:val="FootnoteReference"/>
        </w:rPr>
        <w:footnoteRef/>
      </w:r>
      <w:r>
        <w:t xml:space="preserve"> Guidelines for the ex-post evaluation of 2007-2013 RDPs, Part II, page 132.</w:t>
      </w:r>
    </w:p>
  </w:footnote>
  <w:footnote w:id="71">
    <w:p w:rsidR="00143584" w:rsidRDefault="00D64125">
      <w:pPr>
        <w:pStyle w:val="FootnoteText"/>
        <w:rPr>
          <w:lang w:val="en-US"/>
        </w:rPr>
      </w:pPr>
      <w:r>
        <w:rPr>
          <w:rStyle w:val="FootnoteReference"/>
        </w:rPr>
        <w:footnoteRef/>
      </w:r>
      <w:r>
        <w:t xml:space="preserve"> WD: Complementary result indicator fiches for Pillar II, EC, June 2014</w:t>
      </w:r>
    </w:p>
  </w:footnote>
  <w:footnote w:id="72">
    <w:p w:rsidR="00143584" w:rsidRDefault="00D64125">
      <w:pPr>
        <w:pStyle w:val="FootnoteText"/>
        <w:jc w:val="both"/>
        <w:rPr>
          <w:lang w:val="en-GB"/>
        </w:rPr>
      </w:pPr>
      <w:r>
        <w:rPr>
          <w:rStyle w:val="FootnoteReference"/>
        </w:rPr>
        <w:footnoteRef/>
      </w:r>
      <w:r>
        <w:t xml:space="preserve"> The question is if the beneficiaries with completed projects are representative of the total.</w:t>
      </w:r>
    </w:p>
  </w:footnote>
  <w:footnote w:id="73">
    <w:p w:rsidR="00143584" w:rsidRDefault="00D64125">
      <w:pPr>
        <w:spacing w:before="0" w:after="0" w:line="240" w:lineRule="auto"/>
        <w:jc w:val="left"/>
      </w:pPr>
      <w:r>
        <w:rPr>
          <w:rStyle w:val="FootnoteTextChar2"/>
          <w:sz w:val="12"/>
        </w:rPr>
        <w:footnoteRef/>
      </w:r>
      <w:r>
        <w:rPr>
          <w:rStyle w:val="FootnoteTextChar2"/>
        </w:rPr>
        <w:t xml:space="preserve"> Capturing the success of your RDP: Guidelines for the ex post evaluation of 2007-2013 RDPs, PART II, Chapter 4, </w:t>
      </w:r>
      <w:hyperlink r:id="rId18" w:history="1">
        <w:r>
          <w:rPr>
            <w:rStyle w:val="Hyperlink"/>
            <w:sz w:val="16"/>
            <w:szCs w:val="16"/>
          </w:rPr>
          <w:t>http://enrd.ec.europa.eu/enrd-static/evaluation/library/evaluation-helpdesk-publications/en/evaluation-helpdesk-publications_en.html</w:t>
        </w:r>
      </w:hyperlink>
    </w:p>
  </w:footnote>
  <w:footnote w:id="74">
    <w:p w:rsidR="00143584" w:rsidRDefault="00D64125">
      <w:pPr>
        <w:tabs>
          <w:tab w:val="left" w:pos="170"/>
        </w:tabs>
        <w:spacing w:before="0" w:after="0" w:line="180" w:lineRule="exact"/>
        <w:ind w:left="170" w:hanging="170"/>
        <w:rPr>
          <w:rStyle w:val="FootnoteTextChar2"/>
          <w:lang w:val="en-GB"/>
        </w:rPr>
      </w:pPr>
      <w:r>
        <w:rPr>
          <w:rStyle w:val="FootnoteReference"/>
        </w:rPr>
        <w:footnoteRef/>
      </w:r>
      <w:r>
        <w:rPr>
          <w:sz w:val="16"/>
        </w:rPr>
        <w:t xml:space="preserve"> </w:t>
      </w:r>
      <w:r>
        <w:rPr>
          <w:rStyle w:val="FootnoteTextChar2"/>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rsidR="00143584" w:rsidRDefault="00D64125">
      <w:pPr>
        <w:pStyle w:val="FootnoteText"/>
        <w:rPr>
          <w:lang w:val="sk-SK"/>
        </w:rPr>
      </w:pPr>
      <w:r>
        <w:rPr>
          <w:rStyle w:val="FootnoteReference"/>
        </w:rPr>
        <w:footnoteRef/>
      </w:r>
      <w:r>
        <w:t xml:space="preserve"> Also see chapter 5.1 of PART II  in this document</w:t>
      </w:r>
    </w:p>
  </w:footnote>
  <w:footnote w:id="76">
    <w:p w:rsidR="00143584" w:rsidRDefault="00D64125">
      <w:pPr>
        <w:pStyle w:val="FootnoteText"/>
        <w:rPr>
          <w:lang w:val="en-GB"/>
        </w:rPr>
      </w:pPr>
      <w:r>
        <w:rPr>
          <w:rStyle w:val="FootnoteReference"/>
        </w:rPr>
        <w:footnoteRef/>
      </w:r>
      <w: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rsidR="00143584" w:rsidRDefault="00D64125">
      <w:pPr>
        <w:pStyle w:val="FootnoteText"/>
        <w:rPr>
          <w:rFonts w:cs="Arial"/>
          <w:lang w:val="en-US"/>
        </w:rPr>
      </w:pPr>
      <w:r>
        <w:rPr>
          <w:rStyle w:val="FootnoteReference"/>
        </w:rPr>
        <w:footnoteRef/>
      </w:r>
      <w:r>
        <w:t xml:space="preserve"> Приложение VII към</w:t>
      </w:r>
      <w:r>
        <w:rPr>
          <w:lang w:val="en-GB"/>
        </w:rPr>
        <w:t xml:space="preserve"> </w:t>
      </w:r>
      <w:r>
        <w:t>Регламент за изпълнение (ЕС) № 808/2014 на Комисията.</w:t>
      </w:r>
    </w:p>
  </w:footnote>
  <w:footnote w:id="78">
    <w:p w:rsidR="00143584" w:rsidRDefault="00D64125">
      <w:pPr>
        <w:pStyle w:val="HStandard"/>
        <w:spacing w:after="0" w:line="240" w:lineRule="auto"/>
        <w:rPr>
          <w:rFonts w:cs="Arial"/>
          <w:color w:val="6F6F6F" w:themeColor="text1"/>
          <w:lang w:val="en-US"/>
        </w:rPr>
      </w:pPr>
      <w:r>
        <w:rPr>
          <w:rStyle w:val="FootnoteReference"/>
        </w:rPr>
        <w:footnoteRef/>
      </w:r>
      <w:r>
        <w:t xml:space="preserve"> </w:t>
      </w:r>
      <w:r>
        <w:rPr>
          <w:color w:val="6F6F6F" w:themeColor="text1"/>
          <w:sz w:val="16"/>
        </w:rPr>
        <w:t>Тази информация не замества пълния доклад за оценка, който може да продължи да се изготвя в държавите членки, но не се прилага към образеца от SFC.</w:t>
      </w:r>
      <w:r>
        <w:rPr>
          <w:color w:val="6F6F6F" w:themeColor="text1"/>
        </w:rPr>
        <w:t xml:space="preserve">  </w:t>
      </w:r>
    </w:p>
  </w:footnote>
  <w:footnote w:id="79">
    <w:p w:rsidR="00143584" w:rsidRDefault="00D64125">
      <w:pPr>
        <w:pStyle w:val="FootnoteText"/>
        <w:rPr>
          <w:color w:val="6F6F6F" w:themeColor="text1"/>
          <w:szCs w:val="16"/>
          <w:lang w:val="sk-SK"/>
        </w:rPr>
      </w:pPr>
      <w:r>
        <w:rPr>
          <w:rStyle w:val="FootnoteReference"/>
          <w:color w:val="6F6F6F" w:themeColor="text1"/>
        </w:rPr>
        <w:footnoteRef/>
      </w:r>
      <w:r>
        <w:rPr>
          <w:color w:val="6F6F6F" w:themeColor="text1"/>
        </w:rPr>
        <w:t xml:space="preserve"> Този пример е изготвен от Европейското бюро за оценка в областта на развитието на селските райони в консултация със службите на ГД „Земеделие и развитие на селските райони“, а структурата и съдържанието му са обсъдени с държавите членки по време на 8-та и 9-та среща на Експертната група за мониторинг и оценка на ОСП и по време на 28-та и 29-та среща на Комитета за развитие на селските райони.  </w:t>
      </w:r>
    </w:p>
  </w:footnote>
  <w:footnote w:id="80">
    <w:p w:rsidR="00143584" w:rsidRDefault="00D64125">
      <w:pPr>
        <w:pStyle w:val="FootnoteText"/>
        <w:rPr>
          <w:lang w:val="en-US"/>
        </w:rPr>
      </w:pPr>
      <w:r>
        <w:rPr>
          <w:rStyle w:val="FootnoteReference"/>
        </w:rPr>
        <w:footnoteRef/>
      </w:r>
      <w: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rsidR="00143584" w:rsidRDefault="00D64125">
      <w:pPr>
        <w:pStyle w:val="FootnoteText"/>
        <w:jc w:val="both"/>
        <w:rPr>
          <w:lang w:val="en-US"/>
        </w:rPr>
      </w:pPr>
      <w:r>
        <w:rPr>
          <w:rStyle w:val="FootnoteReference"/>
        </w:rPr>
        <w:footnoteRef/>
      </w:r>
      <w:r>
        <w:t xml:space="preserve"> Additional indicators are used if the common indicators are not sufficient to answer the CEQ, and if the success is specified with judgment criteria which are not measured with the common indicators.</w:t>
      </w:r>
    </w:p>
  </w:footnote>
  <w:footnote w:id="82">
    <w:p w:rsidR="00143584" w:rsidRDefault="00D64125">
      <w:pPr>
        <w:pStyle w:val="FootnoteText"/>
        <w:jc w:val="both"/>
        <w:rPr>
          <w:lang w:val="en-US"/>
        </w:rPr>
      </w:pPr>
      <w:r>
        <w:rPr>
          <w:rStyle w:val="FootnoteReference"/>
        </w:rPr>
        <w:footnoteRef/>
      </w:r>
      <w:r>
        <w:t xml:space="preserve"> List judgment criteria used to specify the success of the intervention within the FA. The judgment criteria proposed by the WD:  "Common evaluation questions for rural development programmes 2014-2020" are pre-filled in the table. Stakeholders in MS can propose their own judgment criteria to specify success in line with the specific intervention logic of the FA. In the system for answering the CEQ 1 – 21 one judgment criterion is linked to one result indicator (common or additional).</w:t>
      </w:r>
    </w:p>
  </w:footnote>
  <w:footnote w:id="83">
    <w:p w:rsidR="00143584" w:rsidRDefault="00D64125">
      <w:pPr>
        <w:pStyle w:val="FootnoteText"/>
        <w:jc w:val="both"/>
        <w:rPr>
          <w:lang w:val="en-US"/>
        </w:rPr>
      </w:pPr>
      <w:r>
        <w:rPr>
          <w:rStyle w:val="FootnoteReference"/>
        </w:rPr>
        <w:footnoteRef/>
      </w:r>
      <w:r>
        <w:t xml:space="preserve"> List common result indicators used in answering the CEQ. Ensure that the indicators are listed in a consistent way with the judgment criteria and placed in the same line. </w:t>
      </w:r>
    </w:p>
  </w:footnote>
  <w:footnote w:id="84">
    <w:p w:rsidR="00143584" w:rsidRDefault="00D64125">
      <w:pPr>
        <w:pStyle w:val="FootnoteText"/>
        <w:jc w:val="both"/>
        <w:rPr>
          <w:lang w:val="en-US"/>
        </w:rPr>
      </w:pPr>
      <w:r>
        <w:rPr>
          <w:rStyle w:val="FootnoteReference"/>
        </w:rPr>
        <w:footnoteRef/>
      </w:r>
      <w: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  </w:t>
      </w:r>
    </w:p>
  </w:footnote>
  <w:footnote w:id="85">
    <w:p w:rsidR="00143584" w:rsidRDefault="00D64125">
      <w:pPr>
        <w:pStyle w:val="FootnoteText"/>
        <w:rPr>
          <w:lang w:val="sk-SK"/>
        </w:rPr>
      </w:pPr>
      <w:r>
        <w:rPr>
          <w:rStyle w:val="FootnoteReference"/>
        </w:rPr>
        <w:footnoteRef/>
      </w:r>
      <w: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  </w:t>
      </w:r>
    </w:p>
  </w:footnote>
  <w:footnote w:id="86">
    <w:p w:rsidR="00143584" w:rsidRDefault="00D64125">
      <w:pPr>
        <w:pStyle w:val="FootnoteText"/>
        <w:rPr>
          <w:lang w:val="en-GB"/>
        </w:rPr>
      </w:pPr>
      <w:r>
        <w:rPr>
          <w:rStyle w:val="FootnoteReference"/>
        </w:rPr>
        <w:footnoteRef/>
      </w:r>
      <w: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  </w:t>
      </w:r>
    </w:p>
  </w:footnote>
  <w:footnote w:id="87">
    <w:p w:rsidR="00143584" w:rsidRDefault="00D64125">
      <w:pPr>
        <w:pStyle w:val="FootnoteText"/>
        <w:rPr>
          <w:lang w:val="sk-SK"/>
        </w:rPr>
      </w:pPr>
      <w:r>
        <w:rPr>
          <w:rStyle w:val="FootnoteReference"/>
        </w:rPr>
        <w:footnoteRef/>
      </w:r>
      <w:r>
        <w:t xml:space="preserve"> In case the same method was used for several indicators, the list of these indicators should be provided.</w:t>
      </w:r>
    </w:p>
  </w:footnote>
  <w:footnote w:id="88">
    <w:p w:rsidR="00143584" w:rsidRDefault="00D64125">
      <w:pPr>
        <w:spacing w:after="0" w:line="240" w:lineRule="auto"/>
      </w:pPr>
      <w:r>
        <w:rPr>
          <w:rStyle w:val="FootnoteReference"/>
        </w:rPr>
        <w:footnoteRef/>
      </w:r>
      <w:r>
        <w:rPr>
          <w:rStyle w:val="FootnoteReference"/>
        </w:rPr>
        <w:t xml:space="preserve"> </w:t>
      </w:r>
      <w:r>
        <w:rPr>
          <w:color w:val="808080"/>
          <w:sz w:val="16"/>
        </w:rPr>
        <w:t>Explain the reasons why qualitative methods have been used to assess the RDP results linked to FA 2A - introductory qualitative analysis, triangulation of quantitative findings, no data available (e.g. no RDP uptake under the FA 2A), etc.</w:t>
      </w:r>
      <w:r>
        <w:rPr>
          <w:sz w:val="16"/>
        </w:rPr>
        <w:t xml:space="preserve"> </w:t>
      </w:r>
    </w:p>
  </w:footnote>
  <w:footnote w:id="89">
    <w:p w:rsidR="00143584" w:rsidRDefault="00D64125">
      <w:pPr>
        <w:pStyle w:val="FootnoteText"/>
        <w:jc w:val="both"/>
        <w:rPr>
          <w:lang w:val="en-US"/>
        </w:rPr>
      </w:pPr>
      <w:r>
        <w:rPr>
          <w:rStyle w:val="FootnoteReference"/>
        </w:rPr>
        <w:footnoteRef/>
      </w:r>
      <w:r>
        <w:t xml:space="preserve"> In case the same method was used for several indicators, the list of these indicators should be provided.</w:t>
      </w:r>
    </w:p>
  </w:footnote>
  <w:footnote w:id="90">
    <w:p w:rsidR="00143584" w:rsidRDefault="00D64125">
      <w:pPr>
        <w:pStyle w:val="FootnoteText"/>
        <w:rPr>
          <w:lang w:val="sk-SK"/>
        </w:rPr>
      </w:pPr>
      <w:r>
        <w:rPr>
          <w:rStyle w:val="FootnoteReference"/>
        </w:rPr>
        <w:footnoteRef/>
      </w:r>
      <w:r>
        <w:t xml:space="preserve"> Values are based on the quantitative methods decsribed above (complementary result indicators or additional indicators),  or on the values collected via operations database (target indicators)</w:t>
      </w:r>
    </w:p>
  </w:footnote>
  <w:footnote w:id="91">
    <w:p w:rsidR="00143584" w:rsidRDefault="00D64125">
      <w:pPr>
        <w:pStyle w:val="FootnoteText"/>
        <w:jc w:val="both"/>
        <w:rPr>
          <w:lang w:val="en-US"/>
        </w:rPr>
      </w:pPr>
      <w:r>
        <w:rPr>
          <w:rStyle w:val="FootnoteReference"/>
        </w:rPr>
        <w:footnoteRef/>
      </w:r>
      <w: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rsidR="00143584" w:rsidRDefault="00D64125">
      <w:pPr>
        <w:pStyle w:val="FootnoteText"/>
        <w:rPr>
          <w:rFonts w:cs="Arial"/>
          <w:color w:val="6E6E6E" w:themeColor="background1" w:themeShade="80"/>
          <w:szCs w:val="16"/>
          <w:lang w:val="en-GB"/>
        </w:rPr>
      </w:pPr>
      <w:r>
        <w:rPr>
          <w:rStyle w:val="FootnoteReference"/>
        </w:rPr>
        <w:footnoteRef/>
      </w:r>
      <w:r>
        <w:t xml:space="preserve"> This column is filled for the following result indicators: R1/T4 and </w:t>
      </w:r>
      <w:r>
        <w:rPr>
          <w:color w:val="6E6E6E" w:themeColor="background1" w:themeShade="80"/>
        </w:rPr>
        <w:t xml:space="preserve">for additional indicators, if they are expressed in ratio values. If there are secondary contributions or LEADER/CLLD contributions to the value of indicator, please explain under point 6 “Answer to evaluation questions”. </w:t>
      </w:r>
    </w:p>
  </w:footnote>
  <w:footnote w:id="93">
    <w:p w:rsidR="00143584" w:rsidRDefault="00D64125">
      <w:pPr>
        <w:pStyle w:val="ListParagraph"/>
        <w:spacing w:after="0" w:line="240" w:lineRule="auto"/>
        <w:ind w:left="0" w:firstLine="0"/>
        <w:jc w:val="both"/>
        <w:rPr>
          <w:rFonts w:ascii="Arial" w:hAnsi="Arial" w:cs="Arial"/>
          <w:snapToGrid/>
          <w:color w:val="808080"/>
          <w:sz w:val="16"/>
          <w:szCs w:val="16"/>
        </w:rPr>
      </w:pPr>
      <w:r>
        <w:rPr>
          <w:rStyle w:val="FootnoteReference"/>
          <w:snapToGrid/>
          <w:color w:val="6E6E6E" w:themeColor="background1" w:themeShade="80"/>
        </w:rPr>
        <w:footnoteRef/>
      </w:r>
      <w:r>
        <w:rPr>
          <w:i/>
          <w:color w:val="6E6E6E" w:themeColor="background1" w:themeShade="80"/>
          <w:sz w:val="16"/>
        </w:rPr>
        <w:t xml:space="preserve"> </w:t>
      </w:r>
      <w:r>
        <w:rPr>
          <w:rFonts w:ascii="Arial" w:hAnsi="Arial"/>
          <w:snapToGrid/>
          <w:color w:val="6E6E6E" w:themeColor="background1" w:themeShade="80"/>
          <w:sz w:val="16"/>
        </w:rPr>
        <w:t xml:space="preserve">The gross value of complementary result indicator R2 is provided here. The gross value of used additional result indicators and common context indicators is inserted here as well, if </w:t>
      </w:r>
      <w:r>
        <w:rPr>
          <w:rFonts w:ascii="Arial" w:hAnsi="Arial"/>
          <w:color w:val="6E6E6E" w:themeColor="background1" w:themeShade="80"/>
          <w:sz w:val="16"/>
        </w:rPr>
        <w:t xml:space="preserve">they are not expressed in ratio values. Gross value is the value of indicator observed within the group of RDP beneficiaries. The </w:t>
      </w:r>
      <w:r>
        <w:rPr>
          <w:rFonts w:ascii="Arial" w:hAnsi="Arial"/>
          <w:snapToGrid/>
          <w:color w:val="808080"/>
          <w:sz w:val="16"/>
        </w:rPr>
        <w:t>gross value of indicator is inserted also in case the net value has been inserted in the table.</w:t>
      </w:r>
    </w:p>
  </w:footnote>
  <w:footnote w:id="94">
    <w:p w:rsidR="00143584" w:rsidRDefault="00D64125">
      <w:pPr>
        <w:pStyle w:val="FootnoteText"/>
        <w:rPr>
          <w:rFonts w:cs="Arial"/>
          <w:color w:val="6E6E6E" w:themeColor="background1" w:themeShade="80"/>
          <w:szCs w:val="16"/>
          <w:lang w:val="en-GB"/>
        </w:rPr>
      </w:pPr>
      <w:r>
        <w:rPr>
          <w:i/>
          <w:sz w:val="12"/>
        </w:rPr>
        <w:footnoteRef/>
      </w:r>
      <w:r>
        <w:rPr>
          <w:sz w:val="12"/>
        </w:rPr>
        <w:t xml:space="preserve"> </w:t>
      </w:r>
      <w:r>
        <w:t>T</w:t>
      </w:r>
      <w:r>
        <w:rPr>
          <w:color w:val="6E6E6E" w:themeColor="background1" w:themeShade="80"/>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rsidR="00143584" w:rsidRDefault="00D64125">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i/>
          <w:color w:val="6E6E6E" w:themeColor="background1" w:themeShade="80"/>
          <w:sz w:val="16"/>
        </w:rPr>
        <w:t xml:space="preserve"> </w:t>
      </w:r>
      <w:r>
        <w:rPr>
          <w:rFonts w:ascii="Arial" w:hAnsi="Arial"/>
          <w:snapToGrid/>
          <w:color w:val="6E6E6E" w:themeColor="background1" w:themeShade="80"/>
          <w:sz w:val="16"/>
        </w:rPr>
        <w:t xml:space="preserve">All data and information sources used for calculation of indicators should be listed here, e.g. Pillar II operations database, EU/national/regional statics, GIS, etc. </w:t>
      </w:r>
    </w:p>
  </w:footnote>
  <w:footnote w:id="96">
    <w:p w:rsidR="00143584" w:rsidRDefault="00D64125">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rFonts w:ascii="Arial" w:hAnsi="Arial"/>
          <w:snapToGrid/>
          <w:color w:val="6E6E6E" w:themeColor="background1" w:themeShade="80"/>
          <w:sz w:val="16"/>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rsidR="00143584" w:rsidRDefault="00D64125">
      <w:pPr>
        <w:pStyle w:val="FootnoteText"/>
        <w:rPr>
          <w:rFonts w:cs="Arial"/>
          <w:color w:val="6E6E6E" w:themeColor="background1" w:themeShade="80"/>
          <w:szCs w:val="16"/>
          <w:lang w:val="en-GB"/>
        </w:rPr>
      </w:pPr>
      <w:r>
        <w:rPr>
          <w:rStyle w:val="FootnoteReference"/>
        </w:rPr>
        <w:footnoteRef/>
      </w:r>
      <w:r>
        <w:rPr>
          <w:i/>
          <w:color w:val="6E6E6E" w:themeColor="background1" w:themeShade="80"/>
        </w:rPr>
        <w:t xml:space="preserve"> </w:t>
      </w:r>
      <w:r>
        <w:rPr>
          <w:color w:val="6E6E6E" w:themeColor="background1" w:themeShade="80"/>
        </w:rPr>
        <w:t>Values of common complementary result indicators are collected separately for numerator and denominator</w:t>
      </w:r>
    </w:p>
  </w:footnote>
  <w:footnote w:id="98">
    <w:p w:rsidR="00143584" w:rsidRDefault="00D64125">
      <w:pPr>
        <w:pStyle w:val="FootnoteText"/>
        <w:jc w:val="both"/>
        <w:rPr>
          <w:rFonts w:cs="Arial"/>
          <w:lang w:val="en-GB"/>
        </w:rPr>
      </w:pPr>
      <w:r>
        <w:rPr>
          <w:rStyle w:val="FootnoteReference"/>
        </w:rPr>
        <w:footnoteRef/>
      </w:r>
      <w:r>
        <w:rPr>
          <w:rStyle w:val="FootnoteReference"/>
        </w:rPr>
        <w:t xml:space="preserve"> </w:t>
      </w:r>
      <w:r>
        <w:t>Additional indicators are optional and developed in MS to answer common evaluation questions in case the common indicators are considered insufficient for this purpose.</w:t>
      </w:r>
    </w:p>
  </w:footnote>
  <w:footnote w:id="99">
    <w:p w:rsidR="00143584" w:rsidRDefault="00D64125">
      <w:pPr>
        <w:pStyle w:val="FootnoteText"/>
        <w:jc w:val="both"/>
        <w:rPr>
          <w:lang w:val="en-GB"/>
        </w:rPr>
      </w:pPr>
      <w:r>
        <w:rPr>
          <w:rStyle w:val="FootnoteReference"/>
        </w:rPr>
        <w:footnoteRef/>
      </w:r>
      <w:r>
        <w:t xml:space="preserve"> The common context indicators can be also used to answer common evaluation questions if relevant (e. g. CCI 14, CCI 17, CCI 26).  </w:t>
      </w:r>
    </w:p>
  </w:footnote>
  <w:footnote w:id="100">
    <w:p w:rsidR="00143584" w:rsidRDefault="00D64125">
      <w:pPr>
        <w:pStyle w:val="FootnoteText"/>
        <w:jc w:val="both"/>
        <w:rPr>
          <w:rFonts w:asciiTheme="minorHAnsi" w:hAnsiTheme="minorHAnsi"/>
          <w:lang w:val="en-US"/>
        </w:rPr>
      </w:pPr>
      <w:r>
        <w:rPr>
          <w:rStyle w:val="FootnoteReference"/>
        </w:rPr>
        <w:footnoteRef/>
      </w:r>
      <w:r>
        <w:t xml:space="preserve"> Explain problems faced by the evaluator during the assessment, e.g. data and information availability, timing and coordination issues, etc. which might have threatened the reliability and validity of evaluation findings.  </w:t>
      </w:r>
    </w:p>
  </w:footnote>
  <w:footnote w:id="101">
    <w:p w:rsidR="00143584" w:rsidRDefault="00D64125">
      <w:pPr>
        <w:pStyle w:val="FootnoteText"/>
        <w:rPr>
          <w:lang w:val="en-GB"/>
        </w:rPr>
      </w:pPr>
      <w:r>
        <w:rPr>
          <w:rStyle w:val="FootnoteReference"/>
        </w:rPr>
        <w:footnoteRef/>
      </w:r>
      <w:r>
        <w:t xml:space="preserve"> On the basis of the evidence resulting from the analysis presented under points 3 and 4.</w:t>
      </w:r>
    </w:p>
  </w:footnote>
  <w:footnote w:id="102">
    <w:p w:rsidR="00143584" w:rsidRDefault="00D64125">
      <w:pPr>
        <w:pStyle w:val="FootnoteText"/>
        <w:rPr>
          <w:lang w:val="en-GB"/>
        </w:rPr>
      </w:pPr>
      <w:r>
        <w:rPr>
          <w:rStyle w:val="FootnoteReference"/>
        </w:rPr>
        <w:footnoteRef/>
      </w:r>
      <w:r>
        <w:t xml:space="preserve"> On the basis of the information collected under points 3 and 4 the answer given under point 6.</w:t>
      </w:r>
    </w:p>
  </w:footnote>
  <w:footnote w:id="103">
    <w:p w:rsidR="00143584" w:rsidRDefault="00D64125">
      <w:pPr>
        <w:pStyle w:val="FootnoteText"/>
        <w:rPr>
          <w:lang w:val="en-US"/>
        </w:rPr>
      </w:pPr>
      <w:r>
        <w:rPr>
          <w:rStyle w:val="FootnoteReference"/>
        </w:rPr>
        <w:footnoteRef/>
      </w:r>
      <w:r>
        <w:t xml:space="preserve"> Тук се включват също така мерките/подмерките, които са показали вторични ефекти при оценяването, а не само онези, за които е било планирано да допринесат допълнително към области с поставен акцент, различни от програмираните при проектирането на програмата.</w:t>
      </w:r>
    </w:p>
  </w:footnote>
  <w:footnote w:id="104">
    <w:p w:rsidR="00143584" w:rsidRDefault="00D64125">
      <w:pPr>
        <w:pStyle w:val="FootnoteText"/>
        <w:rPr>
          <w:lang w:val="en-US"/>
        </w:rPr>
      </w:pPr>
      <w:r>
        <w:rPr>
          <w:rStyle w:val="FootnoteReference"/>
        </w:rPr>
        <w:footnoteRef/>
      </w:r>
      <w:r>
        <w:t xml:space="preserve"> Допълнителни показатели се използват, ако общите показатели не са достатъчни, за да се отговори на ОВО, и ако успехът се установява с критерии за преценка, които не се измерват с общите показатели.</w:t>
      </w:r>
    </w:p>
  </w:footnote>
  <w:footnote w:id="105">
    <w:p w:rsidR="00143584" w:rsidRDefault="00D64125">
      <w:pPr>
        <w:pStyle w:val="FootnoteText"/>
      </w:pPr>
      <w:r>
        <w:rPr>
          <w:rStyle w:val="FootnoteReference"/>
        </w:rPr>
        <w:footnoteRef/>
      </w:r>
      <w:r>
        <w:t xml:space="preserve"> Посочете критериите за преценка, използвани за установяване на успеха на интервенцията в рамките на ОПА. Критериите за преценка, предложени с Работен документ: „Общи въпроси за оценка на програмите за развитие на селските райони за периода 2014—2020 г.“, са попълнени в таблицата предварително. Заинтересованите страни в ДЧ може да предлагат свои собствени критерии за преценка за установяване на успеха в съответствие с конкретната интервенционна логика на ОПА. В системата за отговори на ОВО с номера 1—21 един критерий за оценка е свързан с един показател за резултатите (общ или допълнителен).</w:t>
      </w:r>
    </w:p>
  </w:footnote>
  <w:footnote w:id="106">
    <w:p w:rsidR="00143584" w:rsidRDefault="00D64125">
      <w:pPr>
        <w:pStyle w:val="FootnoteText"/>
      </w:pPr>
      <w:r>
        <w:rPr>
          <w:rStyle w:val="FootnoteReference"/>
        </w:rPr>
        <w:footnoteRef/>
      </w:r>
      <w:r>
        <w:t xml:space="preserve"> Посочете общите показатели за резултатите, използвани за отговор на ОВО. Уверете се, че показателите са изброени съгласувано с критериите за преценка и са поставени в същия ред. </w:t>
      </w:r>
    </w:p>
  </w:footnote>
  <w:footnote w:id="107">
    <w:p w:rsidR="00143584" w:rsidRDefault="00D64125">
      <w:pPr>
        <w:pStyle w:val="FootnoteText"/>
      </w:pPr>
      <w:r>
        <w:rPr>
          <w:rStyle w:val="FootnoteReference"/>
        </w:rPr>
        <w:footnoteRef/>
      </w:r>
      <w:r>
        <w:t xml:space="preserve"> Посочете допълнителните показатели, използвани за отговор на ОВО. Уверете се, че критериите за преценка са изброени съгласувано с допълнителните показатели и са поставени в същия ред. Допълнителните показатели, попълнени в тази колона, са предложените като „допълнителна информация“ в Работен документ: „Общи въпроси за оценка на програмите за развитие на селските райони за периода 2014—2020 г.“. ДЧ може да използват свои собствени допълнителни показатели и информация, ако считат, че предварително попълнените не са релевантни за конкретната ПРСР.    </w:t>
      </w:r>
    </w:p>
  </w:footnote>
  <w:footnote w:id="108">
    <w:p w:rsidR="00143584" w:rsidRDefault="00D64125">
      <w:pPr>
        <w:pStyle w:val="FootnoteText"/>
        <w:rPr>
          <w:lang w:val="sk-SK"/>
        </w:rPr>
      </w:pPr>
      <w:r>
        <w:rPr>
          <w:rStyle w:val="FootnoteReference"/>
        </w:rPr>
        <w:footnoteRef/>
      </w:r>
      <w:r>
        <w:t xml:space="preserve"> Ако е използван един и същ метод за отговор на няколко въпроса за оценка, не е необходимо описанието да се повтаря във всички съответни таблици. Достатъчно е само да се включи препратка към съответната таблица от образеца от SFC, точка 7, където методът е описан подробно.</w:t>
      </w:r>
    </w:p>
  </w:footnote>
  <w:footnote w:id="109">
    <w:p w:rsidR="00143584" w:rsidRDefault="00D64125">
      <w:pPr>
        <w:pStyle w:val="FootnoteText"/>
        <w:rPr>
          <w:lang w:val="sk-SK"/>
        </w:rPr>
      </w:pPr>
      <w:r>
        <w:rPr>
          <w:rStyle w:val="FootnoteReference"/>
        </w:rPr>
        <w:footnoteRef/>
      </w:r>
      <w:r>
        <w:t xml:space="preserve"> Количествените методи са приложими за оценяването на всички показатели за допълнителни резултати и всички други показатели, включително допълнителните, освен онези, които се измерват в абсолютни стойности и като съотношение и които може да бъдат получени направо от системата за мониторинг.  </w:t>
      </w:r>
    </w:p>
  </w:footnote>
  <w:footnote w:id="110">
    <w:p w:rsidR="00143584" w:rsidRDefault="00D64125">
      <w:pPr>
        <w:pStyle w:val="FootnoteText"/>
        <w:rPr>
          <w:lang w:val="sk-SK"/>
        </w:rPr>
      </w:pPr>
      <w:r>
        <w:rPr>
          <w:rStyle w:val="FootnoteReference"/>
        </w:rPr>
        <w:footnoteRef/>
      </w:r>
      <w:r>
        <w:t xml:space="preserve"> Ако е използван един и същ метод за няколко показателя, трябва да се представи списък на тези показатели.</w:t>
      </w:r>
    </w:p>
  </w:footnote>
  <w:footnote w:id="111">
    <w:p w:rsidR="00143584" w:rsidRDefault="00D64125">
      <w:pPr>
        <w:spacing w:after="0"/>
        <w:rPr>
          <w:color w:val="808080"/>
          <w:sz w:val="16"/>
          <w:szCs w:val="20"/>
          <w:lang w:val="sk-SK"/>
        </w:rPr>
      </w:pPr>
      <w:r>
        <w:rPr>
          <w:rStyle w:val="FootnoteReference"/>
        </w:rPr>
        <w:footnoteRef/>
      </w:r>
      <w:r>
        <w:rPr>
          <w:sz w:val="20"/>
        </w:rPr>
        <w:t xml:space="preserve"> </w:t>
      </w:r>
      <w:r>
        <w:rPr>
          <w:color w:val="808080"/>
          <w:sz w:val="16"/>
        </w:rPr>
        <w:t xml:space="preserve">Следва да се обяснят причините, поради които са използвани качествени методи за оценяване на резултатите от ПРСР във връзка с ОПА 2А — въвеждащ качествен анализ, триангулация на количествените констатации, липса на данни (например няма усвояване по ПРСР в ОПА 2А) и т.н. </w:t>
      </w:r>
    </w:p>
  </w:footnote>
  <w:footnote w:id="112">
    <w:p w:rsidR="00143584" w:rsidRDefault="00D64125">
      <w:pPr>
        <w:pStyle w:val="FootnoteText"/>
        <w:rPr>
          <w:lang w:val="sk-SK"/>
        </w:rPr>
      </w:pPr>
      <w:r>
        <w:rPr>
          <w:rStyle w:val="FootnoteReference"/>
        </w:rPr>
        <w:footnoteRef/>
      </w:r>
      <w:r>
        <w:t xml:space="preserve"> Ако е използван един и същ метод за няколко показателя, трябва да се представи списък на тези показатели.</w:t>
      </w:r>
    </w:p>
  </w:footnote>
  <w:footnote w:id="113">
    <w:p w:rsidR="00143584" w:rsidRDefault="00D64125">
      <w:pPr>
        <w:pStyle w:val="FootnoteText"/>
        <w:rPr>
          <w:lang w:val="sk-SK"/>
        </w:rPr>
      </w:pPr>
      <w:r>
        <w:rPr>
          <w:rStyle w:val="FootnoteReference"/>
        </w:rPr>
        <w:footnoteRef/>
      </w:r>
      <w:r>
        <w:t xml:space="preserve"> Стойностите се базират на гореописаните количествени методи (показатели за допълнителни резултати или допълнителни показатели) или на стойностите, събрани чрез базата данни на операциите (целеви показатели).</w:t>
      </w:r>
    </w:p>
  </w:footnote>
  <w:footnote w:id="114">
    <w:p w:rsidR="00143584" w:rsidRDefault="00D64125">
      <w:pPr>
        <w:pStyle w:val="FootnoteText"/>
        <w:jc w:val="both"/>
        <w:rPr>
          <w:lang w:val="sk-SK"/>
        </w:rPr>
      </w:pPr>
      <w:r>
        <w:rPr>
          <w:rStyle w:val="FootnoteReference"/>
        </w:rPr>
        <w:footnoteRef/>
      </w:r>
      <w:r>
        <w:t xml:space="preserve"> Стойността е обобщена от базата данни на операциите по стълб II за показателите за крайните продукти и/или от статистически бази данни за общите показатели за контекста или допълнителните показатели, ако са използвани такива за отговор на общите въпроси за оценка.</w:t>
      </w:r>
    </w:p>
  </w:footnote>
  <w:footnote w:id="115">
    <w:p w:rsidR="00143584" w:rsidRDefault="00D64125">
      <w:pPr>
        <w:pStyle w:val="FootnoteText"/>
        <w:rPr>
          <w:rFonts w:cs="Arial"/>
          <w:color w:val="808080" w:themeColor="accent1" w:themeShade="80"/>
          <w:szCs w:val="16"/>
        </w:rPr>
      </w:pPr>
      <w:r>
        <w:rPr>
          <w:rStyle w:val="FootnoteReference"/>
        </w:rPr>
        <w:footnoteRef/>
      </w:r>
      <w:r>
        <w:t xml:space="preserve"> Тази колона се попълва за следните показатели за резултатите: R1/T4 </w:t>
      </w:r>
      <w:r>
        <w:rPr>
          <w:color w:val="808080" w:themeColor="accent1" w:themeShade="80"/>
        </w:rPr>
        <w:t>и за допълнителните показатели, ако са изразени като съотношение.</w:t>
      </w:r>
      <w:r>
        <w:rPr>
          <w:color w:val="6E6E6E" w:themeColor="background1" w:themeShade="80"/>
        </w:rPr>
        <w:t xml:space="preserve"> Ако към стойността на показателя е налице вторичен принос или принос от ВОМР по LEADER, това следва да се обясни в точка 6 „Отговор на въпросите за оценка“.</w:t>
      </w:r>
    </w:p>
  </w:footnote>
  <w:footnote w:id="116">
    <w:p w:rsidR="00143584" w:rsidRDefault="00D64125">
      <w:pPr>
        <w:pStyle w:val="ListParagraph"/>
        <w:tabs>
          <w:tab w:val="clear" w:pos="709"/>
        </w:tabs>
        <w:spacing w:after="0" w:line="240" w:lineRule="auto"/>
        <w:ind w:left="284" w:hanging="284"/>
        <w:rPr>
          <w:rFonts w:ascii="Arial" w:hAnsi="Arial" w:cs="Arial"/>
          <w:snapToGrid/>
          <w:color w:val="808080"/>
          <w:sz w:val="16"/>
          <w:szCs w:val="20"/>
        </w:rPr>
      </w:pPr>
      <w:r>
        <w:rPr>
          <w:rStyle w:val="FootnoteReference"/>
          <w:snapToGrid/>
          <w:color w:val="808080" w:themeColor="accent1" w:themeShade="80"/>
        </w:rPr>
        <w:footnoteRef/>
      </w:r>
      <w:r>
        <w:rPr>
          <w:i/>
          <w:color w:val="808080" w:themeColor="accent1" w:themeShade="80"/>
          <w:sz w:val="16"/>
        </w:rPr>
        <w:t xml:space="preserve"> </w:t>
      </w:r>
      <w:r>
        <w:rPr>
          <w:rFonts w:ascii="Arial" w:hAnsi="Arial"/>
          <w:snapToGrid/>
          <w:color w:val="808080" w:themeColor="accent1" w:themeShade="80"/>
          <w:sz w:val="16"/>
        </w:rPr>
        <w:t xml:space="preserve"> Тук се посочва брутната стойност на показателя за допълнителни резултати R2. Брутната стойност на използваните допълнителни показатели за резултатите и общи показатели за контекста също се посочва тук, ако не е изразена като съотношение. Брутната стойност е стойността на показателя, който е наблюдаван в рамките на групата бенефициери по ПРСР. Брутната стойност на показателя се посочва и когато в таблицата е посочена нетната стойност.</w:t>
      </w:r>
    </w:p>
  </w:footnote>
  <w:footnote w:id="117">
    <w:p w:rsidR="00143584" w:rsidRDefault="00D64125">
      <w:pPr>
        <w:pStyle w:val="FootnoteText"/>
        <w:rPr>
          <w:rFonts w:cs="Arial"/>
        </w:rPr>
      </w:pPr>
      <w:r>
        <w:rPr>
          <w:i/>
          <w:sz w:val="12"/>
        </w:rPr>
        <w:footnoteRef/>
      </w:r>
      <w:r>
        <w:t xml:space="preserve"> Тук се посочва нетната стойност на показателя за допълнителни резултати R2 (ако е било възможно да се изчисли). Нетната стойност на използваните общи показатели за контекста също се посочва тук, ако не е изразена като съотношение. Нетната стойност е стойността на показателя, която се дължи на интервенцията по ПРСР. Вж. насоките, озаглавени „Оценка на резултатите от ПРСР“, глава 7.2. </w:t>
      </w:r>
      <w:r>
        <w:rPr>
          <w:color w:val="6E6E6E" w:themeColor="background1" w:themeShade="80"/>
        </w:rPr>
        <w:t>Ако към стойността на показателя е налице вторичен принос или принос от ВОМР по LEADER, това следва да се обясни в точка 6 „Отговор на въпросите за оценка“.</w:t>
      </w:r>
    </w:p>
  </w:footnote>
  <w:footnote w:id="118">
    <w:p w:rsidR="00143584" w:rsidRDefault="00D64125">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rStyle w:val="FootnoteReference"/>
          <w:snapToGrid/>
        </w:rPr>
        <w:t xml:space="preserve"> </w:t>
      </w:r>
      <w:r>
        <w:rPr>
          <w:rFonts w:ascii="Arial" w:hAnsi="Arial"/>
          <w:snapToGrid/>
          <w:color w:val="808080"/>
          <w:sz w:val="16"/>
        </w:rPr>
        <w:t xml:space="preserve">Тук трябва да бъдат изброени всички източници на данни и информация, използвани за изчисляване на показателите, например база данни на операциите по стълб II, ЕС/национална/регионална статистика, ГИС и т.н. </w:t>
      </w:r>
    </w:p>
  </w:footnote>
  <w:footnote w:id="119">
    <w:p w:rsidR="00143584" w:rsidRDefault="00D64125">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i/>
          <w:sz w:val="16"/>
        </w:rPr>
        <w:t xml:space="preserve"> </w:t>
      </w:r>
      <w:r>
        <w:rPr>
          <w:rFonts w:ascii="Arial" w:hAnsi="Arial"/>
          <w:snapToGrid/>
          <w:color w:val="808080"/>
          <w:sz w:val="16"/>
        </w:rPr>
        <w:t>Общите показатели за крайните продукти също може да се използват, особено ако стойността на показателя за крайните продукти е необходима за изчисляването на показателя за резултатите или дава важна информация за отговор на въпроса за оценка, например брой на подпомаганите стопанства/операции (О3 и О4), подпомагана физическа площ (О6), брой на подпомаганите животински единици (О8) и т.н. Изборът на показатели за крайните продукти с цел да се отговори на въпроса за оценка се извършва от ДЧ.</w:t>
      </w:r>
    </w:p>
  </w:footnote>
  <w:footnote w:id="120">
    <w:p w:rsidR="00143584" w:rsidRDefault="00D64125">
      <w:pPr>
        <w:pStyle w:val="FootnoteText"/>
        <w:rPr>
          <w:rFonts w:cs="Arial"/>
        </w:rPr>
      </w:pPr>
      <w:r>
        <w:rPr>
          <w:rStyle w:val="FootnoteReference"/>
        </w:rPr>
        <w:footnoteRef/>
      </w:r>
      <w:r>
        <w:rPr>
          <w:rStyle w:val="FootnoteReference"/>
        </w:rPr>
        <w:t xml:space="preserve"> </w:t>
      </w:r>
      <w:r>
        <w:t>Стойностите на общите показатели за допълнителни резултати се събират поотделно за числителя и знаменателя.</w:t>
      </w:r>
    </w:p>
  </w:footnote>
  <w:footnote w:id="121">
    <w:p w:rsidR="00143584" w:rsidRDefault="00D64125">
      <w:pPr>
        <w:pStyle w:val="FootnoteText"/>
        <w:jc w:val="both"/>
        <w:rPr>
          <w:rFonts w:cs="Arial"/>
        </w:rPr>
      </w:pPr>
      <w:r>
        <w:rPr>
          <w:rStyle w:val="FootnoteReference"/>
        </w:rPr>
        <w:footnoteRef/>
      </w:r>
      <w:r>
        <w:rPr>
          <w:rStyle w:val="FootnoteReference"/>
        </w:rPr>
        <w:t xml:space="preserve"> </w:t>
      </w:r>
      <w:r>
        <w:t>Допълнителните показатели не са задължителни и се разработват от ДЧ, за да се отговори на общите въпроси за оценка, когато се счита, че общите показатели не са достатъчни за тази цел.</w:t>
      </w:r>
    </w:p>
  </w:footnote>
  <w:footnote w:id="122">
    <w:p w:rsidR="00143584" w:rsidRDefault="00D64125">
      <w:pPr>
        <w:pStyle w:val="FootnoteText"/>
        <w:jc w:val="both"/>
      </w:pPr>
      <w:r>
        <w:rPr>
          <w:rStyle w:val="FootnoteReference"/>
        </w:rPr>
        <w:footnoteRef/>
      </w:r>
      <w:r>
        <w:t xml:space="preserve"> Общите показатели за контекста също може да се използват, за да се отговори на общите въпроси за оценка, ако е целесъобразно (например ОПК 14, ОПК 17, ОПК 26).  </w:t>
      </w:r>
    </w:p>
  </w:footnote>
  <w:footnote w:id="123">
    <w:p w:rsidR="00143584" w:rsidRDefault="00D64125">
      <w:pPr>
        <w:pStyle w:val="FootnoteText"/>
        <w:rPr>
          <w:lang w:val="sk-SK"/>
        </w:rPr>
      </w:pPr>
      <w:r>
        <w:rPr>
          <w:rStyle w:val="FootnoteReference"/>
        </w:rPr>
        <w:footnoteRef/>
      </w:r>
      <w:r>
        <w:t xml:space="preserve"> Следва да се обяснят проблемите, с които се е сблъскал оценителят по време на оценяването, например наличие на данни и информация, проблеми със сроковете и координацията и т.н., които може да са застрашили надеждността и действителността на констатациите от оценката.  </w:t>
      </w:r>
    </w:p>
  </w:footnote>
  <w:footnote w:id="124">
    <w:p w:rsidR="00143584" w:rsidRDefault="00D64125">
      <w:pPr>
        <w:pStyle w:val="FootnoteText"/>
        <w:rPr>
          <w:lang w:val="sk-SK"/>
        </w:rPr>
      </w:pPr>
      <w:r>
        <w:rPr>
          <w:rStyle w:val="FootnoteReference"/>
        </w:rPr>
        <w:footnoteRef/>
      </w:r>
      <w:r>
        <w:t xml:space="preserve"> Въз основа на данните, получени от анализа, представен по точки 3 и 4.</w:t>
      </w:r>
    </w:p>
  </w:footnote>
  <w:footnote w:id="125">
    <w:p w:rsidR="00143584" w:rsidRDefault="00D64125">
      <w:pPr>
        <w:pStyle w:val="FootnoteText"/>
        <w:rPr>
          <w:lang w:val="sk-SK"/>
        </w:rPr>
      </w:pPr>
      <w:r>
        <w:rPr>
          <w:rStyle w:val="FootnoteReference"/>
        </w:rPr>
        <w:footnoteRef/>
      </w:r>
      <w:r>
        <w:t xml:space="preserve"> На база на информацията, събрана по точки 3 и 4, и отговора, даден по точка 6.</w:t>
      </w:r>
    </w:p>
  </w:footnote>
  <w:footnote w:id="126">
    <w:p w:rsidR="00143584" w:rsidRDefault="00D64125">
      <w:pPr>
        <w:pStyle w:val="FootnoteText"/>
        <w:rPr>
          <w:lang w:val="en-US"/>
        </w:rPr>
      </w:pPr>
      <w:r>
        <w:rPr>
          <w:rStyle w:val="FootnoteReference"/>
        </w:rPr>
        <w:footnoteRef/>
      </w:r>
      <w:r>
        <w:t xml:space="preserve"> Insert the number and title of the programme specific focus area, e.g. 2C – “Improving the economic performance and market participation of forestry enterprises”</w:t>
      </w:r>
    </w:p>
  </w:footnote>
  <w:footnote w:id="127">
    <w:p w:rsidR="00143584" w:rsidRDefault="00D64125">
      <w:pPr>
        <w:pStyle w:val="FootnoteText"/>
        <w:rPr>
          <w:lang w:val="en-US"/>
        </w:rPr>
      </w:pPr>
      <w:r>
        <w:rPr>
          <w:rStyle w:val="FootnoteReference"/>
        </w:rPr>
        <w:footnoteRef/>
      </w:r>
      <w:r>
        <w:t xml:space="preserve"> Insert the title of programme specific evaluation question, e.g. “To what extent have the RDP interventions supported the improvement of economic performance and market participation of forestry enterprises?”</w:t>
      </w:r>
    </w:p>
  </w:footnote>
  <w:footnote w:id="128">
    <w:p w:rsidR="00143584" w:rsidRDefault="00D64125">
      <w:pPr>
        <w:pStyle w:val="FootnoteText"/>
        <w:rPr>
          <w:lang w:val="en-US"/>
        </w:rPr>
      </w:pPr>
      <w:r>
        <w:rPr>
          <w:rStyle w:val="FootnoteReference"/>
        </w:rPr>
        <w:footnoteRef/>
      </w:r>
      <w:r>
        <w:t xml:space="preserve"> Explain reasons why the programme specific focus area has been introduced in the RDP, linking it to the SWOT and needs assessment and to the overall RDP intervention logic. </w:t>
      </w:r>
    </w:p>
  </w:footnote>
  <w:footnote w:id="129">
    <w:p w:rsidR="00143584" w:rsidRDefault="00D64125">
      <w:pPr>
        <w:pStyle w:val="FootnoteText"/>
        <w:rPr>
          <w:lang w:val="en-US"/>
        </w:rPr>
      </w:pPr>
      <w:r>
        <w:rPr>
          <w:rStyle w:val="FootnoteReference"/>
        </w:rPr>
        <w:footnoteRef/>
      </w:r>
      <w: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rsidR="00143584" w:rsidRDefault="00D64125">
      <w:pPr>
        <w:pStyle w:val="FootnoteText"/>
        <w:rPr>
          <w:lang w:val="en-GB"/>
        </w:rPr>
      </w:pPr>
      <w:r>
        <w:rPr>
          <w:rStyle w:val="FootnoteReference"/>
        </w:rPr>
        <w:footnoteRef/>
      </w:r>
      <w:r>
        <w:t xml:space="preserve"> Programme specific result indicators are used to answer the PSEQ. Common indicators can be also used if relevant.</w:t>
      </w:r>
    </w:p>
  </w:footnote>
  <w:footnote w:id="131">
    <w:p w:rsidR="00143584" w:rsidRDefault="00D64125">
      <w:pPr>
        <w:pStyle w:val="FootnoteText"/>
        <w:rPr>
          <w:lang w:val="en-US"/>
        </w:rPr>
      </w:pPr>
      <w:r>
        <w:rPr>
          <w:rStyle w:val="FootnoteReference"/>
        </w:rPr>
        <w:footnoteRef/>
      </w:r>
      <w:r>
        <w:t xml:space="preserve"> Programme specific judgment criteria specify the success of the intervention under the programme specific focus area and are linked to common and programme specific indicators used to answer the PSEQ</w:t>
      </w:r>
    </w:p>
  </w:footnote>
  <w:footnote w:id="132">
    <w:p w:rsidR="00143584" w:rsidRDefault="00D64125">
      <w:pPr>
        <w:pStyle w:val="FootnoteText"/>
        <w:rPr>
          <w:lang w:val="en-US"/>
        </w:rPr>
      </w:pPr>
      <w:r>
        <w:rPr>
          <w:rStyle w:val="FootnoteReference"/>
        </w:rPr>
        <w:footnoteRef/>
      </w:r>
      <w:r>
        <w:t xml:space="preserve"> List common result indicators used in answering the CEQ. Ensure that the indicators are listed in a consistent way with the judgment criteria and placed in the same line.</w:t>
      </w:r>
    </w:p>
  </w:footnote>
  <w:footnote w:id="133">
    <w:p w:rsidR="00143584" w:rsidRDefault="00D64125">
      <w:pPr>
        <w:pStyle w:val="FootnoteText"/>
        <w:rPr>
          <w:lang w:val="en-GB"/>
        </w:rPr>
      </w:pPr>
      <w:r>
        <w:rPr>
          <w:rStyle w:val="FootnoteReference"/>
        </w:rPr>
        <w:footnoteRef/>
      </w:r>
      <w:r>
        <w:t xml:space="preserve"> List programme specific result indicators used in answering the PSEQ in consistency with programme specific judgment criteria. Indicators must be in consistency with the judgment criteria.</w:t>
      </w:r>
    </w:p>
  </w:footnote>
  <w:footnote w:id="134">
    <w:p w:rsidR="00143584" w:rsidRDefault="00D64125">
      <w:pPr>
        <w:pStyle w:val="FootnoteText"/>
        <w:rPr>
          <w:lang w:val="en-US"/>
        </w:rPr>
      </w:pPr>
      <w:r>
        <w:rPr>
          <w:rStyle w:val="FootnoteReference"/>
        </w:rPr>
        <w:footnoteRef/>
      </w:r>
      <w: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rsidR="00143584" w:rsidRDefault="00D64125">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Quantitative methods are applicable for the assessment of all common complementary result indicators and for programme specific indicators of similar nature, apart from those which can be deducted directly from the monitoring system.  </w:t>
      </w:r>
    </w:p>
  </w:footnote>
  <w:footnote w:id="136">
    <w:p w:rsidR="00143584" w:rsidRDefault="00D64125">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In case the same method was used for several indicators, the list of these indicators should be provided.</w:t>
      </w:r>
    </w:p>
  </w:footnote>
  <w:footnote w:id="137">
    <w:p w:rsidR="00143584" w:rsidRDefault="00D64125">
      <w:pPr>
        <w:spacing w:after="0"/>
        <w:rPr>
          <w:rFonts w:cs="Arial"/>
          <w:color w:val="6F6F6F" w:themeColor="text1"/>
          <w:sz w:val="16"/>
          <w:szCs w:val="16"/>
          <w:lang w:val="en-US"/>
        </w:rPr>
      </w:pPr>
      <w:r>
        <w:rPr>
          <w:rStyle w:val="FootnoteReference"/>
        </w:rPr>
        <w:footnoteRef/>
      </w:r>
      <w:r>
        <w:rPr>
          <w:color w:val="6F6F6F" w:themeColor="text1"/>
          <w:sz w:val="8"/>
        </w:rPr>
        <w:t xml:space="preserve"> </w:t>
      </w:r>
      <w:r>
        <w:rPr>
          <w:color w:val="6F6F6F" w:themeColor="text1"/>
          <w:sz w:val="16"/>
        </w:rPr>
        <w:t xml:space="preserve">Explain the reasons why qualitative methods have been used to assess the RDP results linked to programme specific FA - introductory qualitative analysis, triangulation of quantitative findings, no data available (e.g. no RDP uptake under the FA), etc. </w:t>
      </w:r>
    </w:p>
  </w:footnote>
  <w:footnote w:id="138">
    <w:p w:rsidR="00143584" w:rsidRDefault="00D64125">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In case the same method was used for several indicators, the list of these indicators should be provided.</w:t>
      </w:r>
    </w:p>
  </w:footnote>
  <w:footnote w:id="139">
    <w:p w:rsidR="00143584" w:rsidRDefault="00D64125">
      <w:pPr>
        <w:pStyle w:val="FootnoteText"/>
        <w:rPr>
          <w:rFonts w:cs="Arial"/>
          <w:color w:val="6F6F6F" w:themeColor="text1"/>
          <w:szCs w:val="16"/>
          <w:lang w:val="en-US"/>
        </w:rPr>
      </w:pPr>
      <w:r>
        <w:rPr>
          <w:rStyle w:val="FootnoteReference"/>
        </w:rPr>
        <w:footnoteRef/>
      </w:r>
      <w:r>
        <w:rPr>
          <w:rStyle w:val="FootnoteReference"/>
        </w:rPr>
        <w:t xml:space="preserve"> </w:t>
      </w:r>
      <w:r>
        <w:rPr>
          <w:color w:val="6F6F6F" w:themeColor="text1"/>
        </w:rPr>
        <w:t>Values are based on the quantitative methods described above.</w:t>
      </w:r>
    </w:p>
  </w:footnote>
  <w:footnote w:id="140">
    <w:p w:rsidR="00143584" w:rsidRDefault="00D64125">
      <w:pPr>
        <w:pStyle w:val="FootnoteText"/>
        <w:rPr>
          <w:rFonts w:cs="Arial"/>
          <w:color w:val="6F6F6F" w:themeColor="text1"/>
          <w:szCs w:val="16"/>
          <w:lang w:val="en-US"/>
        </w:rPr>
      </w:pPr>
      <w:r>
        <w:rPr>
          <w:rStyle w:val="FootnoteReference"/>
        </w:rPr>
        <w:footnoteRef/>
      </w:r>
      <w:r>
        <w:rPr>
          <w:color w:val="6F6F6F" w:themeColor="text1"/>
        </w:rPr>
        <w:t xml:space="preserve"> Value is aggregated from Pillar II operations database for output indicators, and/or from statistics databases for common indicators or programme specific indicators, if they are used to answer the PSEQ.</w:t>
      </w:r>
    </w:p>
  </w:footnote>
  <w:footnote w:id="141">
    <w:p w:rsidR="00143584" w:rsidRDefault="00D64125">
      <w:pPr>
        <w:pStyle w:val="FootnoteText"/>
        <w:rPr>
          <w:rFonts w:cs="Arial"/>
          <w:color w:val="6F6F6F" w:themeColor="text1"/>
          <w:szCs w:val="16"/>
          <w:lang w:val="en-US"/>
        </w:rPr>
      </w:pPr>
      <w:r>
        <w:rPr>
          <w:rStyle w:val="FootnoteReference"/>
        </w:rPr>
        <w:footnoteRef/>
      </w:r>
      <w:r>
        <w:rPr>
          <w:color w:val="6F6F6F" w:themeColor="text1"/>
        </w:rPr>
        <w:t xml:space="preserve"> This column is filled for the common and programme specific indicators if they are expressed as ratio. </w:t>
      </w:r>
    </w:p>
  </w:footnote>
  <w:footnote w:id="142">
    <w:p w:rsidR="00143584" w:rsidRDefault="00D64125">
      <w:pPr>
        <w:pStyle w:val="FootnoteText"/>
        <w:rPr>
          <w:rFonts w:cs="Arial"/>
          <w:color w:val="6F6F6F" w:themeColor="text1"/>
          <w:szCs w:val="16"/>
          <w:lang w:val="en-US"/>
        </w:rPr>
      </w:pPr>
      <w:r>
        <w:rPr>
          <w:rStyle w:val="FootnoteReference"/>
        </w:rPr>
        <w:footnoteRef/>
      </w:r>
      <w:r>
        <w:rPr>
          <w:color w:val="6F6F6F" w:themeColor="text1"/>
        </w:rPr>
        <w:t xml:space="preserve"> This column is filled for gross values of common and programme specific indicators, if applicable. Gross value is the value observed within the group of RDP beneficiaries. The gross value of indicators is inserted also in case the net value has been inserted in the table. </w:t>
      </w:r>
      <w:r>
        <w:rPr>
          <w:color w:val="6E6E6E" w:themeColor="background1" w:themeShade="80"/>
        </w:rPr>
        <w:t>If there are secondary contributions or LEADER/CLLD contributions to the value of indicator, please explain under point 6 “Answer to evaluation questions”.</w:t>
      </w:r>
    </w:p>
  </w:footnote>
  <w:footnote w:id="143">
    <w:p w:rsidR="00143584" w:rsidRDefault="00D64125">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This column is filled for net values of common and programme specific indicators, if applicable. Net value is the value of indicator attributed to the RDP intervention. See the guidelines Assessment of RDP results, chapter 7.2. </w:t>
      </w:r>
      <w:r>
        <w:rPr>
          <w:color w:val="6E6E6E" w:themeColor="background1" w:themeShade="80"/>
        </w:rPr>
        <w:t>If there are secondary contributions or LEADER/CLLD contributions to the value of indicator, please explain under point 6 “Answer to evaluation questions”.</w:t>
      </w:r>
    </w:p>
  </w:footnote>
  <w:footnote w:id="144">
    <w:p w:rsidR="00143584" w:rsidRDefault="00D64125">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All data and information sources used for calculation of indicators should be listed here, e.g. Pillar II operations database, EU/national/regional statistics, GIS etc. </w:t>
      </w:r>
    </w:p>
  </w:footnote>
  <w:footnote w:id="145">
    <w:p w:rsidR="00143584" w:rsidRDefault="00D64125">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The common output indicators can be also used to answer the PSEQ. The selection of output indicators for answering the evaluation question is done in MS.</w:t>
      </w:r>
    </w:p>
  </w:footnote>
  <w:footnote w:id="146">
    <w:p w:rsidR="00143584" w:rsidRDefault="00D64125">
      <w:pPr>
        <w:pStyle w:val="FootnoteText"/>
        <w:rPr>
          <w:rFonts w:cs="Arial"/>
          <w:color w:val="6F6F6F" w:themeColor="text1"/>
          <w:szCs w:val="16"/>
          <w:lang w:val="en-US"/>
        </w:rPr>
      </w:pPr>
      <w:r>
        <w:rPr>
          <w:rStyle w:val="FootnoteReference"/>
        </w:rPr>
        <w:footnoteRef/>
      </w:r>
      <w:r>
        <w:rPr>
          <w:color w:val="6F6F6F" w:themeColor="text1"/>
        </w:rPr>
        <w:t xml:space="preserve"> The MS can also apply programme specific output indicators to answer the PSEQ.  </w:t>
      </w:r>
    </w:p>
  </w:footnote>
  <w:footnote w:id="147">
    <w:p w:rsidR="00143584" w:rsidRDefault="00D64125">
      <w:pPr>
        <w:pStyle w:val="FootnoteText"/>
        <w:rPr>
          <w:lang w:val="en-GB"/>
        </w:rPr>
      </w:pPr>
      <w:r>
        <w:rPr>
          <w:rStyle w:val="FootnoteReference"/>
        </w:rPr>
        <w:footnoteRef/>
      </w:r>
      <w:r>
        <w:rPr>
          <w:sz w:val="8"/>
        </w:rPr>
        <w:t xml:space="preserve"> </w:t>
      </w:r>
      <w:r>
        <w:t xml:space="preserve">The common indicators can be also used to answer PSEQ. Decision which common indicators could be used in done in MS.  </w:t>
      </w:r>
    </w:p>
  </w:footnote>
  <w:footnote w:id="148">
    <w:p w:rsidR="00143584" w:rsidRDefault="00D64125">
      <w:pPr>
        <w:pStyle w:val="FootnoteText"/>
        <w:rPr>
          <w:lang w:val="en-GB"/>
        </w:rPr>
      </w:pPr>
      <w:r>
        <w:rPr>
          <w:rStyle w:val="FootnoteReference"/>
        </w:rPr>
        <w:footnoteRef/>
      </w:r>
      <w:r>
        <w:t xml:space="preserve"> PSEQ is answered with programme specific indicators which are developed in MS. </w:t>
      </w:r>
    </w:p>
  </w:footnote>
  <w:footnote w:id="149">
    <w:p w:rsidR="00143584" w:rsidRDefault="00D64125">
      <w:pPr>
        <w:pStyle w:val="FootnoteText"/>
        <w:rPr>
          <w:lang w:val="en-GB"/>
        </w:rPr>
      </w:pPr>
      <w:r>
        <w:rPr>
          <w:rStyle w:val="FootnoteReference"/>
        </w:rPr>
        <w:footnoteRef/>
      </w:r>
      <w:r>
        <w:t xml:space="preserve"> Explain problems faced by the evaluator during the assessment, e.g. data and information availability, timing and coordination issues, etc. which might have threatened the reliability and validity of evaluation findings.  </w:t>
      </w:r>
    </w:p>
  </w:footnote>
  <w:footnote w:id="150">
    <w:p w:rsidR="00143584" w:rsidRDefault="00D64125">
      <w:pPr>
        <w:pStyle w:val="FootnoteText"/>
        <w:rPr>
          <w:lang w:val="en-GB"/>
        </w:rPr>
      </w:pPr>
      <w:r>
        <w:rPr>
          <w:rStyle w:val="FootnoteReference"/>
        </w:rPr>
        <w:footnoteRef/>
      </w:r>
      <w:r>
        <w:t xml:space="preserve"> On the basis of the evidence resulting from the analysis presented under points 4 and 5.</w:t>
      </w:r>
    </w:p>
  </w:footnote>
  <w:footnote w:id="151">
    <w:p w:rsidR="00143584" w:rsidRDefault="00D64125">
      <w:pPr>
        <w:pStyle w:val="FootnoteText"/>
        <w:rPr>
          <w:lang w:val="en-GB"/>
        </w:rPr>
      </w:pPr>
      <w:r>
        <w:rPr>
          <w:rStyle w:val="FootnoteReference"/>
        </w:rPr>
        <w:footnoteRef/>
      </w:r>
      <w:r>
        <w:t xml:space="preserve"> On the basis of the information collected under points 4 and 5 and the answer given under point 7.</w:t>
      </w:r>
    </w:p>
  </w:footnote>
  <w:footnote w:id="152">
    <w:p w:rsidR="00143584" w:rsidRDefault="00D64125">
      <w:pPr>
        <w:pStyle w:val="FootnoteText"/>
        <w:jc w:val="both"/>
        <w:rPr>
          <w:rFonts w:cs="Arial"/>
          <w:lang w:val="en-GB"/>
        </w:rPr>
      </w:pPr>
      <w:r>
        <w:rPr>
          <w:rStyle w:val="FootnoteReference"/>
        </w:rPr>
        <w:footnoteRef/>
      </w:r>
      <w:r>
        <w:t xml:space="preserve"> Следва да се посочат номерът и наименованието на специфичната за програмата област с поставен акцент, например 2В — „Подобряване на икономическите резултати и пазарното участие на предприятията в горското стопанство“.</w:t>
      </w:r>
    </w:p>
  </w:footnote>
  <w:footnote w:id="153">
    <w:p w:rsidR="00143584" w:rsidRDefault="00D64125">
      <w:pPr>
        <w:pStyle w:val="FootnoteText"/>
        <w:jc w:val="both"/>
        <w:rPr>
          <w:rFonts w:cs="Arial"/>
          <w:lang w:val="en-GB"/>
        </w:rPr>
      </w:pPr>
      <w:r>
        <w:rPr>
          <w:rStyle w:val="FootnoteReference"/>
        </w:rPr>
        <w:footnoteRef/>
      </w:r>
      <w:r>
        <w:t xml:space="preserve"> Следва да се посочи наименованието на специфичния за програмата въпрос за оценка, например „До каква степен интервенциите по ПРСР са допринесли за подобряването на икономическите резултати и пазарното участие на предприятията в горското стопанство?“.</w:t>
      </w:r>
    </w:p>
  </w:footnote>
  <w:footnote w:id="154">
    <w:p w:rsidR="00143584" w:rsidRDefault="00D64125">
      <w:pPr>
        <w:pStyle w:val="FootnoteText"/>
        <w:jc w:val="both"/>
        <w:rPr>
          <w:rFonts w:cs="Arial"/>
          <w:lang w:val="en-GB"/>
        </w:rPr>
      </w:pPr>
      <w:r>
        <w:rPr>
          <w:rStyle w:val="FootnoteReference"/>
        </w:rPr>
        <w:footnoteRef/>
      </w:r>
      <w:r>
        <w:t xml:space="preserve"> Следва да се обяснят причините, поради които специфичната за програмата област с поставен акцент е била включена в ПРСР, като се свърже тя със SWOT и оценката на нуждите и с цялостната интервенционна логика на ПРСР. </w:t>
      </w:r>
    </w:p>
  </w:footnote>
  <w:footnote w:id="155">
    <w:p w:rsidR="00143584" w:rsidRDefault="00D64125">
      <w:pPr>
        <w:pStyle w:val="FootnoteText"/>
        <w:jc w:val="both"/>
        <w:rPr>
          <w:rFonts w:cs="Arial"/>
          <w:szCs w:val="16"/>
          <w:lang w:val="en-GB"/>
        </w:rPr>
      </w:pPr>
      <w:r>
        <w:rPr>
          <w:rStyle w:val="FootnoteReference"/>
        </w:rPr>
        <w:footnoteRef/>
      </w:r>
      <w:r>
        <w:t xml:space="preserve"> Това включва мерки/подмерки, които са имали вторичен принос по време на оценката, а не само онези, за които е било планирано да имат допълнителен принос към области с поставен акцент, различни от програмираните при проектирането на програмата.</w:t>
      </w:r>
    </w:p>
  </w:footnote>
  <w:footnote w:id="156">
    <w:p w:rsidR="00143584" w:rsidRDefault="00D64125">
      <w:pPr>
        <w:pStyle w:val="FootnoteText"/>
        <w:jc w:val="both"/>
        <w:rPr>
          <w:rFonts w:cs="Arial"/>
          <w:szCs w:val="16"/>
          <w:lang w:val="en-GB"/>
        </w:rPr>
      </w:pPr>
      <w:r>
        <w:rPr>
          <w:rStyle w:val="FootnoteReference"/>
        </w:rPr>
        <w:footnoteRef/>
      </w:r>
      <w:r>
        <w:t xml:space="preserve"> Специфични за програмата показатели за резултатите се използват за отговор на СПВО и ако успехът се установява с критерии за преценка, които не се измерват с общите показатели.</w:t>
      </w:r>
    </w:p>
  </w:footnote>
  <w:footnote w:id="157">
    <w:p w:rsidR="00143584" w:rsidRDefault="00D64125">
      <w:pPr>
        <w:pStyle w:val="FootnoteText"/>
        <w:jc w:val="both"/>
        <w:rPr>
          <w:rFonts w:cs="Arial"/>
          <w:szCs w:val="16"/>
          <w:lang w:val="en-GB"/>
        </w:rPr>
      </w:pPr>
      <w:r>
        <w:rPr>
          <w:rStyle w:val="FootnoteReference"/>
        </w:rPr>
        <w:footnoteRef/>
      </w:r>
      <w:r>
        <w:t xml:space="preserve"> Специфичните за програмата критерии за преценка се използват за установяване на успеха на интервенцията в рамките на специфичната за програмата област с поставен акцент и са свързани с общите и специфичните за програмата показатели, използвани за отговор на СПВО.</w:t>
      </w:r>
    </w:p>
  </w:footnote>
  <w:footnote w:id="158">
    <w:p w:rsidR="00143584" w:rsidRDefault="00D64125">
      <w:pPr>
        <w:pStyle w:val="FootnoteText"/>
        <w:jc w:val="both"/>
        <w:rPr>
          <w:rFonts w:cs="Arial"/>
          <w:szCs w:val="16"/>
        </w:rPr>
      </w:pPr>
      <w:r>
        <w:rPr>
          <w:rStyle w:val="FootnoteReference"/>
        </w:rPr>
        <w:footnoteRef/>
      </w:r>
      <w:r>
        <w:t xml:space="preserve"> Посочете общите показатели за резултатите, използвани за отговор на ОВО. Уверете се, че показателите са изброени съгласувано с критериите за преценка и са поставени в същия ред.</w:t>
      </w:r>
    </w:p>
  </w:footnote>
  <w:footnote w:id="159">
    <w:p w:rsidR="00143584" w:rsidRDefault="00D64125">
      <w:pPr>
        <w:pStyle w:val="FootnoteText"/>
        <w:jc w:val="both"/>
        <w:rPr>
          <w:rFonts w:cs="Arial"/>
          <w:szCs w:val="16"/>
        </w:rPr>
      </w:pPr>
      <w:r>
        <w:rPr>
          <w:rStyle w:val="FootnoteReference"/>
        </w:rPr>
        <w:footnoteRef/>
      </w:r>
      <w:r>
        <w:t xml:space="preserve"> Посочете специфичните за програмата показатели за резултатите, използвани за отговор на СПВО съгласувано със специфичните за програмата критерии за преценка.</w:t>
      </w:r>
    </w:p>
  </w:footnote>
  <w:footnote w:id="160">
    <w:p w:rsidR="00143584" w:rsidRDefault="00D64125">
      <w:pPr>
        <w:pStyle w:val="FootnoteText"/>
        <w:jc w:val="both"/>
        <w:rPr>
          <w:rFonts w:cs="Arial"/>
          <w:szCs w:val="16"/>
        </w:rPr>
      </w:pPr>
      <w:r>
        <w:rPr>
          <w:rStyle w:val="FootnoteReference"/>
        </w:rPr>
        <w:footnoteRef/>
      </w:r>
      <w:r>
        <w:t xml:space="preserve"> Ако е използван един и същ метод, за да се отговори на този СПВО, както и за отговор на други въпроси за оценка, не е необходимо описанието да се повтаря във всички съответни таблици. Достатъчно е само да се включи препратка към съответната таблица от образеца от SFC, точка 7, където методът е описан подробно. </w:t>
      </w:r>
    </w:p>
  </w:footnote>
  <w:footnote w:id="161">
    <w:p w:rsidR="00143584" w:rsidRDefault="00D64125">
      <w:pPr>
        <w:pStyle w:val="FootnoteText"/>
        <w:jc w:val="both"/>
        <w:rPr>
          <w:rFonts w:cs="Arial"/>
          <w:szCs w:val="16"/>
        </w:rPr>
      </w:pPr>
      <w:r>
        <w:rPr>
          <w:rStyle w:val="FootnoteReference"/>
        </w:rPr>
        <w:footnoteRef/>
      </w:r>
      <w:r>
        <w:t xml:space="preserve"> Количествените методи са приложими за оценяването на всички общи показатели за допълнителни резултати и за специфичните за програмата показатели със сходен характер, освен онези, които може да бъдат получени директно от системата за мониторинг.  </w:t>
      </w:r>
    </w:p>
  </w:footnote>
  <w:footnote w:id="162">
    <w:p w:rsidR="00143584" w:rsidRDefault="00D64125">
      <w:pPr>
        <w:pStyle w:val="FootnoteText"/>
        <w:jc w:val="both"/>
        <w:rPr>
          <w:rFonts w:cs="Arial"/>
          <w:szCs w:val="16"/>
        </w:rPr>
      </w:pPr>
      <w:r>
        <w:rPr>
          <w:rStyle w:val="FootnoteReference"/>
        </w:rPr>
        <w:footnoteRef/>
      </w:r>
      <w:r>
        <w:t xml:space="preserve"> Ако е използван един и същ метод за няколко показателя, трябва да се представи списък на тези показатели.</w:t>
      </w:r>
    </w:p>
  </w:footnote>
  <w:footnote w:id="163">
    <w:p w:rsidR="00143584" w:rsidRDefault="00D64125">
      <w:pPr>
        <w:spacing w:after="0"/>
        <w:rPr>
          <w:rFonts w:cs="Arial"/>
          <w:color w:val="6F6F6F" w:themeColor="text1"/>
          <w:sz w:val="16"/>
          <w:szCs w:val="16"/>
        </w:rPr>
      </w:pPr>
      <w:r>
        <w:rPr>
          <w:rStyle w:val="FootnoteReference"/>
        </w:rPr>
        <w:footnoteRef/>
      </w:r>
      <w:r>
        <w:rPr>
          <w:sz w:val="16"/>
        </w:rPr>
        <w:t xml:space="preserve"> </w:t>
      </w:r>
      <w:r>
        <w:rPr>
          <w:color w:val="6F6F6F" w:themeColor="text1"/>
          <w:sz w:val="16"/>
        </w:rPr>
        <w:t xml:space="preserve">Следва да се обяснят причините, поради които са използвани качествени методи за оценяване на резултатите от ПРСР, свързани със специфичната за програмата ОПА — встъпителен качествен анализ, триангулация на количествените констатации, липса на данни (например липса на усвояване на ПРСР по ОПА) и т.н. </w:t>
      </w:r>
    </w:p>
  </w:footnote>
  <w:footnote w:id="164">
    <w:p w:rsidR="00143584" w:rsidRDefault="00D64125">
      <w:pPr>
        <w:pStyle w:val="FootnoteText"/>
        <w:jc w:val="both"/>
        <w:rPr>
          <w:rFonts w:cs="Arial"/>
          <w:color w:val="6F6F6F" w:themeColor="text1"/>
        </w:rPr>
      </w:pPr>
      <w:r>
        <w:rPr>
          <w:rStyle w:val="FootnoteReference"/>
          <w:color w:val="6F6F6F" w:themeColor="text1"/>
        </w:rPr>
        <w:footnoteRef/>
      </w:r>
      <w:r>
        <w:rPr>
          <w:color w:val="6F6F6F" w:themeColor="text1"/>
        </w:rPr>
        <w:t xml:space="preserve"> Ако е използван един и същ метод за няколко показателя, трябва да се представи списък на тези показатели.</w:t>
      </w:r>
    </w:p>
  </w:footnote>
  <w:footnote w:id="165">
    <w:p w:rsidR="00143584" w:rsidRDefault="00D64125">
      <w:pPr>
        <w:pStyle w:val="FootnoteText"/>
        <w:jc w:val="both"/>
        <w:rPr>
          <w:rFonts w:cs="Arial"/>
          <w:color w:val="6F6F6F" w:themeColor="text1"/>
        </w:rPr>
      </w:pPr>
      <w:r>
        <w:rPr>
          <w:rStyle w:val="FootnoteReference"/>
          <w:color w:val="6F6F6F" w:themeColor="text1"/>
        </w:rPr>
        <w:footnoteRef/>
      </w:r>
      <w:r>
        <w:rPr>
          <w:color w:val="6F6F6F" w:themeColor="text1"/>
        </w:rPr>
        <w:t xml:space="preserve"> Стойностите са базирани на количествените методи, описани по-горе.</w:t>
      </w:r>
    </w:p>
  </w:footnote>
  <w:footnote w:id="166">
    <w:p w:rsidR="00143584" w:rsidRDefault="00D64125">
      <w:pPr>
        <w:pStyle w:val="FootnoteText"/>
        <w:jc w:val="both"/>
        <w:rPr>
          <w:rFonts w:cs="Arial"/>
          <w:color w:val="6F6F6F" w:themeColor="text1"/>
        </w:rPr>
      </w:pPr>
      <w:r>
        <w:rPr>
          <w:rStyle w:val="FootnoteReference"/>
          <w:color w:val="6F6F6F" w:themeColor="text1"/>
        </w:rPr>
        <w:footnoteRef/>
      </w:r>
      <w:r>
        <w:rPr>
          <w:color w:val="6F6F6F" w:themeColor="text1"/>
        </w:rPr>
        <w:t xml:space="preserve"> Стойността е обобщена от базата данни на операциите по стълб II за показателите за крайните продукти и/или от статистически бази данни за общите показатели или за специфичните за програмата показатели, ако са използвани такива за отговор на СПВО.</w:t>
      </w:r>
    </w:p>
  </w:footnote>
  <w:footnote w:id="167">
    <w:p w:rsidR="00143584" w:rsidRDefault="00D64125">
      <w:pPr>
        <w:pStyle w:val="FootnoteText"/>
        <w:jc w:val="both"/>
        <w:rPr>
          <w:rFonts w:cs="Arial"/>
        </w:rPr>
      </w:pPr>
      <w:r>
        <w:rPr>
          <w:rStyle w:val="FootnoteReference"/>
          <w:color w:val="6F6F6F" w:themeColor="text1"/>
        </w:rPr>
        <w:footnoteRef/>
      </w:r>
      <w:r>
        <w:rPr>
          <w:color w:val="6F6F6F" w:themeColor="text1"/>
        </w:rPr>
        <w:t xml:space="preserve"> Тази колона се попълва за общите и специфичните за програмата показатели, ако са изразени като съотношение. </w:t>
      </w:r>
    </w:p>
  </w:footnote>
  <w:footnote w:id="168">
    <w:p w:rsidR="00143584" w:rsidRDefault="00D64125">
      <w:pPr>
        <w:spacing w:after="0"/>
        <w:rPr>
          <w:rFonts w:cs="Arial"/>
          <w:color w:val="6F6F6F" w:themeColor="text1"/>
          <w:sz w:val="16"/>
          <w:szCs w:val="16"/>
        </w:rPr>
      </w:pPr>
      <w:r>
        <w:rPr>
          <w:i/>
          <w:color w:val="6F6F6F" w:themeColor="text1"/>
          <w:sz w:val="12"/>
        </w:rPr>
        <w:footnoteRef/>
      </w:r>
      <w:r>
        <w:rPr>
          <w:color w:val="6F6F6F" w:themeColor="text1"/>
          <w:sz w:val="16"/>
        </w:rPr>
        <w:t xml:space="preserve"> В тази колона се попълват брутните стойности на общите и специфичните за програмата показатели, ако е приложимо. Брутната стойност е стойността, наблюдавана в рамките на групата от бенефициери по ПРСР. Брутната стойност на показателите се посочва и когато в таблицата е посочена нетната стойност. Ако към стойността на показателя е налице вторичен принос или принос от ВОМР по LEADER, това следва да се обясни в точка 6 „Отговор на въпросите за оценка“.</w:t>
      </w:r>
    </w:p>
  </w:footnote>
  <w:footnote w:id="169">
    <w:p w:rsidR="00143584" w:rsidRDefault="00D64125">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В тази колона се попълват нетните стойности на общите и специфичните за програмата показатели, ако е приложимо. В тази колона се попълват нетните стойности на общите и специфичните за програмата показатели, ако е приложимо. Нетната стойност е стойността на показателя, която се дължи на интервенцията по ПРСР. Вж. насоките, озаглавени „Оценка на резултатите от ПРСР“, глава 7.2. Ако към стойността на показателя е налице вторичен принос или принос от ВОМР по LEADER, това следва да се обясни в точка 6 „Отговор на въпросите за оценка“. </w:t>
      </w:r>
    </w:p>
  </w:footnote>
  <w:footnote w:id="170">
    <w:p w:rsidR="00143584" w:rsidRDefault="00D64125">
      <w:pPr>
        <w:spacing w:after="0"/>
        <w:rPr>
          <w:rFonts w:cs="Arial"/>
          <w:color w:val="6F6F6F" w:themeColor="text1"/>
          <w:sz w:val="16"/>
          <w:szCs w:val="16"/>
        </w:rPr>
      </w:pPr>
      <w:r>
        <w:rPr>
          <w:i/>
          <w:color w:val="6F6F6F" w:themeColor="text1"/>
          <w:sz w:val="12"/>
        </w:rPr>
        <w:footnoteRef/>
      </w:r>
      <w:r>
        <w:rPr>
          <w:color w:val="6F6F6F" w:themeColor="text1"/>
          <w:sz w:val="16"/>
        </w:rPr>
        <w:t xml:space="preserve"> Тук трябва да бъдат посочени всички данни и източници на информация, използвани за изчисляването на показателите, например база данни на операциите по стълб II, ЕС/национална/регионална статистика, ГИС и т.н. </w:t>
      </w:r>
    </w:p>
  </w:footnote>
  <w:footnote w:id="171">
    <w:p w:rsidR="00143584" w:rsidRDefault="00D64125">
      <w:pPr>
        <w:spacing w:after="0"/>
        <w:rPr>
          <w:rFonts w:cs="Arial"/>
          <w:color w:val="6F6F6F" w:themeColor="text1"/>
          <w:sz w:val="16"/>
          <w:szCs w:val="16"/>
        </w:rPr>
      </w:pPr>
      <w:r>
        <w:rPr>
          <w:i/>
          <w:color w:val="6F6F6F" w:themeColor="text1"/>
          <w:sz w:val="12"/>
        </w:rPr>
        <w:footnoteRef/>
      </w:r>
      <w:r>
        <w:rPr>
          <w:color w:val="6F6F6F" w:themeColor="text1"/>
          <w:sz w:val="16"/>
        </w:rPr>
        <w:t xml:space="preserve"> Общите показатели за крайните продукти също може да се използват за отговор на СПВО. ДЧ избира показателите за крайните продукти за отговор на въпроса за оценка.</w:t>
      </w:r>
    </w:p>
  </w:footnote>
  <w:footnote w:id="172">
    <w:p w:rsidR="00143584" w:rsidRDefault="00D64125">
      <w:pPr>
        <w:pStyle w:val="FootnoteText"/>
        <w:jc w:val="both"/>
        <w:rPr>
          <w:rFonts w:cs="Arial"/>
        </w:rPr>
      </w:pPr>
      <w:r>
        <w:rPr>
          <w:i/>
          <w:sz w:val="12"/>
        </w:rPr>
        <w:footnoteRef/>
      </w:r>
      <w:r>
        <w:t xml:space="preserve"> ДЧ може да прилагат така също специфични за програмата показатели за крайните продукти, за да се отговори на СПВО.  </w:t>
      </w:r>
    </w:p>
  </w:footnote>
  <w:footnote w:id="173">
    <w:p w:rsidR="00143584" w:rsidRDefault="00D64125">
      <w:pPr>
        <w:pStyle w:val="FootnoteText"/>
        <w:jc w:val="both"/>
        <w:rPr>
          <w:rFonts w:cs="Arial"/>
        </w:rPr>
      </w:pPr>
      <w:r>
        <w:rPr>
          <w:rStyle w:val="FootnoteReference"/>
        </w:rPr>
        <w:footnoteRef/>
      </w:r>
      <w:r>
        <w:t xml:space="preserve"> За отговор на СПВО може да се използват така също общи показатели. ДЧ взема решение кои общи показатели биха могли да се използват.  </w:t>
      </w:r>
    </w:p>
  </w:footnote>
  <w:footnote w:id="174">
    <w:p w:rsidR="00143584" w:rsidRDefault="00D64125">
      <w:pPr>
        <w:pStyle w:val="FootnoteText"/>
        <w:jc w:val="both"/>
        <w:rPr>
          <w:rFonts w:cs="Arial"/>
        </w:rPr>
      </w:pPr>
      <w:r>
        <w:rPr>
          <w:rStyle w:val="FootnoteReference"/>
        </w:rPr>
        <w:footnoteRef/>
      </w:r>
      <w:r>
        <w:t xml:space="preserve"> Отговор на СПВО се дава със специфичните за програмата показатели, които са разработени от ДЧ. </w:t>
      </w:r>
    </w:p>
  </w:footnote>
  <w:footnote w:id="175">
    <w:p w:rsidR="00143584" w:rsidRDefault="00D64125">
      <w:pPr>
        <w:pStyle w:val="FootnoteText"/>
        <w:jc w:val="both"/>
        <w:rPr>
          <w:rFonts w:cs="Arial"/>
        </w:rPr>
      </w:pPr>
      <w:r>
        <w:rPr>
          <w:rStyle w:val="FootnoteReference"/>
        </w:rPr>
        <w:footnoteRef/>
      </w:r>
      <w:r>
        <w:t xml:space="preserve"> Следва да се обяснят проблемите, с които се е сблъскал оценителят по време на оценяването, например наличие на данни и информация, проблеми със сроковете и координацията и т.н., които може да са застрашили надеждността и действителността на констатациите от оценката.  </w:t>
      </w:r>
    </w:p>
  </w:footnote>
  <w:footnote w:id="176">
    <w:p w:rsidR="00143584" w:rsidRDefault="00D64125">
      <w:pPr>
        <w:pStyle w:val="FootnoteText"/>
        <w:jc w:val="both"/>
        <w:rPr>
          <w:rFonts w:cs="Arial"/>
        </w:rPr>
      </w:pPr>
      <w:r>
        <w:rPr>
          <w:rStyle w:val="FootnoteReference"/>
        </w:rPr>
        <w:footnoteRef/>
      </w:r>
      <w:r>
        <w:t xml:space="preserve"> Въз основа на данните, получени от анализа, представен по точки 4 и 5.</w:t>
      </w:r>
    </w:p>
  </w:footnote>
  <w:footnote w:id="177">
    <w:p w:rsidR="00143584" w:rsidRDefault="00D64125">
      <w:pPr>
        <w:pStyle w:val="FootnoteText"/>
        <w:jc w:val="both"/>
        <w:rPr>
          <w:rFonts w:cs="Arial"/>
        </w:rPr>
      </w:pPr>
      <w:r>
        <w:rPr>
          <w:rStyle w:val="FootnoteReference"/>
        </w:rPr>
        <w:footnoteRef/>
      </w:r>
      <w:r>
        <w:t xml:space="preserve"> На база на информацията, събрана по точки 4 и 5, и отговора, даден по точка 7.</w:t>
      </w:r>
    </w:p>
  </w:footnote>
  <w:footnote w:id="178">
    <w:p w:rsidR="00143584" w:rsidRDefault="00D64125">
      <w:pPr>
        <w:pStyle w:val="FootnoteText"/>
        <w:rPr>
          <w:rFonts w:cs="Arial"/>
          <w:lang w:val="en-US"/>
        </w:rPr>
      </w:pPr>
      <w:r>
        <w:rPr>
          <w:rStyle w:val="FootnoteReference"/>
        </w:rPr>
        <w:footnoteRef/>
      </w:r>
      <w:r>
        <w:t xml:space="preserve"> Working Paper/UPDATED Guidelines for strategic programming for the period 2014-2020</w:t>
      </w:r>
    </w:p>
  </w:footnote>
  <w:footnote w:id="179">
    <w:p w:rsidR="00143584" w:rsidRDefault="00D64125">
      <w:pPr>
        <w:pStyle w:val="FootnoteText"/>
        <w:rPr>
          <w:rFonts w:cs="Arial"/>
          <w:lang w:val="en-US"/>
        </w:rPr>
      </w:pPr>
      <w:r>
        <w:rPr>
          <w:rStyle w:val="FootnoteReference"/>
        </w:rPr>
        <w:footnoteRef/>
      </w:r>
      <w:r>
        <w:t xml:space="preserve"> Working document: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  </w:t>
      </w:r>
    </w:p>
  </w:footnote>
  <w:footnote w:id="180">
    <w:p w:rsidR="00143584" w:rsidRDefault="00D64125">
      <w:pPr>
        <w:pStyle w:val="FootnoteText"/>
        <w:rPr>
          <w:rFonts w:cs="Arial"/>
          <w:lang w:val="en-US"/>
        </w:rPr>
      </w:pPr>
      <w:r>
        <w:rPr>
          <w:rStyle w:val="FootnoteReference"/>
        </w:rPr>
        <w:footnoteRef/>
      </w:r>
      <w:r>
        <w:t xml:space="preserve"> Guidance fiche Performance framework review and reserve in 2014 – 2020, </w:t>
      </w:r>
      <w:hyperlink r:id="rId19" w:history="1">
        <w:r>
          <w:rPr>
            <w:rStyle w:val="Hyperlink"/>
            <w:rFonts w:cs="Arial"/>
            <w:lang w:val="en-GB"/>
          </w:rPr>
          <w:t>http://ec.europa.eu/fisheries/reform/emff/doc/09-performance-framework_en.pdf</w:t>
        </w:r>
      </w:hyperlink>
    </w:p>
  </w:footnote>
  <w:footnote w:id="181">
    <w:p w:rsidR="00143584" w:rsidRDefault="00D64125">
      <w:pPr>
        <w:pStyle w:val="FootnoteText"/>
        <w:rPr>
          <w:rFonts w:cs="Arial"/>
          <w:lang w:val="en-US"/>
        </w:rPr>
      </w:pPr>
      <w:r>
        <w:rPr>
          <w:rStyle w:val="FootnoteReference"/>
        </w:rPr>
        <w:footnoteRef/>
      </w:r>
      <w:r>
        <w:t xml:space="preserve"> Working paper: Common evaluation questions for rural development programmes 2014-2020, </w:t>
      </w:r>
      <w:hyperlink r:id="rId20" w:history="1">
        <w:r>
          <w:rPr>
            <w:rStyle w:val="Hyperlink"/>
            <w:lang w:val="en-GB"/>
          </w:rPr>
          <w:t xml:space="preserve"> http://enrd.ec.europa.eu/evaluation/publications/e-library_en</w:t>
        </w:r>
      </w:hyperlink>
    </w:p>
  </w:footnote>
  <w:footnote w:id="182">
    <w:p w:rsidR="00143584" w:rsidRDefault="00D64125">
      <w:pPr>
        <w:pStyle w:val="FootnoteText"/>
        <w:rPr>
          <w:rFonts w:cs="Arial"/>
          <w:lang w:val="en-US"/>
        </w:rPr>
      </w:pPr>
      <w:r>
        <w:rPr>
          <w:rStyle w:val="FootnoteReference"/>
        </w:rPr>
        <w:footnoteRef/>
      </w:r>
      <w:r>
        <w:t xml:space="preserve"> Working document: Rural development monitoring – implementation report tables, Working document: Rural development programming and target setting, Data item list for Pillar II, Operations database</w:t>
      </w:r>
    </w:p>
  </w:footnote>
  <w:footnote w:id="183">
    <w:p w:rsidR="00143584" w:rsidRDefault="00D64125">
      <w:pPr>
        <w:pStyle w:val="FootnoteText"/>
        <w:rPr>
          <w:rFonts w:cs="Arial"/>
          <w:lang w:val="en-GB"/>
        </w:rPr>
      </w:pPr>
      <w:r>
        <w:rPr>
          <w:rStyle w:val="FootnoteReference"/>
        </w:rPr>
        <w:footnoteRef/>
      </w:r>
      <w:r>
        <w:t xml:space="preserve"> Regulation (EU) No 1305/2013, Art 71</w:t>
      </w:r>
    </w:p>
  </w:footnote>
  <w:footnote w:id="184">
    <w:p w:rsidR="00143584" w:rsidRDefault="00D64125">
      <w:pPr>
        <w:pStyle w:val="FootnoteText"/>
        <w:rPr>
          <w:rFonts w:cs="Arial"/>
          <w:lang w:val="en-GB"/>
        </w:rPr>
      </w:pPr>
      <w:r>
        <w:rPr>
          <w:rStyle w:val="FootnoteReference"/>
        </w:rPr>
        <w:footnoteRef/>
      </w:r>
      <w:r>
        <w:t xml:space="preserve"> Regulation (EU) No 1305/2013, Art 70</w:t>
      </w:r>
    </w:p>
  </w:footnote>
  <w:footnote w:id="185">
    <w:p w:rsidR="00143584" w:rsidRDefault="00D64125">
      <w:pPr>
        <w:pStyle w:val="FootnoteText"/>
        <w:rPr>
          <w:rFonts w:cs="Arial"/>
          <w:lang w:val="en-US"/>
        </w:rPr>
      </w:pPr>
      <w:r>
        <w:rPr>
          <w:rStyle w:val="FootnoteReference"/>
        </w:rPr>
        <w:footnoteRef/>
      </w:r>
      <w:r>
        <w:t xml:space="preserve"> Commission implementing regulation No 808/2014, Annex VII</w:t>
      </w:r>
    </w:p>
  </w:footnote>
  <w:footnote w:id="186">
    <w:p w:rsidR="00143584" w:rsidRDefault="00D64125">
      <w:pPr>
        <w:pStyle w:val="FootnoteText"/>
        <w:rPr>
          <w:rFonts w:cs="Arial"/>
          <w:lang w:val="en-GB"/>
        </w:rPr>
      </w:pPr>
      <w:r>
        <w:rPr>
          <w:rStyle w:val="FootnoteReference"/>
        </w:rPr>
        <w:footnoteRef/>
      </w:r>
      <w:r>
        <w:t xml:space="preserve"> Regulation (EU) No 1305/2013, Art. 11</w:t>
      </w:r>
    </w:p>
  </w:footnote>
  <w:footnote w:id="187">
    <w:p w:rsidR="00143584" w:rsidRDefault="00D64125">
      <w:pPr>
        <w:pStyle w:val="FootnoteText"/>
        <w:rPr>
          <w:rFonts w:cs="Arial"/>
          <w:lang w:val="en-US"/>
        </w:rPr>
      </w:pPr>
      <w:r>
        <w:rPr>
          <w:rStyle w:val="FootnoteReference"/>
        </w:rPr>
        <w:footnoteRef/>
      </w:r>
      <w:r>
        <w:t xml:space="preserve"> Commission implementing regulation No 808/2014, Annex VII, point 2</w:t>
      </w:r>
    </w:p>
  </w:footnote>
  <w:footnote w:id="188">
    <w:p w:rsidR="00143584" w:rsidRDefault="00D64125">
      <w:pPr>
        <w:pStyle w:val="FootnoteText"/>
        <w:rPr>
          <w:rFonts w:cs="Arial"/>
          <w:lang w:val="en-US"/>
        </w:rPr>
      </w:pPr>
      <w:r>
        <w:rPr>
          <w:rStyle w:val="FootnoteReference"/>
        </w:rPr>
        <w:footnoteRef/>
      </w:r>
      <w:r>
        <w:t xml:space="preserve"> Regulation (EU) No 1303/2013, Art. 55 and Regulation (EU) No 1305/2013, Art. 77</w:t>
      </w:r>
    </w:p>
  </w:footnote>
  <w:footnote w:id="189">
    <w:p w:rsidR="00143584" w:rsidRDefault="00D64125">
      <w:pPr>
        <w:pStyle w:val="FootnoteText"/>
        <w:rPr>
          <w:rFonts w:cs="Arial"/>
          <w:lang w:val="en-US"/>
        </w:rPr>
      </w:pPr>
      <w:r>
        <w:rPr>
          <w:rStyle w:val="FootnoteReference"/>
        </w:rPr>
        <w:footnoteRef/>
      </w:r>
      <w:r>
        <w:t xml:space="preserve"> Regulation (EU) No 1303/2013, Art. 57 and Regulation (EU) No 1305/2013, Art. 78</w:t>
      </w:r>
    </w:p>
  </w:footnote>
  <w:footnote w:id="190">
    <w:p w:rsidR="00143584" w:rsidRDefault="00D64125">
      <w:pPr>
        <w:pStyle w:val="FootnoteText"/>
        <w:rPr>
          <w:rFonts w:cs="Arial"/>
          <w:lang w:val="en-US"/>
        </w:rPr>
      </w:pPr>
      <w:r>
        <w:rPr>
          <w:rStyle w:val="FootnoteReference"/>
        </w:rPr>
        <w:footnoteRef/>
      </w:r>
      <w:r>
        <w:t xml:space="preserve"> Commission Implementing Regulation (EU) No 808/2014</w:t>
      </w:r>
    </w:p>
  </w:footnote>
  <w:footnote w:id="191">
    <w:p w:rsidR="00143584" w:rsidRDefault="00D64125">
      <w:pPr>
        <w:pStyle w:val="FootnoteText"/>
        <w:rPr>
          <w:rFonts w:cs="Arial"/>
          <w:lang w:val="en-GB"/>
        </w:rPr>
      </w:pPr>
      <w:r>
        <w:rPr>
          <w:rStyle w:val="FootnoteReference"/>
        </w:rPr>
        <w:footnoteRef/>
      </w:r>
      <w:r>
        <w:t xml:space="preserve"> Regulation (EU) No 1303/2013</w:t>
      </w:r>
    </w:p>
  </w:footnote>
  <w:footnote w:id="192">
    <w:p w:rsidR="00143584" w:rsidRDefault="00D64125">
      <w:pPr>
        <w:pStyle w:val="FootnoteText"/>
        <w:rPr>
          <w:rFonts w:cs="Arial"/>
          <w:lang w:val="en-GB"/>
        </w:rPr>
      </w:pPr>
      <w:r>
        <w:rPr>
          <w:rStyle w:val="FootnoteReference"/>
        </w:rPr>
        <w:footnoteRef/>
      </w:r>
      <w:r>
        <w:t xml:space="preserve"> Regulation (EU) No 1305/2013</w:t>
      </w:r>
    </w:p>
  </w:footnote>
  <w:footnote w:id="193">
    <w:p w:rsidR="00143584" w:rsidRDefault="00D64125">
      <w:pPr>
        <w:pStyle w:val="FootnoteText"/>
        <w:rPr>
          <w:rFonts w:cs="Arial"/>
          <w:lang w:val="en-US"/>
        </w:rPr>
      </w:pPr>
      <w:r>
        <w:rPr>
          <w:rStyle w:val="FootnoteReference"/>
        </w:rPr>
        <w:footnoteRef/>
      </w:r>
      <w:r>
        <w:t xml:space="preserve"> Regulation (EU) No 1303/2013, Art. 50 and Commission implementing regulation No 808/2014, Annex VII, point 2 e) and point 3</w:t>
      </w:r>
    </w:p>
  </w:footnote>
  <w:footnote w:id="194">
    <w:p w:rsidR="00143584" w:rsidRDefault="00D64125">
      <w:pPr>
        <w:pStyle w:val="FootnoteText"/>
        <w:rPr>
          <w:rFonts w:cs="Arial"/>
          <w:lang w:val="en-US"/>
        </w:rPr>
      </w:pPr>
      <w:r>
        <w:rPr>
          <w:rStyle w:val="FootnoteReference"/>
        </w:rPr>
        <w:footnoteRef/>
      </w:r>
      <w:r>
        <w:t xml:space="preserve"> Regulation (EU) No 1305/2013, Art. 75 and Commission implementing regulation No 808/2014, Annex VII, point 2  </w:t>
      </w:r>
    </w:p>
  </w:footnote>
  <w:footnote w:id="195">
    <w:p w:rsidR="00143584" w:rsidRDefault="00D64125">
      <w:pPr>
        <w:pStyle w:val="FootnoteText"/>
        <w:rPr>
          <w:rFonts w:cs="Arial"/>
          <w:lang w:val="en-US"/>
        </w:rPr>
      </w:pPr>
      <w:r>
        <w:rPr>
          <w:rStyle w:val="FootnoteReference"/>
        </w:rPr>
        <w:footnoteRef/>
      </w:r>
      <w:r>
        <w:t xml:space="preserve"> Regulation (EU) No 1305/2013, Art. 75 and Commission implementing regulation No 808/2014, Annex VII, point 2</w:t>
      </w:r>
    </w:p>
  </w:footnote>
  <w:footnote w:id="196">
    <w:p w:rsidR="00143584" w:rsidRDefault="00D64125">
      <w:pPr>
        <w:pStyle w:val="FootnoteText"/>
        <w:rPr>
          <w:rFonts w:cs="Arial"/>
          <w:lang w:val="en-US"/>
        </w:rPr>
      </w:pPr>
      <w:r>
        <w:rPr>
          <w:rStyle w:val="FootnoteReference"/>
        </w:rPr>
        <w:footnoteRef/>
      </w:r>
      <w:r>
        <w:t xml:space="preserve"> Commission implementing regulation, Annex VII, point 1</w:t>
      </w:r>
    </w:p>
  </w:footnote>
  <w:footnote w:id="197">
    <w:p w:rsidR="00143584" w:rsidRDefault="00D64125">
      <w:pPr>
        <w:pStyle w:val="FootnoteText"/>
        <w:rPr>
          <w:rFonts w:cs="Arial"/>
          <w:lang w:val="en-US"/>
        </w:rPr>
      </w:pPr>
      <w:r>
        <w:rPr>
          <w:rStyle w:val="FootnoteReference"/>
        </w:rPr>
        <w:footnoteRef/>
      </w:r>
      <w:r>
        <w:t xml:space="preserve"> Regulation (EU) No 1303/2013, Art. 50 and 57 (ex post), Commission implementing regulation No 808/2014, Art. 14.1 b) and Annex IV and Annex VII, point 1 and point 7</w:t>
      </w:r>
    </w:p>
  </w:footnote>
  <w:footnote w:id="198">
    <w:p w:rsidR="00143584" w:rsidRDefault="00D64125">
      <w:pPr>
        <w:pStyle w:val="FootnoteText"/>
        <w:rPr>
          <w:rFonts w:cs="Arial"/>
          <w:lang w:val="en-GB"/>
        </w:rPr>
      </w:pPr>
      <w:r>
        <w:rPr>
          <w:rStyle w:val="FootnoteReference"/>
        </w:rPr>
        <w:footnoteRef/>
      </w:r>
      <w:r>
        <w:t xml:space="preserve"> Regulation (EU) No 1303/2013, Art. 46</w:t>
      </w:r>
    </w:p>
  </w:footnote>
  <w:footnote w:id="199">
    <w:p w:rsidR="00143584" w:rsidRDefault="00D64125">
      <w:pPr>
        <w:pStyle w:val="FootnoteText"/>
        <w:rPr>
          <w:rFonts w:cs="Arial"/>
          <w:lang w:val="en-US"/>
        </w:rPr>
      </w:pPr>
      <w:r>
        <w:rPr>
          <w:rStyle w:val="FootnoteReference"/>
        </w:rPr>
        <w:footnoteRef/>
      </w:r>
      <w:r>
        <w:t xml:space="preserve"> Commission implementing regulation No 808/2014, Art.14.4</w:t>
      </w:r>
    </w:p>
  </w:footnote>
  <w:footnote w:id="200">
    <w:p w:rsidR="00143584" w:rsidRDefault="00D64125">
      <w:pPr>
        <w:pStyle w:val="FootnoteText"/>
        <w:rPr>
          <w:rFonts w:cs="Arial"/>
          <w:lang w:val="en-US"/>
        </w:rPr>
      </w:pPr>
      <w:r>
        <w:rPr>
          <w:rStyle w:val="FootnoteReference"/>
        </w:rPr>
        <w:footnoteRef/>
      </w:r>
      <w:r>
        <w:t xml:space="preserve"> Regulation (EU) No 1303/2013, Art. 50 and Common implementing regulation No 808/2014, Annex VII, point 2 d) and e)</w:t>
      </w:r>
    </w:p>
  </w:footnote>
  <w:footnote w:id="201">
    <w:p w:rsidR="00143584" w:rsidRDefault="00D64125">
      <w:pPr>
        <w:pStyle w:val="FootnoteText"/>
        <w:rPr>
          <w:rFonts w:cs="Arial"/>
          <w:lang w:val="en-GB"/>
        </w:rPr>
      </w:pPr>
      <w:r>
        <w:rPr>
          <w:rStyle w:val="FootnoteReference"/>
        </w:rPr>
        <w:footnoteRef/>
      </w:r>
      <w:r>
        <w:t xml:space="preserve"> Regulation (EU) No 1303/2013, Art.50</w:t>
      </w:r>
    </w:p>
  </w:footnote>
  <w:footnote w:id="202">
    <w:p w:rsidR="00143584" w:rsidRDefault="00D64125">
      <w:pPr>
        <w:pStyle w:val="FootnoteText"/>
        <w:rPr>
          <w:rFonts w:cs="Arial"/>
          <w:lang w:val="en-US"/>
        </w:rPr>
      </w:pPr>
      <w:r>
        <w:rPr>
          <w:rStyle w:val="FootnoteReference"/>
        </w:rPr>
        <w:footnoteRef/>
      </w:r>
      <w:r>
        <w:t xml:space="preserve"> Regulation (EU) No 1303/2013, Art. 50 and Commission implementing regulation No 808/2014, Annex VII, point 7</w:t>
      </w:r>
    </w:p>
  </w:footnote>
  <w:footnote w:id="203">
    <w:p w:rsidR="00143584" w:rsidRDefault="00D64125">
      <w:pPr>
        <w:pStyle w:val="FootnoteText"/>
        <w:rPr>
          <w:rFonts w:cs="Arial"/>
          <w:lang w:val="en-US"/>
        </w:rPr>
      </w:pPr>
      <w:r>
        <w:rPr>
          <w:rStyle w:val="FootnoteReference"/>
        </w:rPr>
        <w:footnoteRef/>
      </w:r>
      <w:r>
        <w:t xml:space="preserve"> Common implementing regulation No 808/2014, Annex VII, point 8</w:t>
      </w:r>
    </w:p>
  </w:footnote>
  <w:footnote w:id="204">
    <w:p w:rsidR="00143584" w:rsidRDefault="00D64125">
      <w:pPr>
        <w:pStyle w:val="FootnoteText"/>
        <w:rPr>
          <w:rFonts w:cs="Arial"/>
          <w:lang w:val="en-US"/>
        </w:rPr>
      </w:pPr>
      <w:r>
        <w:rPr>
          <w:rStyle w:val="FootnoteReference"/>
        </w:rPr>
        <w:footnoteRef/>
      </w:r>
      <w:r>
        <w:t xml:space="preserve"> Common implementing regulation No 808/2014, Annex VII, point 6</w:t>
      </w:r>
    </w:p>
  </w:footnote>
  <w:footnote w:id="205">
    <w:p w:rsidR="00143584" w:rsidRDefault="00D64125">
      <w:pPr>
        <w:pStyle w:val="FootnoteText"/>
        <w:rPr>
          <w:rFonts w:cs="Arial"/>
          <w:lang w:val="sk-SK"/>
        </w:rPr>
      </w:pPr>
      <w:r>
        <w:rPr>
          <w:rStyle w:val="FootnoteReference"/>
        </w:rPr>
        <w:footnoteRef/>
      </w:r>
      <w:r>
        <w:t xml:space="preserve"> Commission implementing regulation (EU) no 808/2014, Annex I, part 5</w:t>
      </w:r>
    </w:p>
  </w:footnote>
  <w:footnote w:id="206">
    <w:p w:rsidR="00143584" w:rsidRDefault="00D64125">
      <w:pPr>
        <w:pStyle w:val="FootnoteText"/>
        <w:rPr>
          <w:rFonts w:cs="Arial"/>
          <w:lang w:val="sk-SK"/>
        </w:rPr>
      </w:pPr>
      <w:r>
        <w:rPr>
          <w:rStyle w:val="FootnoteReference"/>
        </w:rPr>
        <w:footnoteRef/>
      </w:r>
      <w:r>
        <w:t xml:space="preserve"> Commission implementing regulation (EU) no 808/2014, Annex I, part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1435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143584">
    <w:pPr>
      <w:pStyle w:val="Header"/>
    </w:pPr>
  </w:p>
  <w:p w:rsidR="00143584" w:rsidRDefault="0014358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H-Header"/>
      <w:tabs>
        <w:tab w:val="clear" w:pos="4536"/>
        <w:tab w:val="clear" w:pos="9072"/>
      </w:tabs>
      <w:rPr>
        <w:sz w:val="24"/>
      </w:rPr>
    </w:pPr>
    <w:r>
      <w:tab/>
      <w:t xml:space="preserve"> </w:t>
    </w:r>
    <w:r>
      <w:rPr>
        <w:rFonts w:ascii="Arial" w:hAnsi="Arial"/>
        <w:color w:val="F07E31"/>
        <w:sz w:val="18"/>
      </w:rPr>
      <w:t>Guidelines: Assessment of RDP results: How to prepare for reporting on evaluation in 2017</w:t>
    </w:r>
  </w:p>
  <w:p w:rsidR="00143584" w:rsidRDefault="0014358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143584">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143584">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Header"/>
      <w:pBdr>
        <w:bottom w:val="none" w:sz="0" w:space="0" w:color="auto"/>
      </w:pBdr>
      <w:tabs>
        <w:tab w:val="clear" w:pos="8618"/>
      </w:tabs>
      <w:ind w:left="0" w:right="-286"/>
      <w:jc w:val="right"/>
    </w:pPr>
    <w:r>
      <w:tab/>
      <w:t>Guidelines - Assessment of RDP results: How to prepare for reporting on evaluation in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Header"/>
      <w:pBdr>
        <w:bottom w:val="none" w:sz="0" w:space="0" w:color="auto"/>
      </w:pBdr>
      <w:tabs>
        <w:tab w:val="clear" w:pos="8618"/>
      </w:tabs>
      <w:ind w:left="0" w:right="0"/>
      <w:jc w:val="right"/>
    </w:pPr>
    <w:r>
      <w:tab/>
      <w:t>Guidelines - Assessment of RDP results: How to prepare for reporting on evaluation in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584" w:rsidRDefault="00D6412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618830BE"/>
    <w:lvl w:ilvl="0" w:tplc="615EC00C">
      <w:start w:val="1"/>
      <w:numFmt w:val="decimal"/>
      <w:pStyle w:val="HHeadingfigures"/>
      <w:lvlText w:val="Фигура %1."/>
      <w:lvlJc w:val="left"/>
      <w:pPr>
        <w:ind w:left="0" w:firstLine="0"/>
      </w:pPr>
      <w:rPr>
        <w:rFonts w:hint="default"/>
        <w:b/>
        <w:bCs w:val="0"/>
        <w:i w:val="0"/>
        <w:iCs w:val="0"/>
        <w:caps w:val="0"/>
        <w:smallCaps w:val="0"/>
        <w:strike w:val="0"/>
        <w:dstrike w:val="0"/>
        <w:vanish w:val="0"/>
        <w:color w:val="262626" w:themeColor="text2" w:themeTint="D9"/>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C776980C"/>
    <w:lvl w:ilvl="0" w:tplc="2E26C69A">
      <w:start w:val="1"/>
      <w:numFmt w:val="decimal"/>
      <w:pStyle w:val="HHeadingtables"/>
      <w:lvlText w:val="Таблица %1."/>
      <w:lvlJc w:val="left"/>
      <w:pPr>
        <w:ind w:left="0" w:firstLine="0"/>
      </w:pPr>
      <w:rPr>
        <w:rFonts w:hint="default"/>
        <w:b/>
        <w:bCs w:val="0"/>
        <w:i w:val="0"/>
        <w:iCs w:val="0"/>
        <w:caps w:val="0"/>
        <w:smallCaps w:val="0"/>
        <w:strike w:val="0"/>
        <w:dstrike w:val="0"/>
        <w:vanish w:val="0"/>
        <w:color w:val="262626" w:themeColor="text2" w:themeTint="D9"/>
        <w:spacing w:val="0"/>
        <w:kern w:val="0"/>
        <w:position w:val="0"/>
        <w:sz w:val="16"/>
        <w:szCs w:val="16"/>
        <w:u w:val="none"/>
        <w:effect w:val="none"/>
        <w:vertAlign w:val="baseline"/>
        <w:em w:v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D3AAC8C8"/>
    <w:lvl w:ilvl="0" w:tplc="D814EE44">
      <w:start w:val="1"/>
      <mc:AlternateContent>
        <mc:Choice Requires="w14">
          <w:numFmt w:val="custom" w:format="а, й, к, ..."/>
        </mc:Choice>
        <mc:Fallback>
          <w:numFmt w:val="decimal"/>
        </mc:Fallback>
      </mc:AlternateContent>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ListBullet"/>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6"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7"/>
  </w:num>
  <w:num w:numId="6">
    <w:abstractNumId w:val="45"/>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4"/>
  </w:num>
  <w:num w:numId="32">
    <w:abstractNumId w:val="27"/>
  </w:num>
  <w:num w:numId="33">
    <w:abstractNumId w:val="10"/>
  </w:num>
  <w:num w:numId="34">
    <w:abstractNumId w:val="26"/>
    <w:lvlOverride w:ilvl="0">
      <w:startOverride w:val="1"/>
    </w:lvlOverride>
  </w:num>
  <w:num w:numId="35">
    <w:abstractNumId w:val="46"/>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43584"/>
    <w:rsid w:val="00122DCC"/>
    <w:rsid w:val="00143584"/>
    <w:rsid w:val="00325791"/>
    <w:rsid w:val="003617CD"/>
    <w:rsid w:val="003C3C78"/>
    <w:rsid w:val="005B282B"/>
    <w:rsid w:val="005E336E"/>
    <w:rsid w:val="00607FE5"/>
    <w:rsid w:val="00715649"/>
    <w:rsid w:val="00977501"/>
    <w:rsid w:val="009A4382"/>
    <w:rsid w:val="00A021FD"/>
    <w:rsid w:val="00A30C77"/>
    <w:rsid w:val="00BB4F19"/>
    <w:rsid w:val="00BF04BB"/>
    <w:rsid w:val="00D03735"/>
    <w:rsid w:val="00D6412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06EA81"/>
  <w15:docId w15:val="{220619CF-6267-496E-8FBE-D54EE5E1A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bg-BG"/>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pPr>
      <w:tabs>
        <w:tab w:val="right" w:pos="8618"/>
      </w:tabs>
      <w:ind w:left="-907" w:right="-907"/>
      <w:jc w:val="center"/>
    </w:pPr>
    <w:rPr>
      <w:rFonts w:ascii="Arial" w:hAnsi="Arial"/>
      <w:color w:val="808080"/>
      <w:sz w:val="18"/>
    </w:rPr>
  </w:style>
  <w:style w:type="character" w:styleId="PageNumber">
    <w:name w:val="page number"/>
    <w:basedOn w:val="DefaultParagraphFont"/>
    <w:semiHidden/>
    <w:rPr>
      <w:rFonts w:ascii="Arial" w:hAnsi="Arial"/>
      <w:color w:val="808080"/>
      <w:sz w:val="18"/>
    </w:rPr>
  </w:style>
  <w:style w:type="paragraph" w:customStyle="1" w:styleId="HTitle2">
    <w:name w:val="H_Title2"/>
    <w:basedOn w:val="Normal"/>
    <w:qFormat/>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pPr>
      <w:numPr>
        <w:numId w:val="46"/>
      </w:numPr>
      <w:spacing w:after="140"/>
      <w:ind w:left="811" w:hanging="454"/>
    </w:pPr>
  </w:style>
  <w:style w:type="paragraph" w:customStyle="1" w:styleId="Hlistabc">
    <w:name w:val="H_list_abc"/>
    <w:pPr>
      <w:numPr>
        <w:numId w:val="3"/>
      </w:numPr>
      <w:tabs>
        <w:tab w:val="left" w:pos="567"/>
      </w:tabs>
      <w:spacing w:before="60" w:line="220" w:lineRule="atLeast"/>
      <w:jc w:val="both"/>
    </w:pPr>
    <w:rPr>
      <w:rFonts w:ascii="Arial" w:hAnsi="Arial"/>
      <w:color w:val="373737" w:themeColor="background1" w:themeShade="40"/>
    </w:rPr>
  </w:style>
  <w:style w:type="paragraph" w:customStyle="1" w:styleId="Hlistabc2">
    <w:name w:val="H_list_abc_2"/>
    <w:basedOn w:val="Hlistabc"/>
    <w:next w:val="HStandard"/>
    <w:pPr>
      <w:spacing w:after="140"/>
    </w:pPr>
  </w:style>
  <w:style w:type="paragraph" w:customStyle="1" w:styleId="HTitle1">
    <w:name w:val="H_Title1"/>
    <w:basedOn w:val="Normal"/>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pPr>
      <w:spacing w:before="0" w:after="0" w:line="280" w:lineRule="exact"/>
      <w:jc w:val="left"/>
    </w:pPr>
    <w:rPr>
      <w:sz w:val="20"/>
    </w:rPr>
  </w:style>
  <w:style w:type="paragraph" w:customStyle="1" w:styleId="HTitle3">
    <w:name w:val="H_Title3"/>
    <w:basedOn w:val="Autor"/>
    <w:rPr>
      <w:b/>
      <w:color w:val="6F6F6F"/>
      <w:sz w:val="28"/>
    </w:rPr>
  </w:style>
  <w:style w:type="paragraph" w:styleId="TOC1">
    <w:name w:val="toc 1"/>
    <w:next w:val="Normal"/>
    <w:uiPriority w:val="39"/>
    <w:qFormat/>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pPr>
      <w:tabs>
        <w:tab w:val="clear" w:pos="8618"/>
        <w:tab w:val="right" w:pos="12871"/>
      </w:tabs>
    </w:pPr>
  </w:style>
  <w:style w:type="paragraph" w:styleId="TableofFigures">
    <w:name w:val="table of figures"/>
    <w:next w:val="HStandard"/>
    <w:uiPriority w:val="99"/>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pPr>
      <w:spacing w:after="140"/>
    </w:pPr>
  </w:style>
  <w:style w:type="paragraph" w:customStyle="1" w:styleId="HSource">
    <w:name w:val="H_Source"/>
    <w:next w:val="HStandard"/>
    <w:pPr>
      <w:suppressAutoHyphens/>
      <w:spacing w:before="60" w:after="140"/>
      <w:jc w:val="center"/>
    </w:pPr>
    <w:rPr>
      <w:rFonts w:ascii="Arial" w:hAnsi="Arial"/>
      <w:i/>
      <w:color w:val="808080"/>
      <w:sz w:val="16"/>
    </w:rPr>
  </w:style>
  <w:style w:type="paragraph" w:customStyle="1" w:styleId="Htableleft">
    <w:name w:val="H_table_left"/>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pPr>
      <w:jc w:val="center"/>
    </w:pPr>
  </w:style>
  <w:style w:type="paragraph" w:customStyle="1" w:styleId="Htableleftbolt">
    <w:name w:val="H_table_left_bolt"/>
    <w:basedOn w:val="Htableleft"/>
    <w:rPr>
      <w:b/>
      <w:color w:val="DDDDDD" w:themeColor="background1"/>
    </w:rPr>
  </w:style>
  <w:style w:type="paragraph" w:customStyle="1" w:styleId="Htablecenteredbolt">
    <w:name w:val="H_table_centered_bolt"/>
    <w:basedOn w:val="Htablecentered"/>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2"/>
    <w:uiPriority w:val="99"/>
    <w:qFormat/>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Pr>
      <w:rFonts w:ascii="Arial" w:hAnsi="Arial"/>
      <w:i/>
      <w:dstrike w:val="0"/>
      <w:color w:val="808080"/>
      <w:position w:val="6"/>
      <w:sz w:val="12"/>
      <w:vertAlign w:val="baseline"/>
    </w:rPr>
  </w:style>
  <w:style w:type="paragraph" w:customStyle="1" w:styleId="HContent">
    <w:name w:val="H_Content"/>
    <w:basedOn w:val="Heading1"/>
    <w:next w:val="HStandard"/>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pPr>
      <w:widowControl w:val="0"/>
      <w:spacing w:before="200" w:after="100"/>
      <w:outlineLvl w:val="4"/>
    </w:pPr>
    <w:rPr>
      <w:rFonts w:ascii="Arial" w:hAnsi="Arial"/>
      <w:b/>
      <w:color w:val="57825E"/>
    </w:rPr>
  </w:style>
  <w:style w:type="paragraph" w:customStyle="1" w:styleId="HHeading9">
    <w:name w:val="H_Heading 9"/>
    <w:basedOn w:val="HHeading1"/>
    <w:next w:val="HStandard"/>
    <w:pPr>
      <w:numPr>
        <w:numId w:val="0"/>
      </w:numPr>
    </w:pPr>
    <w:rPr>
      <w:noProof/>
    </w:rPr>
  </w:style>
  <w:style w:type="character" w:styleId="Hyperlink">
    <w:name w:val="Hyperlink"/>
    <w:basedOn w:val="DefaultParagraphFont"/>
    <w:uiPriority w:val="99"/>
    <w:rPr>
      <w:rFonts w:ascii="Arial" w:hAnsi="Arial"/>
      <w:color w:val="F07E31" w:themeColor="background2"/>
      <w:u w:val="single"/>
    </w:rPr>
  </w:style>
  <w:style w:type="paragraph" w:customStyle="1" w:styleId="HStandard">
    <w:name w:val="H_Standard"/>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pPr>
      <w:shd w:val="clear" w:color="auto" w:fill="000080"/>
    </w:pPr>
    <w:rPr>
      <w:rFonts w:ascii="Tahoma" w:hAnsi="Tahoma" w:cs="Tahoma"/>
    </w:rPr>
  </w:style>
  <w:style w:type="paragraph" w:styleId="BalloonText">
    <w:name w:val="Balloon Text"/>
    <w:basedOn w:val="Normal"/>
    <w:link w:val="BalloonTextChar"/>
    <w:uiPriority w:val="99"/>
    <w:semiHidden/>
    <w:unhideWhenUse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bg-BG"/>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pPr>
      <w:keepNext/>
      <w:numPr>
        <w:numId w:val="8"/>
      </w:numPr>
    </w:pPr>
    <w:rPr>
      <w:rFonts w:cs="Arial"/>
      <w:color w:val="373737" w:themeColor="background1" w:themeShade="40"/>
    </w:rPr>
  </w:style>
  <w:style w:type="paragraph" w:customStyle="1" w:styleId="HHeadingmaps">
    <w:name w:val="H_Heading_maps"/>
    <w:basedOn w:val="HHeadingtables"/>
    <w:next w:val="HStandard"/>
    <w:qFormat/>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pPr>
      <w:numPr>
        <w:numId w:val="10"/>
      </w:numPr>
    </w:pPr>
    <w:rPr>
      <w:color w:val="6E6E6E" w:themeColor="background1" w:themeShade="80"/>
    </w:rPr>
  </w:style>
  <w:style w:type="paragraph" w:customStyle="1" w:styleId="HBox">
    <w:name w:val="H_Box"/>
    <w:next w:val="HStandard"/>
    <w:qFormat/>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pPr>
      <w:spacing w:before="0" w:after="0" w:line="240" w:lineRule="auto"/>
    </w:pPr>
    <w:rPr>
      <w:sz w:val="20"/>
      <w:szCs w:val="20"/>
    </w:rPr>
  </w:style>
  <w:style w:type="character" w:customStyle="1" w:styleId="EndnoteTextChar">
    <w:name w:val="Endnote Text Char"/>
    <w:basedOn w:val="DefaultParagraphFont"/>
    <w:link w:val="EndnoteText"/>
    <w:rPr>
      <w:rFonts w:ascii="Arial" w:hAnsi="Arial"/>
      <w:lang w:val="bg-BG"/>
    </w:rPr>
  </w:style>
  <w:style w:type="character" w:styleId="EndnoteReference">
    <w:name w:val="endnote reference"/>
    <w:basedOn w:val="DefaultParagraphFont"/>
    <w:unhideWhenUsed/>
    <w:rPr>
      <w:vertAlign w:val="superscript"/>
    </w:rPr>
  </w:style>
  <w:style w:type="character" w:styleId="CommentReference">
    <w:name w:val="annotation reference"/>
    <w:basedOn w:val="DefaultParagraphFont"/>
    <w:uiPriority w:val="99"/>
    <w:unhideWhenUsed/>
    <w:rPr>
      <w:rFonts w:ascii="Arial" w:hAnsi="Arial"/>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lang w:val="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hAnsi="Arial"/>
      <w:b/>
      <w:bCs/>
      <w:lang w:val="bg-BG"/>
    </w:rPr>
  </w:style>
  <w:style w:type="table" w:customStyle="1" w:styleId="TableGrid2">
    <w:name w:val="Table Grid2"/>
    <w:basedOn w:val="TableNormal"/>
    <w:next w:val="TableGrid"/>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Pr>
      <w:rFonts w:ascii="Arial" w:hAnsi="Arial"/>
      <w:color w:val="808080"/>
      <w:sz w:val="16"/>
      <w:lang w:val="bg-BG"/>
    </w:rPr>
  </w:style>
  <w:style w:type="table" w:customStyle="1" w:styleId="Mriekatabuky2">
    <w:name w:val="Mriežka tabuľky2"/>
    <w:basedOn w:val="TableNormal"/>
    <w:next w:val="TableGrid"/>
    <w:uiPriority w:val="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Pr>
      <w:color w:val="F07E31" w:themeColor="followedHyperlink"/>
      <w:u w:val="single"/>
    </w:rPr>
  </w:style>
  <w:style w:type="paragraph" w:customStyle="1" w:styleId="Chapter">
    <w:name w:val="Chapter"/>
    <w:basedOn w:val="Normal"/>
    <w:link w:val="ChapterChar"/>
    <w:uiPriority w:val="99"/>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Pr>
      <w:rFonts w:ascii="Helvetica" w:hAnsi="Helvetica"/>
      <w:sz w:val="28"/>
      <w:lang w:val="bg-BG"/>
    </w:rPr>
  </w:style>
  <w:style w:type="character" w:customStyle="1" w:styleId="Heading1Char">
    <w:name w:val="Heading 1 Char"/>
    <w:link w:val="Heading1"/>
    <w:uiPriority w:val="9"/>
    <w:locked/>
    <w:rPr>
      <w:rFonts w:ascii="Arial" w:hAnsi="Arial" w:cs="Arial"/>
      <w:b/>
      <w:bCs/>
      <w:kern w:val="32"/>
      <w:sz w:val="24"/>
      <w:szCs w:val="32"/>
      <w:lang w:val="bg-BG"/>
    </w:rPr>
  </w:style>
  <w:style w:type="character" w:customStyle="1" w:styleId="Heading2Char">
    <w:name w:val="Heading 2 Char"/>
    <w:aliases w:val="Titre B Char,no vale Char,Heading 2 Char1 Char,Heading 2 Char Char Char"/>
    <w:link w:val="Heading2"/>
    <w:uiPriority w:val="9"/>
    <w:locked/>
    <w:rPr>
      <w:rFonts w:ascii="Arial" w:hAnsi="Arial" w:cs="Arial"/>
      <w:b/>
      <w:bCs/>
      <w:iCs/>
      <w:sz w:val="22"/>
      <w:szCs w:val="28"/>
      <w:lang w:val="bg-BG"/>
    </w:rPr>
  </w:style>
  <w:style w:type="character" w:customStyle="1" w:styleId="Heading3Char">
    <w:name w:val="Heading 3 Char"/>
    <w:aliases w:val="H3 Char,no vale1 Char,no vale1 Car Char"/>
    <w:link w:val="Heading3"/>
    <w:locked/>
    <w:rPr>
      <w:rFonts w:ascii="Arial" w:hAnsi="Arial" w:cs="Arial"/>
      <w:b/>
      <w:bCs/>
      <w:color w:val="5F5F5F"/>
      <w:szCs w:val="26"/>
      <w:lang w:val="bg-BG"/>
    </w:rPr>
  </w:style>
  <w:style w:type="character" w:customStyle="1" w:styleId="Heading4Char">
    <w:name w:val="Heading 4 Char"/>
    <w:aliases w:val="Heading 4 Char1 Char,Título 4 Car Char,Heading 4 Char1 Car Char,no vale 2 Char,no vale 2 Car Char"/>
    <w:uiPriority w:val="99"/>
    <w:rPr>
      <w:rFonts w:ascii="Arial Black" w:hAnsi="Arial Black"/>
      <w:i/>
      <w:snapToGrid w:val="0"/>
      <w:sz w:val="28"/>
      <w:lang w:val="bg-BG" w:eastAsia="bg-BG"/>
    </w:rPr>
  </w:style>
  <w:style w:type="character" w:customStyle="1" w:styleId="Heading5Char">
    <w:name w:val="Heading 5 Char"/>
    <w:link w:val="Heading5"/>
    <w:uiPriority w:val="99"/>
    <w:locked/>
    <w:rPr>
      <w:rFonts w:ascii="Arial" w:hAnsi="Arial"/>
      <w:b/>
      <w:bCs/>
      <w:iCs/>
      <w:color w:val="5F5F5F"/>
      <w:sz w:val="18"/>
      <w:szCs w:val="26"/>
    </w:rPr>
  </w:style>
  <w:style w:type="character" w:customStyle="1" w:styleId="Heading6Char">
    <w:name w:val="Heading 6 Char"/>
    <w:link w:val="Heading6"/>
    <w:uiPriority w:val="99"/>
    <w:locked/>
    <w:rPr>
      <w:rFonts w:ascii="Arial" w:hAnsi="Arial"/>
      <w:b/>
      <w:bCs/>
      <w:color w:val="808080"/>
      <w:sz w:val="16"/>
      <w:szCs w:val="22"/>
      <w:lang w:val="bg-BG"/>
    </w:rPr>
  </w:style>
  <w:style w:type="character" w:customStyle="1" w:styleId="Heading7Char">
    <w:name w:val="Heading 7 Char"/>
    <w:link w:val="Heading7"/>
    <w:locked/>
    <w:rPr>
      <w:rFonts w:ascii="Arial" w:hAnsi="Arial"/>
      <w:b/>
      <w:color w:val="808080"/>
      <w:sz w:val="16"/>
      <w:szCs w:val="24"/>
      <w:lang w:val="bg-BG"/>
    </w:rPr>
  </w:style>
  <w:style w:type="character" w:customStyle="1" w:styleId="Heading8Char">
    <w:name w:val="Heading 8 Char"/>
    <w:link w:val="Heading8"/>
    <w:locked/>
    <w:rPr>
      <w:rFonts w:ascii="Arial" w:hAnsi="Arial"/>
      <w:b/>
      <w:iCs/>
      <w:color w:val="808080"/>
      <w:sz w:val="16"/>
      <w:szCs w:val="24"/>
      <w:lang w:val="bg-BG"/>
    </w:rPr>
  </w:style>
  <w:style w:type="character" w:customStyle="1" w:styleId="Heading9Char">
    <w:name w:val="Heading 9 Char"/>
    <w:link w:val="Heading9"/>
    <w:locked/>
    <w:rPr>
      <w:rFonts w:ascii="Arial" w:hAnsi="Arial" w:cs="Arial"/>
      <w:b/>
      <w:bCs/>
      <w:kern w:val="32"/>
      <w:sz w:val="24"/>
      <w:szCs w:val="22"/>
      <w:lang w:val="bg-BG"/>
    </w:rPr>
  </w:style>
  <w:style w:type="paragraph" w:styleId="Caption">
    <w:name w:val="caption"/>
    <w:aliases w:val="Table"/>
    <w:basedOn w:val="Normal"/>
    <w:next w:val="Normal"/>
    <w:link w:val="CaptionChar"/>
    <w:uiPriority w:val="35"/>
    <w:qFormat/>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Pr>
      <w:rFonts w:ascii="Helvetica" w:hAnsi="Helvetica"/>
      <w:b/>
      <w:i/>
      <w:snapToGrid w:val="0"/>
      <w:color w:val="DF6532"/>
      <w:kern w:val="28"/>
      <w:sz w:val="32"/>
      <w:lang w:val="bg-BG"/>
    </w:rPr>
  </w:style>
  <w:style w:type="paragraph" w:styleId="Subtitle">
    <w:name w:val="Subtitle"/>
    <w:basedOn w:val="Normal"/>
    <w:link w:val="SubtitleChar"/>
    <w:uiPriority w:val="99"/>
    <w:qFormat/>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Pr>
      <w:rFonts w:ascii="Helvetica" w:hAnsi="Helvetica"/>
      <w:b/>
      <w:snapToGrid w:val="0"/>
      <w:color w:val="9B3930"/>
      <w:sz w:val="16"/>
      <w:szCs w:val="16"/>
      <w:lang w:val="bg-BG"/>
    </w:rPr>
  </w:style>
  <w:style w:type="character" w:styleId="Strong">
    <w:name w:val="Strong"/>
    <w:aliases w:val="Body Text 2 Char"/>
    <w:uiPriority w:val="22"/>
    <w:qFormat/>
    <w:rPr>
      <w:rFonts w:ascii="Arial" w:hAnsi="Arial"/>
      <w:b/>
      <w:sz w:val="16"/>
    </w:rPr>
  </w:style>
  <w:style w:type="character" w:styleId="Emphasis">
    <w:name w:val="Emphasis"/>
    <w:uiPriority w:val="20"/>
    <w:qFormat/>
    <w:rPr>
      <w:i/>
    </w:rPr>
  </w:style>
  <w:style w:type="paragraph" w:customStyle="1" w:styleId="ListParagraph2">
    <w:name w:val="List Paragraph2"/>
    <w:basedOn w:val="Normal"/>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Pr>
      <w:rFonts w:ascii="Helvetica" w:hAnsi="Helvetica"/>
      <w:b/>
      <w:bCs/>
      <w:color w:val="6F6F6F"/>
      <w:sz w:val="16"/>
      <w:lang w:val="bg-BG"/>
    </w:rPr>
  </w:style>
  <w:style w:type="character" w:customStyle="1" w:styleId="hps">
    <w:name w:val="hps"/>
    <w:uiPriority w:val="99"/>
    <w:rPr>
      <w:rFonts w:cs="Times New Roman"/>
    </w:rPr>
  </w:style>
  <w:style w:type="character" w:customStyle="1" w:styleId="IntenseEmphasis1">
    <w:name w:val="Intense Emphasis1"/>
    <w:rPr>
      <w:rFonts w:ascii="Helvetica" w:hAnsi="Helvetica" w:cs="Times New Roman"/>
      <w:b/>
      <w:bCs/>
      <w:i/>
      <w:iCs/>
      <w:color w:val="6E8967"/>
      <w:sz w:val="24"/>
    </w:rPr>
  </w:style>
  <w:style w:type="character" w:customStyle="1" w:styleId="HeaderChar">
    <w:name w:val="Header Char"/>
    <w:link w:val="Header"/>
    <w:locked/>
    <w:rPr>
      <w:rFonts w:ascii="Arial" w:hAnsi="Arial"/>
      <w:color w:val="F07E31"/>
      <w:sz w:val="18"/>
      <w:lang w:val="bg-BG"/>
    </w:rPr>
  </w:style>
  <w:style w:type="character" w:customStyle="1" w:styleId="FooterChar">
    <w:name w:val="Footer Char"/>
    <w:link w:val="Footer"/>
    <w:uiPriority w:val="99"/>
    <w:locked/>
    <w:rPr>
      <w:rFonts w:ascii="Arial" w:hAnsi="Arial"/>
      <w:color w:val="808080"/>
      <w:sz w:val="18"/>
      <w:lang w:val="bg-BG"/>
    </w:rPr>
  </w:style>
  <w:style w:type="character" w:customStyle="1" w:styleId="Heading4Char2">
    <w:name w:val="Heading 4 Char2"/>
    <w:aliases w:val="Heading 4 Char1 Char1,Título 4 Car Char1,Heading 4 Char1 Car Char1,no vale 2 Char1,no vale 2 Car Char1"/>
    <w:link w:val="Heading4"/>
    <w:uiPriority w:val="99"/>
    <w:locked/>
    <w:rPr>
      <w:rFonts w:ascii="Arial" w:hAnsi="Arial"/>
      <w:b/>
      <w:bCs/>
      <w:color w:val="5F5F5F"/>
      <w:sz w:val="18"/>
      <w:szCs w:val="28"/>
      <w:lang w:val="bg-BG"/>
    </w:rPr>
  </w:style>
  <w:style w:type="paragraph" w:customStyle="1" w:styleId="text">
    <w:name w:val="text"/>
    <w:basedOn w:val="Normal"/>
    <w:uiPriority w:val="99"/>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Pr>
      <w:i/>
    </w:rPr>
  </w:style>
  <w:style w:type="paragraph" w:customStyle="1" w:styleId="Style">
    <w:name w:val="Style"/>
    <w:uiPriority w:val="99"/>
    <w:rPr>
      <w:rFonts w:ascii="Calibri" w:hAnsi="Calibri"/>
      <w:sz w:val="24"/>
      <w:szCs w:val="24"/>
    </w:rPr>
  </w:style>
  <w:style w:type="table" w:customStyle="1" w:styleId="Tabellenraster11">
    <w:name w:val="Tabellenraster11"/>
    <w:uiPriority w:val="99"/>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pPr>
    <w:rPr>
      <w:color w:val="000000"/>
      <w:sz w:val="24"/>
      <w:szCs w:val="24"/>
    </w:rPr>
  </w:style>
  <w:style w:type="paragraph" w:customStyle="1" w:styleId="Pa10">
    <w:name w:val="Pa10"/>
    <w:basedOn w:val="Default"/>
    <w:next w:val="Default"/>
    <w:uiPriority w:val="99"/>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Pr>
      <w:rFonts w:ascii="Helvetica" w:hAnsi="Helvetica"/>
      <w:i/>
      <w:iCs/>
      <w:snapToGrid w:val="0"/>
      <w:color w:val="000000"/>
      <w:sz w:val="22"/>
      <w:szCs w:val="22"/>
      <w:lang w:val="bg-BG"/>
    </w:rPr>
  </w:style>
  <w:style w:type="paragraph" w:styleId="ListBullet">
    <w:name w:val="List Bullet"/>
    <w:basedOn w:val="Normal"/>
    <w:uiPriority w:val="99"/>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Pr>
      <w:rFonts w:ascii="Helvetica" w:hAnsi="Helvetica"/>
      <w:b/>
      <w:bCs/>
      <w:i/>
      <w:iCs/>
      <w:snapToGrid w:val="0"/>
      <w:color w:val="4F81BD"/>
      <w:sz w:val="22"/>
      <w:szCs w:val="22"/>
      <w:lang w:val="bg-BG"/>
    </w:rPr>
  </w:style>
  <w:style w:type="numbering" w:styleId="111111">
    <w:name w:val="Outline List 2"/>
    <w:basedOn w:val="NoList"/>
    <w:uiPriority w:val="99"/>
    <w:pPr>
      <w:numPr>
        <w:numId w:val="15"/>
      </w:numPr>
    </w:pPr>
  </w:style>
  <w:style w:type="paragraph" w:customStyle="1" w:styleId="ListParagraph3">
    <w:name w:val="List Paragraph3"/>
    <w:basedOn w:val="Normal"/>
    <w:uiPriority w:val="99"/>
    <w:qFormat/>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Pr>
      <w:sz w:val="24"/>
      <w:szCs w:val="24"/>
      <w:lang w:val="bg-BG" w:eastAsia="bg-BG"/>
    </w:rPr>
  </w:style>
  <w:style w:type="character" w:customStyle="1" w:styleId="IntenseEmphasis2">
    <w:name w:val="Intense Emphasis2"/>
    <w:uiPriority w:val="99"/>
    <w:qFormat/>
    <w:rPr>
      <w:b/>
      <w:bCs/>
      <w:i/>
      <w:iCs/>
      <w:color w:val="4F81BD"/>
    </w:rPr>
  </w:style>
  <w:style w:type="paragraph" w:customStyle="1" w:styleId="Revision1">
    <w:name w:val="Revision1"/>
    <w:hidden/>
    <w:uiPriority w:val="99"/>
    <w:semiHidden/>
    <w:rPr>
      <w:rFonts w:ascii="Arial" w:hAnsi="Arial"/>
      <w:szCs w:val="22"/>
    </w:rPr>
  </w:style>
  <w:style w:type="paragraph" w:customStyle="1" w:styleId="1">
    <w:name w:val="1"/>
    <w:basedOn w:val="Normal"/>
    <w:uiPriority w:val="99"/>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Pr>
      <w:b/>
      <w:bCs/>
      <w:i/>
      <w:iCs/>
      <w:color w:val="4F81BD"/>
    </w:rPr>
  </w:style>
  <w:style w:type="paragraph" w:styleId="TOCHeading">
    <w:name w:val="TOC Heading"/>
    <w:basedOn w:val="Heading1"/>
    <w:next w:val="Normal"/>
    <w:uiPriority w:val="39"/>
    <w:qFormat/>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Pr>
      <w:rFonts w:ascii="Helvetica" w:hAnsi="Helvetica"/>
      <w:sz w:val="18"/>
      <w:szCs w:val="18"/>
      <w:lang w:val="bg-BG"/>
    </w:rPr>
  </w:style>
  <w:style w:type="paragraph" w:styleId="BodyText3">
    <w:name w:val="Body Text 3"/>
    <w:basedOn w:val="Normal"/>
    <w:link w:val="BodyText3Char"/>
    <w:uiPriority w:val="99"/>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Pr>
      <w:rFonts w:ascii="Helvetica" w:hAnsi="Helvetica"/>
      <w:color w:val="000000"/>
      <w:sz w:val="32"/>
      <w:szCs w:val="22"/>
      <w:lang w:val="bg-BG"/>
    </w:rPr>
  </w:style>
  <w:style w:type="paragraph" w:styleId="BodyTextIndent">
    <w:name w:val="Body Text Indent"/>
    <w:basedOn w:val="Normal"/>
    <w:link w:val="BodyTextIndentChar"/>
    <w:uiPriority w:val="99"/>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Pr>
      <w:rFonts w:ascii="Helvetica" w:hAnsi="Helvetica" w:cs="Arial"/>
      <w:i/>
      <w:sz w:val="32"/>
      <w:szCs w:val="22"/>
      <w:lang w:val="bg-BG"/>
    </w:rPr>
  </w:style>
  <w:style w:type="paragraph" w:styleId="BlockText">
    <w:name w:val="Block Text"/>
    <w:basedOn w:val="Normal"/>
    <w:uiPriority w:val="99"/>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Pr>
      <w:rFonts w:ascii="Helvetica" w:hAnsi="Helvetica"/>
      <w:sz w:val="32"/>
      <w:szCs w:val="22"/>
      <w:lang w:val="bg-BG"/>
    </w:rPr>
  </w:style>
  <w:style w:type="paragraph" w:styleId="BodyTextIndent3">
    <w:name w:val="Body Text Indent 3"/>
    <w:basedOn w:val="Normal"/>
    <w:link w:val="BodyTextIndent3Char"/>
    <w:uiPriority w:val="99"/>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Pr>
      <w:rFonts w:ascii="Helvetica" w:hAnsi="Helvetica"/>
      <w:sz w:val="16"/>
      <w:szCs w:val="16"/>
      <w:lang w:val="bg-BG"/>
    </w:rPr>
  </w:style>
  <w:style w:type="character" w:customStyle="1" w:styleId="DocumentMapChar">
    <w:name w:val="Document Map Char"/>
    <w:basedOn w:val="DefaultParagraphFont"/>
    <w:link w:val="DocumentMap"/>
    <w:uiPriority w:val="99"/>
    <w:rPr>
      <w:rFonts w:ascii="Tahoma" w:hAnsi="Tahoma" w:cs="Tahoma"/>
      <w:sz w:val="18"/>
      <w:szCs w:val="24"/>
      <w:shd w:val="clear" w:color="auto" w:fill="000080"/>
      <w:lang w:val="bg-BG"/>
    </w:rPr>
  </w:style>
  <w:style w:type="paragraph" w:styleId="List">
    <w:name w:val="List"/>
    <w:basedOn w:val="Normal"/>
    <w:uiPriority w:val="99"/>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Pr>
      <w:rFonts w:asciiTheme="minorHAnsi" w:eastAsiaTheme="minorHAnsi" w:hAnsiTheme="minorHAnsi" w:cstheme="minorBidi"/>
      <w:b/>
      <w:bCs/>
      <w:i/>
      <w:iCs/>
      <w:color w:val="FFFFFF" w:themeColor="accent1"/>
      <w:sz w:val="22"/>
      <w:szCs w:val="22"/>
      <w:lang w:val="bg-BG" w:eastAsia="bg-BG"/>
    </w:rPr>
  </w:style>
  <w:style w:type="paragraph" w:styleId="ListBullet2">
    <w:name w:val="List Bullet 2"/>
    <w:basedOn w:val="Normal"/>
    <w:uiPriority w:val="99"/>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Pr>
      <w:rFonts w:asciiTheme="minorHAnsi" w:eastAsiaTheme="minorEastAsia" w:hAnsiTheme="minorHAnsi" w:cstheme="minorBidi"/>
      <w:sz w:val="22"/>
      <w:szCs w:val="22"/>
    </w:rPr>
  </w:style>
  <w:style w:type="paragraph" w:customStyle="1" w:styleId="NoteHead">
    <w:name w:val="NoteHead"/>
    <w:basedOn w:val="Normal"/>
    <w:next w:val="Normal"/>
    <w:uiPriority w:val="99"/>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Pr>
      <w:rFonts w:ascii="Helvetica" w:hAnsi="Helvetica"/>
      <w:sz w:val="32"/>
      <w:szCs w:val="24"/>
      <w:lang w:val="bg-BG" w:eastAsia="bg-BG"/>
    </w:rPr>
  </w:style>
  <w:style w:type="paragraph" w:customStyle="1" w:styleId="Text1">
    <w:name w:val="Text 1"/>
    <w:basedOn w:val="Normal"/>
    <w:uiPriority w:val="99"/>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Pr>
      <w:lang w:val="bg-BG" w:eastAsia="bg-BG" w:bidi="bg-BG"/>
    </w:rPr>
  </w:style>
  <w:style w:type="paragraph" w:customStyle="1" w:styleId="Tiret1">
    <w:name w:val="Tiret 1"/>
    <w:basedOn w:val="Normal"/>
    <w:uiPriority w:val="99"/>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Pr>
      <w:rFonts w:ascii="Helvetica" w:hAnsi="Helvetica"/>
      <w:sz w:val="32"/>
      <w:szCs w:val="22"/>
      <w:lang w:val="bg-BG"/>
    </w:rPr>
  </w:style>
  <w:style w:type="character" w:customStyle="1" w:styleId="at31">
    <w:name w:val="a__t31"/>
    <w:basedOn w:val="DefaultParagraphFont"/>
    <w:rPr>
      <w:i/>
      <w:iCs/>
    </w:rPr>
  </w:style>
  <w:style w:type="paragraph" w:customStyle="1" w:styleId="Char23">
    <w:name w:val="Char23"/>
    <w:basedOn w:val="Normal"/>
    <w:pPr>
      <w:spacing w:before="0" w:after="160" w:line="240" w:lineRule="exact"/>
      <w:jc w:val="left"/>
    </w:pPr>
    <w:rPr>
      <w:rFonts w:ascii="Tahoma" w:hAnsi="Tahoma"/>
      <w:sz w:val="32"/>
      <w:szCs w:val="20"/>
    </w:rPr>
  </w:style>
  <w:style w:type="character" w:customStyle="1" w:styleId="st">
    <w:name w:val="st"/>
    <w:basedOn w:val="DefaultParagraphFont"/>
  </w:style>
  <w:style w:type="paragraph" w:customStyle="1" w:styleId="text-close">
    <w:name w:val="text-close"/>
    <w:basedOn w:val="Normal"/>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Pr>
      <w:sz w:val="22"/>
      <w:szCs w:val="24"/>
      <w:lang w:val="bg-BG" w:eastAsia="bg-BG"/>
    </w:rPr>
  </w:style>
  <w:style w:type="paragraph" w:customStyle="1" w:styleId="Normlnysozarkami12">
    <w:name w:val="Normálny so zarážkami12"/>
    <w:basedOn w:val="Normal"/>
    <w:uiPriority w:val="99"/>
    <w:qFormat/>
    <w:pPr>
      <w:spacing w:before="0" w:after="0" w:line="240" w:lineRule="auto"/>
      <w:ind w:firstLine="357"/>
      <w:jc w:val="left"/>
    </w:pPr>
    <w:rPr>
      <w:rFonts w:ascii="Times New Roman" w:hAnsi="Times New Roman"/>
      <w:sz w:val="22"/>
    </w:rPr>
  </w:style>
  <w:style w:type="paragraph" w:customStyle="1" w:styleId="Mypodkapitola">
    <w:name w:val="My podkapitola"/>
    <w:basedOn w:val="Normal"/>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style>
  <w:style w:type="table" w:styleId="MediumShading1-Accent3">
    <w:name w:val="Medium Shading 1 Accent 3"/>
    <w:basedOn w:val="TableNormal"/>
    <w:uiPriority w:val="63"/>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Pr>
      <w:rFonts w:ascii="EUAlbertina" w:hAnsi="EUAlbertina"/>
      <w:color w:val="auto"/>
    </w:rPr>
  </w:style>
  <w:style w:type="paragraph" w:customStyle="1" w:styleId="CM3">
    <w:name w:val="CM3"/>
    <w:basedOn w:val="Default"/>
    <w:next w:val="Default"/>
    <w:uiPriority w:val="99"/>
    <w:rPr>
      <w:rFonts w:ascii="EUAlbertina" w:hAnsi="EUAlbertina"/>
      <w:color w:val="auto"/>
    </w:rPr>
  </w:style>
  <w:style w:type="paragraph" w:customStyle="1" w:styleId="Pavpage3">
    <w:name w:val="Pavé page 3"/>
    <w:basedOn w:val="Normal"/>
    <w:qFormat/>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Pr>
      <w:rFonts w:ascii="Helvetica" w:hAnsi="Helvetica"/>
      <w:b/>
      <w:i w:val="0"/>
      <w:smallCaps/>
      <w:color w:val="E7B837"/>
      <w:sz w:val="24"/>
      <w:u w:val="single"/>
    </w:rPr>
  </w:style>
  <w:style w:type="character" w:styleId="IntenseReference">
    <w:name w:val="Intense Reference"/>
    <w:basedOn w:val="DefaultParagraphFont"/>
    <w:uiPriority w:val="32"/>
    <w:qFormat/>
    <w:rPr>
      <w:rFonts w:ascii="Helvetica" w:hAnsi="Helvetica"/>
      <w:b/>
      <w:bCs/>
      <w:i w:val="0"/>
      <w:smallCaps/>
      <w:color w:val="9B3930"/>
      <w:spacing w:val="5"/>
      <w:sz w:val="28"/>
      <w:u w:val="single"/>
    </w:rPr>
  </w:style>
  <w:style w:type="paragraph" w:customStyle="1" w:styleId="H-Titre2">
    <w:name w:val="H-Titre 2"/>
    <w:basedOn w:val="Normal22PT"/>
    <w:qFormat/>
    <w:rPr>
      <w:color w:val="6F6F6F"/>
    </w:rPr>
  </w:style>
  <w:style w:type="paragraph" w:customStyle="1" w:styleId="H-Titre1">
    <w:name w:val="H-Titre 1"/>
    <w:basedOn w:val="Normal"/>
    <w:qFormat/>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pPr>
      <w:spacing w:after="120"/>
      <w:jc w:val="both"/>
    </w:pPr>
    <w:rPr>
      <w:color w:val="535353" w:themeColor="text1" w:themeShade="BF"/>
      <w:sz w:val="20"/>
    </w:rPr>
  </w:style>
  <w:style w:type="paragraph" w:customStyle="1" w:styleId="H-Standard22PT">
    <w:name w:val="H-Standard + 22PT"/>
    <w:basedOn w:val="Normal22PT"/>
    <w:qFormat/>
    <w:rPr>
      <w:color w:val="F07E31"/>
    </w:rPr>
  </w:style>
  <w:style w:type="paragraph" w:customStyle="1" w:styleId="H-Header">
    <w:name w:val="H-Header"/>
    <w:basedOn w:val="Header"/>
    <w:qFormat/>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Pr>
      <w:b/>
      <w:bCs/>
    </w:rPr>
  </w:style>
  <w:style w:type="paragraph" w:customStyle="1" w:styleId="H-Heading1">
    <w:name w:val="H-Heading 1"/>
    <w:basedOn w:val="Heading1"/>
    <w:qFormat/>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pPr>
      <w:numPr>
        <w:numId w:val="22"/>
      </w:numPr>
      <w:tabs>
        <w:tab w:val="clear" w:pos="709"/>
      </w:tabs>
      <w:jc w:val="both"/>
      <w:outlineLvl w:val="9"/>
    </w:pPr>
    <w:rPr>
      <w:rFonts w:cs="Arial"/>
      <w:color w:val="000000"/>
      <w:sz w:val="20"/>
    </w:rPr>
  </w:style>
  <w:style w:type="paragraph" w:customStyle="1" w:styleId="H-Heading2">
    <w:name w:val="H-Heading 2"/>
    <w:basedOn w:val="H-Heading1"/>
    <w:qFormat/>
    <w:pPr>
      <w:numPr>
        <w:numId w:val="0"/>
      </w:numPr>
      <w:spacing w:before="240" w:after="240"/>
      <w:ind w:left="720" w:hanging="360"/>
    </w:pPr>
    <w:rPr>
      <w:caps w:val="0"/>
      <w:color w:val="6F6F6F"/>
      <w:sz w:val="20"/>
    </w:rPr>
  </w:style>
  <w:style w:type="paragraph" w:customStyle="1" w:styleId="H-Heading3">
    <w:name w:val="H-Heading 3"/>
    <w:basedOn w:val="H-Heading2"/>
    <w:pPr>
      <w:numPr>
        <w:ilvl w:val="2"/>
        <w:numId w:val="23"/>
      </w:numPr>
    </w:pPr>
    <w:rPr>
      <w:b w:val="0"/>
      <w:color w:val="F07E31"/>
    </w:rPr>
  </w:style>
  <w:style w:type="numbering" w:customStyle="1" w:styleId="MaListe">
    <w:name w:val="MaListe"/>
    <w:uiPriority w:val="99"/>
    <w:pPr>
      <w:numPr>
        <w:numId w:val="24"/>
      </w:numPr>
    </w:pPr>
  </w:style>
  <w:style w:type="paragraph" w:customStyle="1" w:styleId="H-Table">
    <w:name w:val="H-Table"/>
    <w:next w:val="H-Standard"/>
    <w:qFormat/>
    <w:pPr>
      <w:numPr>
        <w:numId w:val="25"/>
      </w:numPr>
      <w:ind w:left="510" w:hanging="510"/>
    </w:pPr>
    <w:rPr>
      <w:rFonts w:ascii="Helvetica" w:hAnsi="Helvetica"/>
      <w:b/>
      <w:bCs/>
      <w:color w:val="6F6F6F"/>
      <w:sz w:val="16"/>
    </w:rPr>
  </w:style>
  <w:style w:type="paragraph" w:customStyle="1" w:styleId="H-Heading4">
    <w:name w:val="H-Heading 4"/>
    <w:basedOn w:val="HHeading5"/>
    <w:qFormat/>
    <w:pPr>
      <w:keepNext/>
      <w:keepLines/>
      <w:widowControl/>
    </w:pPr>
    <w:rPr>
      <w:rFonts w:cs="Arial"/>
    </w:rPr>
  </w:style>
  <w:style w:type="paragraph" w:customStyle="1" w:styleId="H-Figure">
    <w:name w:val="H-Figure"/>
    <w:basedOn w:val="H-Table"/>
    <w:next w:val="H-Standard"/>
    <w:qFormat/>
    <w:pPr>
      <w:numPr>
        <w:numId w:val="26"/>
      </w:numPr>
      <w:ind w:left="510" w:hanging="510"/>
    </w:pPr>
  </w:style>
  <w:style w:type="paragraph" w:customStyle="1" w:styleId="H-Box">
    <w:name w:val="H-Box"/>
    <w:basedOn w:val="H-Table"/>
    <w:next w:val="H-Standard"/>
    <w:qFormat/>
    <w:pPr>
      <w:numPr>
        <w:numId w:val="27"/>
      </w:numPr>
      <w:ind w:left="510" w:hanging="510"/>
    </w:pPr>
  </w:style>
  <w:style w:type="paragraph" w:customStyle="1" w:styleId="Cuerpo">
    <w:name w:val="Cuerpo"/>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hyperlink" Target="http://enrd.ec.europa.eu/evaluation/publications/e-library_en" TargetMode="External"/><Relationship Id="rId21" Type="http://schemas.openxmlformats.org/officeDocument/2006/relationships/footer" Target="footer3.xml"/><Relationship Id="rId34" Type="http://schemas.openxmlformats.org/officeDocument/2006/relationships/image" Target="media/image10.jpeg"/><Relationship Id="rId42" Type="http://schemas.openxmlformats.org/officeDocument/2006/relationships/image" Target="media/image11.emf"/><Relationship Id="rId47" Type="http://schemas.openxmlformats.org/officeDocument/2006/relationships/hyperlink" Target="http://enrd.ec.europa.eu/enrd-static/evaluation/library/evaluation-helpdesk-publications/en/evaluation-helpdesk-publications_en.html" TargetMode="External"/><Relationship Id="rId50" Type="http://schemas.openxmlformats.org/officeDocument/2006/relationships/hyperlink" Target="http://enrd.ec.europa.eu/evaluation/publications/e-library_en" TargetMode="External"/><Relationship Id="rId55"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63" Type="http://schemas.openxmlformats.org/officeDocument/2006/relationships/hyperlink" Target="https://www.gtap.agecon.purdue.edu/" TargetMode="External"/><Relationship Id="rId68" Type="http://schemas.openxmlformats.org/officeDocument/2006/relationships/image" Target="media/image15.jpeg"/><Relationship Id="rId76" Type="http://schemas.openxmlformats.org/officeDocument/2006/relationships/hyperlink" Target="http://enrd.ec.europa.eu/enrd-static/app_templates/enrd_assets/pdf/evaluation/epe_master.pdf" TargetMode="External"/><Relationship Id="rId84" Type="http://schemas.openxmlformats.org/officeDocument/2006/relationships/image" Target="media/image17.emf"/><Relationship Id="rId89" Type="http://schemas.openxmlformats.org/officeDocument/2006/relationships/footer" Target="footer15.xml"/><Relationship Id="rId7" Type="http://schemas.openxmlformats.org/officeDocument/2006/relationships/settings" Target="settings.xml"/><Relationship Id="rId71" Type="http://schemas.openxmlformats.org/officeDocument/2006/relationships/hyperlink" Target="http://ec.europa.eu/eurostat/web/esa-supply-use-input-tables"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image" Target="media/image7.emf"/><Relationship Id="rId32" Type="http://schemas.openxmlformats.org/officeDocument/2006/relationships/hyperlink" Target="http://enrd.ec.europa.eu/evaluation/publications/e-library_en" TargetMode="External"/><Relationship Id="rId37" Type="http://schemas.openxmlformats.org/officeDocument/2006/relationships/header" Target="header7.xml"/><Relationship Id="rId40" Type="http://schemas.openxmlformats.org/officeDocument/2006/relationships/hyperlink" Target="http://enrd.ec.europa.eu/evaluation/publications/e-library_en" TargetMode="External"/><Relationship Id="rId45" Type="http://schemas.openxmlformats.org/officeDocument/2006/relationships/image" Target="media/image12.emf"/><Relationship Id="rId53"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58" Type="http://schemas.openxmlformats.org/officeDocument/2006/relationships/header" Target="header9.xml"/><Relationship Id="rId66" Type="http://schemas.openxmlformats.org/officeDocument/2006/relationships/header" Target="header11.xml"/><Relationship Id="rId74" Type="http://schemas.openxmlformats.org/officeDocument/2006/relationships/hyperlink" Target="http://www.oecd.org/statistics/how-s-life-23089679.htm" TargetMode="External"/><Relationship Id="rId79" Type="http://schemas.openxmlformats.org/officeDocument/2006/relationships/header" Target="header12.xml"/><Relationship Id="rId87"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hyperlink" Target="http://ec.europa.eu/agriculture/ricaprod/liaisonagency_en.cfm" TargetMode="External"/><Relationship Id="rId82" Type="http://schemas.openxmlformats.org/officeDocument/2006/relationships/footer" Target="footer13.xml"/><Relationship Id="rId90"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hyperlink" Target="%20http://enrd.ec.europa.eu/evaluation/publications/e-library_en%20" TargetMode="External"/><Relationship Id="rId35" Type="http://schemas.openxmlformats.org/officeDocument/2006/relationships/header" Target="header6.xml"/><Relationship Id="rId43" Type="http://schemas.openxmlformats.org/officeDocument/2006/relationships/hyperlink" Target="http://enrd.ec.europa.eu/enrd-static/evaluation/library/evaluation-helpdesk-publications/en/evaluation-helpdesk-publications_en.html" TargetMode="External"/><Relationship Id="rId48" Type="http://schemas.openxmlformats.org/officeDocument/2006/relationships/hyperlink" Target="http://enrd.ec.europa.eu/evaluation/publications/e-library_en" TargetMode="External"/><Relationship Id="rId56" Type="http://schemas.openxmlformats.org/officeDocument/2006/relationships/header" Target="header8.xml"/><Relationship Id="rId64" Type="http://schemas.openxmlformats.org/officeDocument/2006/relationships/header" Target="header10.xml"/><Relationship Id="rId69" Type="http://schemas.openxmlformats.org/officeDocument/2006/relationships/hyperlink" Target="http://eur-lex.europa.eu/legal-content/en/ALL/?uri=CELEX:32014R0808" TargetMode="External"/><Relationship Id="rId77" Type="http://schemas.openxmlformats.org/officeDocument/2006/relationships/hyperlink" Target="http://enrd.ec.europa.eu/enrd-static/evaluation/library/evaluation-helpdesk-publications/en/evaluation-helpdesk-publications_en.html" TargetMode="External"/><Relationship Id="rId8" Type="http://schemas.openxmlformats.org/officeDocument/2006/relationships/webSettings" Target="webSettings.xml"/><Relationship Id="rId51" Type="http://schemas.openxmlformats.org/officeDocument/2006/relationships/hyperlink" Target="http://enrd.ec.europa.eu/evaluation/publications/e-library_en" TargetMode="External"/><Relationship Id="rId72" Type="http://schemas.openxmlformats.org/officeDocument/2006/relationships/hyperlink" Target="https://www.gtap.agecon.purdue.edu/" TargetMode="External"/><Relationship Id="rId80" Type="http://schemas.openxmlformats.org/officeDocument/2006/relationships/footer" Target="footer12.xml"/><Relationship Id="rId85"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hyperlink" Target="http://enrd.ec.europa.eu/evaluation/publications/e-library_en" TargetMode="External"/><Relationship Id="rId38" Type="http://schemas.openxmlformats.org/officeDocument/2006/relationships/footer" Target="footer7.xml"/><Relationship Id="rId46" Type="http://schemas.openxmlformats.org/officeDocument/2006/relationships/image" Target="media/image13.emf"/><Relationship Id="rId59" Type="http://schemas.openxmlformats.org/officeDocument/2006/relationships/footer" Target="footer9.xml"/><Relationship Id="rId67" Type="http://schemas.openxmlformats.org/officeDocument/2006/relationships/footer" Target="footer11.xml"/><Relationship Id="rId20" Type="http://schemas.openxmlformats.org/officeDocument/2006/relationships/header" Target="header3.xml"/><Relationship Id="rId41" Type="http://schemas.openxmlformats.org/officeDocument/2006/relationships/hyperlink" Target="http://enrd.ec.europa.eu/enrd-static/evaluation/library/evaluation-helpdesk-publications/en/evaluation-helpdesk-publications_en.html" TargetMode="External"/><Relationship Id="rId54" Type="http://schemas.openxmlformats.org/officeDocument/2006/relationships/image" Target="media/image14.jpeg"/><Relationship Id="rId62" Type="http://schemas.openxmlformats.org/officeDocument/2006/relationships/hyperlink" Target="http://ec.europa.eu/eurostat/web/esa-supply-use-input-tables/data/database" TargetMode="External"/><Relationship Id="rId70" Type="http://schemas.openxmlformats.org/officeDocument/2006/relationships/hyperlink" Target="http://ec.europa.eu/agriculture/ricaprod/database/database_en.cfm" TargetMode="External"/><Relationship Id="rId75" Type="http://schemas.openxmlformats.org/officeDocument/2006/relationships/hyperlink" Target="file:///C:\Users\Lenovo\Desktop\2_2nd%20draft\Delivered%20by%20experts\gallup-healthways%20global%20well-being%20index%202015" TargetMode="External"/><Relationship Id="rId83" Type="http://schemas.openxmlformats.org/officeDocument/2006/relationships/image" Target="media/image16.emf"/><Relationship Id="rId88" Type="http://schemas.openxmlformats.org/officeDocument/2006/relationships/header" Target="header1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emf"/><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hyperlink" Target="http://enrd.ec.europa.eu/enrd-static/evaluation/library/evaluation-helpdesk-publications/en/evaluation-helpdesk-publications_en.html" TargetMode="External"/><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hyperlink" Target="http://enrd.ec.europa.eu/evaluation/publications/e-library_en" TargetMode="External"/><Relationship Id="rId52" Type="http://schemas.openxmlformats.org/officeDocument/2006/relationships/hyperlink" Target="http://enrd.ec.europa.eu/enrd-static/app_templates/enrd_assets/pdf/evaluation/epe_master.pdf" TargetMode="External"/><Relationship Id="rId60" Type="http://schemas.openxmlformats.org/officeDocument/2006/relationships/hyperlink" Target="http://ec.europa.eu/agriculture/ricaprod/" TargetMode="External"/><Relationship Id="rId65" Type="http://schemas.openxmlformats.org/officeDocument/2006/relationships/footer" Target="footer10.xml"/><Relationship Id="rId73" Type="http://schemas.openxmlformats.org/officeDocument/2006/relationships/hyperlink" Target="http://ec.europa.eu/eurostat/statistics-explained/index.php/Quality_of_life_in_Europe_-_facts_and_views_-_overall_life_satisfaction" TargetMode="External"/><Relationship Id="rId78" Type="http://schemas.openxmlformats.org/officeDocument/2006/relationships/hyperlink" Target="http://ec.europa.eu/agriculture/rurdev/eval/index_en.htm" TargetMode="External"/><Relationship Id="rId81" Type="http://schemas.openxmlformats.org/officeDocument/2006/relationships/header" Target="header13.xml"/><Relationship Id="rId86"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nrd-static/evaluation/library/evaluation-helpdesk-publications/en/evaluation-helpdesk-publications_en.html" TargetMode="External"/><Relationship Id="rId13" Type="http://schemas.openxmlformats.org/officeDocument/2006/relationships/hyperlink" Target="http://enrd.ec.europa.eu/enrd-static/evaluation/library/evaluation-helpdesk-publications/en/evaluation-helpdesk-publications_en.html" TargetMode="External"/><Relationship Id="rId18"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c.europa.eu/dgs/internal_market/evaluation/evaluation/index_en.htm" TargetMode="External"/><Relationship Id="rId7" Type="http://schemas.openxmlformats.org/officeDocument/2006/relationships/hyperlink" Target="http://ec.europa.eu/agriculture/cap-post-2013/" TargetMode="External"/><Relationship Id="rId12" Type="http://schemas.openxmlformats.org/officeDocument/2006/relationships/hyperlink" Target="http://enrd.ec.europa.eu/enrd-static/evaluation/good-practices-workshops/national-rural-networks/en/national-rural-networks_en.html"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s://www.statpac.com/surveys/sampling.htm" TargetMode="External"/><Relationship Id="rId16" Type="http://schemas.openxmlformats.org/officeDocument/2006/relationships/hyperlink" Target="http://enrd.ec.europa.eu/enrd-static/evaluation/library/evaluation-helpdesk-publications/en/evaluation-helpdesk-publications_en.html" TargetMode="External"/><Relationship Id="rId20" Type="http://schemas.openxmlformats.org/officeDocument/2006/relationships/hyperlink" Target="%20http:/enrd.ec.europa.eu/evaluation/publications/e-library_en" TargetMode="External"/><Relationship Id="rId1" Type="http://schemas.openxmlformats.org/officeDocument/2006/relationships/hyperlink" Target="http://enrd.ec.europa.eu/enrd-static/policy-in-action/improving-implementation/delivery-mechanisms/en/delivery-mechanisms_en.html" TargetMode="External"/><Relationship Id="rId6" Type="http://schemas.openxmlformats.org/officeDocument/2006/relationships/hyperlink" Target="https://ec.europa.eu/info/strategy/european-semester/framework/europe-2020-strategy_en" TargetMode="External"/><Relationship Id="rId11" Type="http://schemas.openxmlformats.org/officeDocument/2006/relationships/hyperlink" Target="http://ec.europa.eu/agriculture/glossary/index_en.htm" TargetMode="External"/><Relationship Id="rId5" Type="http://schemas.openxmlformats.org/officeDocument/2006/relationships/hyperlink" Target="http://enrd.ec.europa.eu/enrd-static/evaluation/library/evaluation-helpdesk-publications/en/evaluation-helpdesk-publications_en.html" TargetMode="External"/><Relationship Id="rId15" Type="http://schemas.openxmlformats.org/officeDocument/2006/relationships/hyperlink" Target="http://betterevaluation.org/evaluation-options/propensity_scores" TargetMode="External"/><Relationship Id="rId10" Type="http://schemas.openxmlformats.org/officeDocument/2006/relationships/hyperlink" Target="http://enrd.ec.europa.eu/evaluation/publications/e-library_en" TargetMode="External"/><Relationship Id="rId19" Type="http://schemas.openxmlformats.org/officeDocument/2006/relationships/hyperlink" Target="http://ec.europa.eu/fisheries/reform/emff/doc/09-performance-framework_en.pdf" TargetMode="External"/><Relationship Id="rId4" Type="http://schemas.openxmlformats.org/officeDocument/2006/relationships/hyperlink" Target="http://enrd.ec.europa.eu/evaluation/publications/e-library_en" TargetMode="External"/><Relationship Id="rId9" Type="http://schemas.openxmlformats.org/officeDocument/2006/relationships/hyperlink" Target="http://enrd.ec.europa.eu/enrd-static/evaluation/library/evaluation-helpdesk-publications/en/evaluation-helpdesk-publications_en.html"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_Helpdesk\WordTemplate_Orange.dotx"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3.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4.xml><?xml version="1.0" encoding="utf-8"?>
<ds:datastoreItem xmlns:ds="http://schemas.openxmlformats.org/officeDocument/2006/customXml" ds:itemID="{1BB4F0E7-B8BF-4C26-858C-55C99B5F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WordTemplate_Orange</Template>
  <TotalTime>72</TotalTime>
  <Pages>135</Pages>
  <Words>41828</Words>
  <Characters>238424</Characters>
  <Application>Microsoft Office Word</Application>
  <DocSecurity>0</DocSecurity>
  <Lines>1986</Lines>
  <Paragraphs>559</Paragraphs>
  <ScaleCrop>false</ScaleCrop>
  <HeadingPairs>
    <vt:vector size="10" baseType="variant">
      <vt:variant>
        <vt:lpstr>Title</vt:lpstr>
      </vt:variant>
      <vt:variant>
        <vt:i4>1</vt:i4>
      </vt:variant>
      <vt:variant>
        <vt:lpstr>Заглавие</vt:lpstr>
      </vt:variant>
      <vt:variant>
        <vt:i4>1</vt:i4>
      </vt:variant>
      <vt:variant>
        <vt:lpstr>Titel</vt:lpstr>
      </vt:variant>
      <vt:variant>
        <vt:i4>1</vt:i4>
      </vt:variant>
      <vt:variant>
        <vt:lpstr>Názov</vt:lpstr>
      </vt:variant>
      <vt:variant>
        <vt:i4>1</vt:i4>
      </vt:variant>
      <vt:variant>
        <vt:lpstr>Titre</vt:lpstr>
      </vt:variant>
      <vt:variant>
        <vt:i4>1</vt:i4>
      </vt:variant>
    </vt:vector>
  </HeadingPairs>
  <TitlesOfParts>
    <vt:vector size="5" baseType="lpstr">
      <vt:lpstr/>
      <vt:lpstr/>
      <vt:lpstr/>
      <vt:lpstr/>
      <vt:lpstr/>
    </vt:vector>
  </TitlesOfParts>
  <Company>metis</Company>
  <LinksUpToDate>false</LinksUpToDate>
  <CharactersWithSpaces>279693</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Evaluation Helpdesk</dc:creator>
  <cp:lastModifiedBy>Myles Stiffler</cp:lastModifiedBy>
  <cp:revision>9</cp:revision>
  <cp:lastPrinted>2016-10-28T09:01:00Z</cp:lastPrinted>
  <dcterms:created xsi:type="dcterms:W3CDTF">2017-02-15T15:59:00Z</dcterms:created>
  <dcterms:modified xsi:type="dcterms:W3CDTF">2017-03-08T13:40:00Z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y fmtid="{D5CDD505-2E9C-101B-9397-08002B2CF9AE}" pid="3" name="_NewReviewCycle">
    <vt:lpwstr/>
  </property>
</Properties>
</file>